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52.png" ContentType="image/png"/>
  <Override PartName="/word/media/rId55.png" ContentType="image/png"/>
  <Override PartName="/word/media/rId59.png" ContentType="image/png"/>
  <Override PartName="/word/media/rId62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94.png" ContentType="image/png"/>
  <Override PartName="/word/media/rId97.png" ContentType="image/png"/>
  <Override PartName="/word/media/rId100.png" ContentType="image/png"/>
  <Override PartName="/word/media/rId103.png" ContentType="image/png"/>
  <Override PartName="/word/media/rId107.png" ContentType="image/png"/>
  <Override PartName="/word/media/rId110.png" ContentType="image/png"/>
  <Override PartName="/word/media/rId113.png" ContentType="image/png"/>
  <Override PartName="/word/media/rId119.png" ContentType="image/png"/>
  <Override PartName="/word/media/rId129.png" ContentType="image/png"/>
  <Override PartName="/word/media/rId179.png" ContentType="image/png"/>
  <Override PartName="/word/media/rId183.png" ContentType="image/png"/>
  <Override PartName="/word/media/rId186.png" ContentType="image/png"/>
  <Override PartName="/word/media/rId241.png" ContentType="image/png"/>
  <Override PartName="/word/media/rId207.png" ContentType="image/png"/>
  <Override PartName="/word/media/rId220.png" ContentType="image/png"/>
  <Override PartName="/word/media/rId191.png" ContentType="image/png"/>
  <Override PartName="/word/media/rId164.png" ContentType="image/png"/>
  <Override PartName="/word/media/rId268.png" ContentType="image/png"/>
  <Override PartName="/word/media/rId343.png" ContentType="image/png"/>
  <Override PartName="/word/media/rId334.png" ContentType="image/png"/>
  <Override PartName="/word/media/rId339.png" ContentType="image/png"/>
  <Override PartName="/word/media/rId152.png" ContentType="image/png"/>
  <Override PartName="/word/media/rId174.png" ContentType="image/png"/>
  <Override PartName="/word/media/rId199.png" ContentType="image/png"/>
  <Override PartName="/word/media/rId170.png" ContentType="image/png"/>
  <Override PartName="/word/media/rId140.png" ContentType="image/png"/>
  <Override PartName="/word/media/rId160.png" ContentType="image/png"/>
  <Override PartName="/word/media/rId144.png" ContentType="image/png"/>
  <Override PartName="/word/media/rId237.png" ContentType="image/png"/>
  <Override PartName="/word/media/rId256.png" ContentType="image/png"/>
  <Override PartName="/word/media/rId252.png" ContentType="image/png"/>
  <Override PartName="/word/media/rId260.png" ContentType="image/png"/>
  <Override PartName="/word/media/rId248.png" ContentType="image/png"/>
  <Override PartName="/word/media/rId233.png" ContentType="image/png"/>
  <Override PartName="/word/media/rId244.png" ContentType="image/png"/>
  <Override PartName="/word/media/rId116.png" ContentType="image/png"/>
  <Override PartName="/word/media/rId148.png" ContentType="image/png"/>
  <Override PartName="/word/media/rId91.png" ContentType="image/png"/>
  <Override PartName="/word/media/rId167.png" ContentType="image/png"/>
  <Override PartName="/word/media/rId123.png" ContentType="image/png"/>
  <Override PartName="/word/media/rId230.png" ContentType="image/png"/>
  <Override PartName="/word/media/rId156.png" ContentType="image/png"/>
  <Override PartName="/word/media/rId20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Brasil</w:t>
      </w:r>
      <w:r>
        <w:t xml:space="preserve"> </w:t>
      </w:r>
      <w:r>
        <w:t xml:space="preserve">1989–2030:</w:t>
      </w:r>
      <w:r>
        <w:t xml:space="preserve"> </w:t>
      </w:r>
      <w:r>
        <w:t xml:space="preserve">esquerda,</w:t>
      </w:r>
      <w:r>
        <w:t xml:space="preserve"> </w:t>
      </w:r>
      <w:r>
        <w:t xml:space="preserve">governo</w:t>
      </w:r>
      <w:r>
        <w:t xml:space="preserve"> </w:t>
      </w:r>
      <w:r>
        <w:t xml:space="preserve">e</w:t>
      </w:r>
      <w:r>
        <w:t xml:space="preserve"> </w:t>
      </w:r>
      <w:r>
        <w:t xml:space="preserve">estratégia</w:t>
      </w:r>
    </w:p>
    <w:p>
      <w:pPr>
        <w:pStyle w:val="Subtitle"/>
      </w:pPr>
      <w:r>
        <w:t xml:space="preserve">Manual</w:t>
      </w:r>
      <w:r>
        <w:t xml:space="preserve"> </w:t>
      </w:r>
      <w:r>
        <w:t xml:space="preserve">teórico-analítico</w:t>
      </w:r>
      <w:r>
        <w:t xml:space="preserve"> </w:t>
      </w:r>
      <w:r>
        <w:t xml:space="preserve">e</w:t>
      </w:r>
      <w:r>
        <w:t xml:space="preserve"> </w:t>
      </w:r>
      <w:r>
        <w:t xml:space="preserve">guia</w:t>
      </w:r>
      <w:r>
        <w:t xml:space="preserve"> </w:t>
      </w:r>
      <w:r>
        <w:t xml:space="preserve">para</w:t>
      </w:r>
      <w:r>
        <w:t xml:space="preserve"> </w:t>
      </w:r>
      <w:r>
        <w:t xml:space="preserve">a</w:t>
      </w:r>
      <w:r>
        <w:t xml:space="preserve"> </w:t>
      </w:r>
      <w:r>
        <w:t xml:space="preserve">ação</w:t>
      </w:r>
      <w:r>
        <w:t xml:space="preserve"> </w:t>
      </w:r>
      <w:r>
        <w:t xml:space="preserve">·</w:t>
      </w:r>
      <w:r>
        <w:t xml:space="preserve"> </w:t>
      </w:r>
      <w:r>
        <w:t xml:space="preserve">Edição</w:t>
      </w:r>
      <w:r>
        <w:t xml:space="preserve"> </w:t>
      </w:r>
      <w:r>
        <w:t xml:space="preserve">ampliada</w:t>
      </w:r>
      <w:r>
        <w:t xml:space="preserve"> </w:t>
      </w:r>
      <w:r>
        <w:t xml:space="preserve">após</w:t>
      </w:r>
      <w:r>
        <w:t xml:space="preserve"> </w:t>
      </w:r>
      <w:r>
        <w:t xml:space="preserve">o</w:t>
      </w:r>
      <w:r>
        <w:t xml:space="preserve"> </w:t>
      </w:r>
      <w:r>
        <w:t xml:space="preserve">2º</w:t>
      </w:r>
      <w:r>
        <w:t xml:space="preserve"> </w:t>
      </w:r>
      <w:r>
        <w:t xml:space="preserve">turno</w:t>
      </w:r>
      <w:r>
        <w:t xml:space="preserve"> </w:t>
      </w:r>
      <w:r>
        <w:t xml:space="preserve">·</w:t>
      </w:r>
      <w:r>
        <w:t xml:space="preserve"> </w:t>
      </w:r>
      <w:r>
        <w:t xml:space="preserve">Outubro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</w:p>
    <w:p>
      <w:pPr>
        <w:pStyle w:val="Author"/>
      </w:pPr>
      <w:r>
        <w:t xml:space="preserve">Jeferson</w:t>
      </w:r>
      <w:r>
        <w:t xml:space="preserve"> </w:t>
      </w:r>
      <w:r>
        <w:t xml:space="preserve">Martins</w:t>
      </w:r>
      <w:r>
        <w:t xml:space="preserve"> </w:t>
      </w:r>
      <w:r>
        <w:t xml:space="preserve">de</w:t>
      </w:r>
      <w:r>
        <w:t xml:space="preserve"> </w:t>
      </w:r>
      <w:r>
        <w:t xml:space="preserve">Castro</w:t>
      </w:r>
    </w:p>
    <w:p>
      <w:pPr>
        <w:pStyle w:val="Author"/>
      </w:pPr>
      <w:r>
        <w:t xml:space="preserve">Fernanda</w:t>
      </w:r>
      <w:r>
        <w:t xml:space="preserve"> </w:t>
      </w:r>
      <w:r>
        <w:t xml:space="preserve">Machiner</w:t>
      </w:r>
    </w:p>
    <w:p>
      <w:pPr>
        <w:pStyle w:val="Author"/>
      </w:pPr>
      <w:r>
        <w:t xml:space="preserve">Maria</w:t>
      </w:r>
      <w:r>
        <w:t xml:space="preserve"> </w:t>
      </w:r>
      <w:r>
        <w:t xml:space="preserve">Eduarda</w:t>
      </w:r>
      <w:r>
        <w:t xml:space="preserve"> </w:t>
      </w:r>
      <w:r>
        <w:t xml:space="preserve">Silva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Sumário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0" w:name="resumo-executivo"/>
    <w:p>
      <w:pPr>
        <w:pStyle w:val="Heading2"/>
      </w:pPr>
      <w:r>
        <w:t xml:space="preserve">Resumo executivo</w:t>
      </w:r>
    </w:p>
    <w:p>
      <w:pPr>
        <w:pStyle w:val="FirstParagraph"/>
      </w:pPr>
      <w:r>
        <w:rPr>
          <w:bCs/>
          <w:b/>
        </w:rPr>
        <w:t xml:space="preserve">Lula foi reeleito em 25 de outubro de 2026 com 51,79% dos votos válidos (64,3 milhões), contra 48,21% de Flávio Bolsonaro (59,8 milhões), depois de terminar o 1º turno em segundo lugar (45,16% a 47,03%). Foi a primeira virada do 1º para o 2º turno desde 1989. A vitória muda a pergunta deste manual: a esquerda deixa de disputar a eleição e passa a governar quatro anos com um Congresso mais à direita, uma maioria de governadores de oposição, um mundo em guerra e sem Lula como candidato possível em 2030.</w:t>
      </w:r>
    </w:p>
    <w:p>
      <w:pPr>
        <w:pStyle w:val="BodyText"/>
      </w:pPr>
      <w:r>
        <w:rPr>
          <w:bCs/>
          <w:b/>
        </w:rPr>
        <w:t xml:space="preserve">Quatro determinantes explicam a situação da esquerda brasileira</w:t>
      </w:r>
      <w:r>
        <w:t xml:space="preserve">, e operam em conjunto: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Posição no sistema-mundo.</w:t>
      </w:r>
      <w:r>
        <w:t xml:space="preserve"> </w:t>
      </w:r>
      <w:r>
        <w:t xml:space="preserve">O Brasil é uma semiperiferia que se desindustrializou e se reprimarizou. Seu ciclo econômico, e com ele o ciclo político, depende de choques externos: preços de commodities, juros internacionais, ascensão da China e reorientação dos EUA. Em 2026, a guerra com o Irã fechou Ormuz e levou o petróleo a cerca de US$ 116.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Transformação da base social.</w:t>
      </w:r>
      <w:r>
        <w:t xml:space="preserve"> </w:t>
      </w:r>
      <w:r>
        <w:t xml:space="preserve">Mobilidade social, uberização e transição religiosa produziram novos sujeitos sociais com identidades e lealdades distintas das que sustentaram a esquerda no século XX.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Instituições.</w:t>
      </w:r>
      <w:r>
        <w:t xml:space="preserve"> </w:t>
      </w:r>
      <w:r>
        <w:t xml:space="preserve">O presidencialismo de coalizão, a captura do orçamento pelo Congresso e o peso das máquinas locais limitam qualquer governo e premiam quem tem presença municipal.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Organização e comunicação.</w:t>
      </w:r>
      <w:r>
        <w:t xml:space="preserve"> </w:t>
      </w:r>
      <w:r>
        <w:t xml:space="preserve">A esquerda fundiu partido e governo, perdeu presença territorial e não construiu infraestrutura própria no ambiente de plataformas. Esse déficit amplifica os três determinantes anteriores. Corrigido em parte no 2º turno, decidiu a eleição.</w:t>
      </w:r>
    </w:p>
    <w:p>
      <w:pPr>
        <w:pStyle w:val="FirstParagraph"/>
      </w:pPr>
      <w:r>
        <w:rPr>
          <w:bCs/>
          <w:b/>
        </w:rPr>
        <w:t xml:space="preserve">O que o 2º turno ensinou.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 mobilização decidiu.</w:t>
      </w:r>
      <w:r>
        <w:t xml:space="preserve"> </w:t>
      </w:r>
      <w:r>
        <w:t xml:space="preserve">A abstenção caiu de 21,08% para 19,22%, cerca de 3 milhões de eleitores a mais. Lula ganhou 10,4 milhões de votos entre os turnos; Flávio, 3,7 milhões.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 virada veio do Sudeste urbano.</w:t>
      </w:r>
      <w:r>
        <w:t xml:space="preserve"> </w:t>
      </w:r>
      <w:r>
        <w:t xml:space="preserve">Lula somou 2,1 milhões de votos em São Paulo, 1 milhão em Minas e 800 mil no Rio, virou Minas (50,43%) e venceu as capitais paulista (55,5%) e fluminense (51,54%).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 clivagem social segue a de 2006, e a religiosa se aprofundou.</w:t>
      </w:r>
      <w:r>
        <w:t xml:space="preserve"> </w:t>
      </w:r>
      <w:r>
        <w:t xml:space="preserve">Na Datafolha de 20 a 22 de outubro, Lula tinha 68% no Nordeste, 58% entre quem ganha até 2 salários mínimos, 59% entre católicos e 61% entre pretos; Flávio tinha 73% entre evangélicos e 64% no Sul.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 vitória é clara nas urnas e estreita no poder.</w:t>
      </w:r>
      <w:r>
        <w:t xml:space="preserve"> </w:t>
      </w:r>
      <w:r>
        <w:t xml:space="preserve">A esquerda tem 124 dos 513 deputados. O PL terá 121 deputados e 28 a 29 senadores. Só 7 dos 27 governadores eleitos tiveram o apoio de Lula.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 ambiente externo piorou.</w:t>
      </w:r>
      <w:r>
        <w:t xml:space="preserve"> </w:t>
      </w:r>
      <w:r>
        <w:t xml:space="preserve">O FMI projeta 2,2% de crescimento para o Brasil em 2026 e 1,9% em 2027; o Fed voltou a subir juros; e os EUA mantêm tarifas de até 37,5% sobre produtos brasileiros.</w:t>
      </w:r>
    </w:p>
    <w:p>
      <w:pPr>
        <w:pStyle w:val="FirstParagraph"/>
      </w:pPr>
      <w:r>
        <w:rPr>
          <w:bCs/>
          <w:b/>
        </w:rPr>
        <w:t xml:space="preserve">Linhas de ação para 2027–2030.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Governar para entregar o que o eleitor cobra:</w:t>
      </w:r>
      <w:r>
        <w:t xml:space="preserve"> </w:t>
      </w:r>
      <w:r>
        <w:t xml:space="preserve">segurança contra o crime organizado e os crimes contra o patrimônio, custo de vida diante do choque de energia e a transição para a jornada de 40 horas aprovada em outubro.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Montar uma coalizão programática com o centro</w:t>
      </w:r>
      <w:r>
        <w:t xml:space="preserve">, com metas públicas, rastreabilidade das emendas e prioridade igual para Câmara e Senado, onde está o maior risco institucional.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Praticar federalismo cooperativo</w:t>
      </w:r>
      <w:r>
        <w:t xml:space="preserve"> </w:t>
      </w:r>
      <w:r>
        <w:t xml:space="preserve">com governadores de oposição, sobretudo em segurança e infraestrutura.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Defender a soberania com diversificação:</w:t>
      </w:r>
      <w:r>
        <w:t xml:space="preserve"> </w:t>
      </w:r>
      <w:r>
        <w:t xml:space="preserve">negociar com os EUA, aprofundar China, União Europeia e América do Sul e amortecer o choque do petróleo.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Construir a infraestrutura permanente</w:t>
      </w:r>
      <w:r>
        <w:t xml:space="preserve"> </w:t>
      </w:r>
      <w:r>
        <w:t xml:space="preserve">de narrativa, criadores, observatório e comitês, independente do mandato.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Tratar 2028 como a eleição-ponte</w:t>
      </w:r>
      <w:r>
        <w:t xml:space="preserve">, com a meta de voltar ao patamar de 560 prefeituras do PT e disputar as capitais onde Lula venceu.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Definir a sucessão até 2029.</w:t>
      </w:r>
      <w:r>
        <w:t xml:space="preserve"> </w:t>
      </w:r>
      <w:r>
        <w:t xml:space="preserve">A Constituição impede Lula de disputar um terceiro mandato consecutivo em 2030.</w:t>
      </w:r>
    </w:p>
    <w:p>
      <w:pPr>
        <w:pStyle w:val="FirstParagraph"/>
      </w:pPr>
      <w:r>
        <w:rPr>
          <w:bCs/>
          <w:b/>
        </w:rPr>
        <w:t xml:space="preserve">O que a sociologia política acrescenta (Parte 5).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Origem do bolsonarismo:</w:t>
      </w:r>
      <w:r>
        <w:t xml:space="preserve"> </w:t>
      </w:r>
      <w:r>
        <w:t xml:space="preserve">a fusão de cinco correntes anteriores a ele (autoritarismo de ordem, conservadorismo religioso, antipetismo, liberalismo de mercado e antissistema digital). Derrotar a extrema direita é separar essas correntes, e não combatê-las em bloco.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Evangélicos:</w:t>
      </w:r>
      <w:r>
        <w:t xml:space="preserve"> </w:t>
      </w:r>
      <w:r>
        <w:t xml:space="preserve">o voto evangélico é comunitário e racional, ancorado em igrejas que funcionam como organizações de mobilização. A meta é reduzir a desvantagem de 46 para 30 pontos, com pautas comuns e mensageiros da própria fé.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Elites e mobilização:</w:t>
      </w:r>
      <w:r>
        <w:t xml:space="preserve"> </w:t>
      </w:r>
      <w:r>
        <w:t xml:space="preserve">não há situação revolucionária; há uma guerra de posição pela sociedade civil. A mobilização popular depende de organização prévia, e as elites precisam ser divididas, e não enfrentadas em bloco.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Democracia:</w:t>
      </w:r>
      <w:r>
        <w:t xml:space="preserve"> </w:t>
      </w:r>
      <w:r>
        <w:t xml:space="preserve">a defesa institucional é necessária, mas a extrema direita só perde de fato quando é derrotada também nas urnas e nas entregas.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Redes, frames e hiper-realidade:</w:t>
      </w:r>
      <w:r>
        <w:t xml:space="preserve"> </w:t>
      </w:r>
      <w:r>
        <w:t xml:space="preserve">a direita traduziu medos dispersos numa única controvérsia e produziu simulacros mais vívidos que os fatos. O real só vence o simulacro quando é vivido em comunidade.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Crime organizado:</w:t>
      </w:r>
      <w:r>
        <w:t xml:space="preserve"> </w:t>
      </w:r>
      <w:r>
        <w:t xml:space="preserve">nascido nas prisões e nacionalizado pelo encarceramento em massa, hoje movimenta bilhões por fintechs e pelo setor de combustíveis. A resposta ataca o dinheiro, as prisões e o território.</w:t>
      </w:r>
    </w:p>
    <w:p>
      <w:pPr>
        <w:pStyle w:val="FirstParagraph"/>
      </w:pPr>
      <w:r>
        <w:rPr>
          <w:bCs/>
          <w:b/>
        </w:rPr>
        <w:t xml:space="preserve">Conjuntura e foresight (Parte 7).</w:t>
      </w:r>
      <w:r>
        <w:t xml:space="preserve"> </w:t>
      </w:r>
      <w:r>
        <w:t xml:space="preserve">O governo começa o mandato com legitimidade popular, mas em minoria no Congresso e nos estados, sob choque externo e com a sucessão aberta. A varredura de forças motrizes, os sinais fracos, os três horizontes e o backcasting definem o que gerir, o que transformar e o que construir até 2030.</w:t>
      </w:r>
      <w:r>
        <w:t xml:space="preserve"> </w:t>
      </w:r>
      <w:r>
        <w:rPr>
          <w:bCs/>
          <w:b/>
        </w:rPr>
        <w:t xml:space="preserve">As sete políticas prioritárias estão detalhadas, uma a uma, na Parte 10.</w:t>
      </w:r>
    </w:p>
    <w:p>
      <w:r>
        <w:br w:type="page"/>
      </w:r>
    </w:p>
    <w:bookmarkEnd w:id="20"/>
    <w:bookmarkStart w:id="51" w:name="parte-1-marco-teórico-e-método"/>
    <w:p>
      <w:pPr>
        <w:pStyle w:val="Heading1"/>
      </w:pPr>
      <w:r>
        <w:t xml:space="preserve">Parte 1 · Marco teórico e método</w:t>
      </w:r>
    </w:p>
    <w:p>
      <w:r>
        <w:br w:type="page"/>
      </w:r>
    </w:p>
    <w:bookmarkStart w:id="21" w:name="objeto-enfoque-e-método"/>
    <w:p>
      <w:pPr>
        <w:pStyle w:val="Heading2"/>
      </w:pPr>
      <w:r>
        <w:t xml:space="preserve">1.1 Objeto, enfoque e método</w:t>
      </w:r>
    </w:p>
    <w:p>
      <w:pPr>
        <w:pStyle w:val="FirstParagraph"/>
      </w:pPr>
      <w:r>
        <w:t xml:space="preserve">O objeto deste manual é a relação entre transformações estruturais (econômicas, sociais, culturais e geopolíticas), instituições políticas e desempenho eleitoral e organizativo da esquerda brasileira entre 1989 e 2026. Seu propósito é prático: definir a estratégia de governo, de articulação política e de mobilização compatível com essas condições para o mandato de 2027 a 2030, as eleições municipais de 2028 e a sucessão presidencial de 2030.</w:t>
      </w:r>
    </w:p>
    <w:p>
      <w:pPr>
        <w:pStyle w:val="BodyText"/>
      </w:pPr>
      <w:r>
        <w:t xml:space="preserve">O método combina quatro procedimentos: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Séries históricas</w:t>
      </w:r>
      <w:r>
        <w:t xml:space="preserve"> </w:t>
      </w:r>
      <w:r>
        <w:t xml:space="preserve">de 1989 a 2026 (IPEA, IBGE, Banco Mundial, FAO, V-Dem, Latinobarómetro, TSE), lidas por ciclo de governo.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Análise eleitoral</w:t>
      </w:r>
      <w:r>
        <w:t xml:space="preserve"> </w:t>
      </w:r>
      <w:r>
        <w:t xml:space="preserve">por região, unidade da Federação, município e segmento social, incluindo o 1º e o 2º turnos de 2026.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Modelo de atores e redes</w:t>
      </w:r>
      <w:r>
        <w:t xml:space="preserve"> </w:t>
      </w:r>
      <w:r>
        <w:t xml:space="preserve">pelo método DeepSIC: cadastro de atores, Índice de Poder Estratégico (IPE), matriz de influência e dependência, matriz de cooperação e conflito, sociometria, jogos de atores e cenários.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Síntese da literatura</w:t>
      </w:r>
      <w:r>
        <w:t xml:space="preserve"> </w:t>
      </w:r>
      <w:r>
        <w:t xml:space="preserve">em ciência política comparada, sociologia política e economia política internacional.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Análise de conjuntura e foresight</w:t>
      </w:r>
      <w:r>
        <w:t xml:space="preserve">: leitura da relação de forças, varredura de forças motrizes, sinais fracos, três horizontes, backcasting e cenários (Parte 7).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Sociologia política aplicada</w:t>
      </w:r>
      <w:r>
        <w:t xml:space="preserve">: sociologia da religião, teorias das elites, da revolução e dos movimentos, teoria democrática, Teoria Ator-Rede, análise de enquadramentos, teorias da hiper-realidade e sociologia da violência (Parte 5).</w:t>
      </w:r>
    </w:p>
    <w:p>
      <w:pPr>
        <w:pStyle w:val="FirstParagraph"/>
      </w:pPr>
      <w:r>
        <w:t xml:space="preserve">A análise se organiza em quatro dimensões, que se reforçam mutuamente: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Conteúdo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Referências centrais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Sistema-mundo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Posição semiperiférica e choques externos condicionam o ciclo econômico e político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Wallerstein; Arrighi; Cardoso e Faletto; Campello e Zucco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Mobilidade, desindustrialização, uberização e transição religiosa recompõem as classes e as lealdades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Estrutura 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Singer; Pochmann; Abílio; Smith; Gethin, Martínez-Toledano e Piketty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Instituições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Presidencialismo de coalizão, captura orçamentária e máquinas locais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político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Abranches; Pereira e Rennó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Organização e comunicação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Fusão entre partido e governo, perda territorial e ausência de infraestrutura digital própria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Samuels e Zucco; Gerber e Green; Kalla e Broockman</w:t>
            </w:r>
          </w:p>
        </w:tc>
      </w:tr>
    </w:tbl>
    <w:p>
      <w:r>
        <w:br w:type="page"/>
      </w:r>
    </w:p>
    <w:bookmarkEnd w:id="21"/>
    <w:bookmarkStart w:id="40" w:name="o-brasil-no-sistema-mundo"/>
    <w:p>
      <w:pPr>
        <w:pStyle w:val="Heading2"/>
      </w:pPr>
      <w:r>
        <w:t xml:space="preserve">1.2 O Brasil no sistema-mundo</w:t>
      </w:r>
    </w:p>
    <w:p>
      <w:pPr>
        <w:pStyle w:val="FirstParagraph"/>
      </w:pPr>
      <w:r>
        <w:t xml:space="preserve">A teoria dos sistemas-mundo (Wallerstein, 2004) descreve a economia capitalista como uma divisão internacional do trabalho hierarquizada em</w:t>
      </w:r>
      <w:r>
        <w:t xml:space="preserve"> </w:t>
      </w:r>
      <w:r>
        <w:rPr>
          <w:bCs/>
          <w:b/>
        </w:rPr>
        <w:t xml:space="preserve">centro</w:t>
      </w:r>
      <w:r>
        <w:t xml:space="preserve">,</w:t>
      </w:r>
      <w:r>
        <w:t xml:space="preserve"> </w:t>
      </w:r>
      <w:r>
        <w:rPr>
          <w:bCs/>
          <w:b/>
        </w:rPr>
        <w:t xml:space="preserve">semiperiferia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periferia</w:t>
      </w:r>
      <w:r>
        <w:t xml:space="preserve">. O centro concentra atividades de alto valor agregado, finanças e tecnologia. A periferia exporta bens primários e trabalho barato. A semiperiferia combina os dois padrões e funciona como zona de amortecimento político do sistema. Arrighi (1994) acrescenta a dinâmica dos</w:t>
      </w:r>
      <w:r>
        <w:t xml:space="preserve"> </w:t>
      </w:r>
      <w:r>
        <w:rPr>
          <w:bCs/>
          <w:b/>
        </w:rPr>
        <w:t xml:space="preserve">ciclos sistêmicos de acumulação</w:t>
      </w:r>
      <w:r>
        <w:t xml:space="preserve">: cada hegemonia (genovesa, holandesa, britânica, norte-americana) passa por uma fase material de expansão e uma fase financeira de crise, e a transição em curso tem a China como desafiante.</w:t>
      </w:r>
    </w:p>
    <w:p>
      <w:pPr>
        <w:pStyle w:val="BodyText"/>
      </w:pPr>
      <w:r>
        <w:t xml:space="preserve">A tradição latino-americana chegou a conclusões convergentes por outra via. A teoria da dependência, em suas versões weberiana (Cardoso e Faletto) e marxista (Marini), mostrou que o desenvolvimento periférico é condicionado pela forma de inserção externa e por alianças entre frações de classe internas e capitais externos. Marini chamou de</w:t>
      </w:r>
      <w:r>
        <w:t xml:space="preserve"> </w:t>
      </w:r>
      <w:r>
        <w:rPr>
          <w:bCs/>
          <w:b/>
        </w:rPr>
        <w:t xml:space="preserve">superexploração do trabalho</w:t>
      </w:r>
      <w:r>
        <w:t xml:space="preserve"> </w:t>
      </w:r>
      <w:r>
        <w:t xml:space="preserve">o mecanismo pelo qual economias dependentes compensam a transferência de valor ao centro.</w:t>
      </w:r>
    </w:p>
    <w:p>
      <w:pPr>
        <w:pStyle w:val="CaptionedFigure"/>
      </w:pPr>
      <w:r>
        <w:drawing>
          <wp:inline>
            <wp:extent cx="5334000" cy="2557903"/>
            <wp:effectExtent b="0" l="0" r="0" t="0"/>
            <wp:docPr descr="Figura 1. Fonte: Classificação analítica baseada em Wallerstein (2004) e Babones (2012)." title="" id="23" name="Picture"/>
            <a:graphic>
              <a:graphicData uri="http://schemas.openxmlformats.org/drawingml/2006/picture">
                <pic:pic>
                  <pic:nvPicPr>
                    <pic:cNvPr descr="/home/claude/man/figs/fig01_p007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7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Figura 1.</w:t>
      </w:r>
      <w:r>
        <w:t xml:space="preserve"> </w:t>
      </w:r>
      <w:r>
        <w:t xml:space="preserve">Fonte: Classificação analítica baseada em Wallerstein (2004) e Babones (2012).</w:t>
      </w:r>
    </w:p>
    <w:p>
      <w:pPr>
        <w:pStyle w:val="BodyText"/>
      </w:pPr>
      <w:r>
        <w:t xml:space="preserve">O Brasil é um caso típico de semiperiferia estagnada. Seu PIB per capita oscila entre 25% e 31% do norte-americano desde 1989, enquanto a China saltou de 4% para 32% no mesmo período. O peso brasileiro no PIB mundial caiu de 3,2% para 2,4%, e o chinês subiu de 3,2% para 19,3%.</w:t>
      </w:r>
    </w:p>
    <w:p>
      <w:pPr>
        <w:pStyle w:val="CaptionedFigure"/>
      </w:pPr>
      <w:r>
        <w:drawing>
          <wp:inline>
            <wp:extent cx="5334000" cy="2972759"/>
            <wp:effectExtent b="0" l="0" r="0" t="0"/>
            <wp:docPr descr="Figura 2. Fonte: Banco Mundial, PIB per capita em PPC (dólares internacionais constantes de 2021)." title="" id="26" name="Picture"/>
            <a:graphic>
              <a:graphicData uri="http://schemas.openxmlformats.org/drawingml/2006/picture">
                <pic:pic>
                  <pic:nvPicPr>
                    <pic:cNvPr descr="/home/claude/man/figs/fig02_p007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2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Figura 2.</w:t>
      </w:r>
      <w:r>
        <w:t xml:space="preserve"> </w:t>
      </w:r>
      <w:r>
        <w:t xml:space="preserve">Fonte: Banco Mundial, PIB per capita em PPC (dólares internacionais constantes de 2021).</w:t>
      </w:r>
    </w:p>
    <w:p>
      <w:pPr>
        <w:pStyle w:val="CaptionedFigure"/>
      </w:pPr>
      <w:r>
        <w:drawing>
          <wp:inline>
            <wp:extent cx="5334000" cy="2971193"/>
            <wp:effectExtent b="0" l="0" r="0" t="0"/>
            <wp:docPr descr="Figura 3. Fonte: Banco Mundial, PIB em PPC (dólares internacionais constantes de 2021)." title="" id="29" name="Picture"/>
            <a:graphic>
              <a:graphicData uri="http://schemas.openxmlformats.org/drawingml/2006/picture">
                <pic:pic>
                  <pic:nvPicPr>
                    <pic:cNvPr descr="/home/claude/man/figs/fig03_p008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11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Figura 3.</w:t>
      </w:r>
      <w:r>
        <w:t xml:space="preserve"> </w:t>
      </w:r>
      <w:r>
        <w:t xml:space="preserve">Fonte: Banco Mundial, PIB em PPC (dólares internacionais constantes de 2021).</w:t>
      </w:r>
    </w:p>
    <w:p>
      <w:pPr>
        <w:pStyle w:val="BodyText"/>
      </w:pPr>
      <w:r>
        <w:t xml:space="preserve">A inserção externa brasileira sofreu duas mudanças que a teoria ajuda a interpretar. A primeira é a</w:t>
      </w:r>
      <w:r>
        <w:t xml:space="preserve"> </w:t>
      </w:r>
      <w:r>
        <w:rPr>
          <w:bCs/>
          <w:b/>
        </w:rPr>
        <w:t xml:space="preserve">desindustrialização precoce</w:t>
      </w:r>
      <w:r>
        <w:t xml:space="preserve"> </w:t>
      </w:r>
      <w:r>
        <w:t xml:space="preserve">(Rodrik, 2016): a indústria de transformação caiu de 32% do PIB em 1985 para 10% a 12% na década de 2020, antes de o país atingir renda alta. A segunda é a</w:t>
      </w:r>
      <w:r>
        <w:t xml:space="preserve"> </w:t>
      </w:r>
      <w:r>
        <w:rPr>
          <w:bCs/>
          <w:b/>
        </w:rPr>
        <w:t xml:space="preserve">reprimarização da pauta exportadora</w:t>
      </w:r>
      <w:r>
        <w:t xml:space="preserve">: os manufaturados caíram de 58% das exportações (2000) para 23% (2024), enquanto alimentos e combustíveis subiram de 25% para 57%. A China passou de destino marginal a principal comprador: em 2025 levou cerca de 28% das exportações brasileiras, contra 10,8% dos EUA, que em 2002 compravam 26%.</w:t>
      </w:r>
    </w:p>
    <w:p>
      <w:pPr>
        <w:pStyle w:val="CaptionedFigure"/>
      </w:pPr>
      <w:r>
        <w:drawing>
          <wp:inline>
            <wp:extent cx="5334000" cy="2974730"/>
            <wp:effectExtent b="0" l="0" r="0" t="0"/>
            <wp:docPr descr="Figura 4. Fonte: Banco Mundial, indicador NV.IND.MANF.ZS." title="" id="32" name="Picture"/>
            <a:graphic>
              <a:graphicData uri="http://schemas.openxmlformats.org/drawingml/2006/picture">
                <pic:pic>
                  <pic:nvPicPr>
                    <pic:cNvPr descr="/home/claude/man/figs/fig04_p008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4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Figura 4.</w:t>
      </w:r>
      <w:r>
        <w:t xml:space="preserve"> </w:t>
      </w:r>
      <w:r>
        <w:t xml:space="preserve">Fonte: Banco Mundial, indicador NV.IND.MANF.ZS.</w:t>
      </w:r>
    </w:p>
    <w:p>
      <w:pPr>
        <w:pStyle w:val="CaptionedFigure"/>
      </w:pPr>
      <w:r>
        <w:drawing>
          <wp:inline>
            <wp:extent cx="5334000" cy="2835584"/>
            <wp:effectExtent b="0" l="0" r="0" t="0"/>
            <wp:docPr descr="Figura 5. Fonte: Banco Mundial, composição das exportações de mercadorias." title="" id="35" name="Picture"/>
            <a:graphic>
              <a:graphicData uri="http://schemas.openxmlformats.org/drawingml/2006/picture">
                <pic:pic>
                  <pic:nvPicPr>
                    <pic:cNvPr descr="/home/claude/man/figs/fig05_p009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5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Figura 5.</w:t>
      </w:r>
      <w:r>
        <w:t xml:space="preserve"> </w:t>
      </w:r>
      <w:r>
        <w:t xml:space="preserve">Fonte: Banco Mundial, composição das exportações de mercadorias.</w:t>
      </w:r>
    </w:p>
    <w:p>
      <w:pPr>
        <w:pStyle w:val="BodyText"/>
      </w:pPr>
      <w:r>
        <w:rPr>
          <w:bCs/>
          <w:b/>
        </w:rPr>
        <w:t xml:space="preserve">Consequência política.</w:t>
      </w:r>
      <w:r>
        <w:t xml:space="preserve"> </w:t>
      </w:r>
      <w:r>
        <w:t xml:space="preserve">Campello e Zucco (2016; 2020) demonstram que a popularidade e a reeleição de presidentes latino-americanos em economias dependentes de commodities são explicadas em grande parte por duas variáveis externas que nenhum governo controla: o preço das commodities e a taxa de juros dos EUA. É a</w:t>
      </w:r>
      <w:r>
        <w:t xml:space="preserve"> </w:t>
      </w:r>
      <w:r>
        <w:t xml:space="preserve">“</w:t>
      </w:r>
      <w:r>
        <w:t xml:space="preserve">maldição da volatilidade</w:t>
      </w:r>
      <w:r>
        <w:t xml:space="preserve">”</w:t>
      </w:r>
      <w:r>
        <w:t xml:space="preserve">: eleitores premiam e punem governos por choques exógenos, o que enfraquece a responsabilização e favorece a alternância brusca. A série de termos de troca ilustra o ponto: o pico de 2011 coincide com o auge do lulismo, e a queda de 2012 a 2015 (de 127 para 100) antecede a crise política. Em 2027–2030, os dois canais apontam contra o governo: o Fed subiu juros em setembro de 2026, e o choque do petróleo encarece combustíveis, fertilizantes e alimentos.</w:t>
      </w:r>
    </w:p>
    <w:p>
      <w:pPr>
        <w:pStyle w:val="CaptionedFigure"/>
      </w:pPr>
      <w:r>
        <w:drawing>
          <wp:inline>
            <wp:extent cx="5334000" cy="3000597"/>
            <wp:effectExtent b="0" l="0" r="0" t="0"/>
            <wp:docPr descr="Figura 6. Fonte: Banco Mundial, índice de termos de troca de mercadorias (2015 = 100); série disponível a partir de 2005." title="" id="38" name="Picture"/>
            <a:graphic>
              <a:graphicData uri="http://schemas.openxmlformats.org/drawingml/2006/picture">
                <pic:pic>
                  <pic:nvPicPr>
                    <pic:cNvPr descr="/home/claude/man/figs/fig06_p009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5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Figura 6.</w:t>
      </w:r>
      <w:r>
        <w:t xml:space="preserve"> </w:t>
      </w:r>
      <w:r>
        <w:t xml:space="preserve">Fonte: Banco Mundial, índice de termos de troca de mercadorias (2015 = 100); série disponível a partir de 2005.</w:t>
      </w:r>
    </w:p>
    <w:p>
      <w:r>
        <w:br w:type="page"/>
      </w:r>
    </w:p>
    <w:bookmarkEnd w:id="40"/>
    <w:bookmarkStart w:id="44" w:name="X5ab5f0ca8e9dffa43a7c0fbc7140de09f26633f"/>
    <w:p>
      <w:pPr>
        <w:pStyle w:val="Heading2"/>
      </w:pPr>
      <w:r>
        <w:t xml:space="preserve">1.3 América Latina: ciclos de esquerda e direita</w:t>
      </w:r>
    </w:p>
    <w:p>
      <w:pPr>
        <w:pStyle w:val="FirstParagraph"/>
      </w:pPr>
      <w:r>
        <w:t xml:space="preserve">A</w:t>
      </w:r>
      <w:r>
        <w:t xml:space="preserve"> </w:t>
      </w:r>
      <w:r>
        <w:t xml:space="preserve">“</w:t>
      </w:r>
      <w:r>
        <w:t xml:space="preserve">maré rosa</w:t>
      </w:r>
      <w:r>
        <w:t xml:space="preserve">”</w:t>
      </w:r>
      <w:r>
        <w:t xml:space="preserve"> </w:t>
      </w:r>
      <w:r>
        <w:t xml:space="preserve">dos anos 2000 (Levitsky e Roberts, 2011) foi, em grande medida, um efeito do superciclo das commodities combinado com o esgotamento do Consenso de Washington. O fim do superciclo, a partir de 2012–2014, abriu uma fase de alternância contra os incumbentes, que se transformou, entre 2024 e 2026, numa virada à direita sem precedentes desde a redemocratização. A reeleição de Lula faz do Brasil, com o México, um dos dois grandes países da região governados pela esquerda.</w:t>
      </w:r>
    </w:p>
    <w:p>
      <w:pPr>
        <w:pStyle w:val="CaptionedFigure"/>
      </w:pPr>
      <w:r>
        <w:drawing>
          <wp:inline>
            <wp:extent cx="5334000" cy="6066204"/>
            <wp:effectExtent b="0" l="0" r="0" t="0"/>
            <wp:docPr descr="Figura 7. Fonte: Latinobarómetro, Informe 2026: classificação dos governos de 18 países." title="" id="42" name="Picture"/>
            <a:graphic>
              <a:graphicData uri="http://schemas.openxmlformats.org/drawingml/2006/picture">
                <pic:pic>
                  <pic:nvPicPr>
                    <pic:cNvPr descr="/home/claude/man/figs/fig07_p010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662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Figura 7.</w:t>
      </w:r>
      <w:r>
        <w:t xml:space="preserve"> </w:t>
      </w:r>
      <w:r>
        <w:t xml:space="preserve">Fonte: Latinobarómetro, Informe 2026: classificação dos governos de 18 países.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Classificação (Latinobarómetro,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Países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Esquerda (4)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México, Brasil, Guatemala, Uruguai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Centro e centro-direita (7)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Costa Rica, Honduras, Bolívia, Panamá, Equador, Paraguai, República Dominicana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Extrema direita (4)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Argentina (Milei), Chile (Kast), Peru (Keiko Fujimori), Colômbia (Abelardo de la Espriella)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Ditaduras 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Salvador, Venezuela, Nicarágua</w:t>
            </w:r>
          </w:p>
        </w:tc>
      </w:tr>
    </w:tbl>
    <w:p>
      <w:pPr>
        <w:pStyle w:val="BodyText"/>
      </w:pPr>
      <w:r>
        <w:t xml:space="preserve">Três traços regionais importam para o Brasil. Primeiro, as alternâncias de 2024–2026 foram punições a governos que não responderam a demandas de segurança, emprego e custo de vida, independentemente de sua ideologia. Segundo, a nova direita latino-americana é heterogênea (Rovira Kaltwasser, 2022): combina libertarismo econômico (Milei), conservadorismo religioso, punitivismo de estilo Bukele e alinhamento explícito com o governo Trump. Terceiro, a política de segurança se tornou o principal eixo de disputa regional, com o modelo salvadorenho como referência para eleitores de baixa renda expostos ao crime.</w:t>
      </w:r>
    </w:p>
    <w:p>
      <w:pPr>
        <w:pStyle w:val="BodyText"/>
      </w:pPr>
      <w:r>
        <w:t xml:space="preserve">Há um quarto traço, revelado em 2026: os governos de direita e de centro-direita da região são pragmáticos com o Brasil. Kast, Keiko Fujimori, De la Espriella, Noboa, Peña e Rodrigo Paz felicitaram Lula pela reeleição, enquanto o governo dos EUA e Milei silenciaram. A integração sul-americana segue possível com governos de outra orientação, desde que ancorada em interesses concretos.</w:t>
      </w:r>
    </w:p>
    <w:p>
      <w:r>
        <w:br w:type="page"/>
      </w:r>
    </w:p>
    <w:bookmarkEnd w:id="44"/>
    <w:bookmarkStart w:id="48" w:name="a-onda-global-da-direita-radical"/>
    <w:p>
      <w:pPr>
        <w:pStyle w:val="Heading2"/>
      </w:pPr>
      <w:r>
        <w:t xml:space="preserve">1.4 A onda global da direita radical</w:t>
      </w:r>
    </w:p>
    <w:p>
      <w:pPr>
        <w:pStyle w:val="FirstParagraph"/>
      </w:pPr>
      <w:r>
        <w:t xml:space="preserve">A literatura internacional identifica cinco mecanismos, que atuam de forma combinada: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Explicação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Mecanismo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Relevância para o Brasil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Reação cultural (Norris e Inglehart, 2019)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Mudança de valores pós-materialistas gera reação de grupos que perdem status cultural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Voto na direita autoritária concentrado em gerações mais velhas e menos escolarizadas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Alta: pânicos morais (gênero, família) desde 2014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Choque comercial e insegurança econômica (Autor, Dorn e Hanson; Colantone e Stanig, 2018)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Perda de empregos industriais pela concorrência chinesa radicaliza o voto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Regiões mais expostas à China votaram mais à direita nos EUA e no Brexit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Alta: desindustrialização e uberização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Crises financeiras (Funke, Schularick e Trebesch, 2016)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Após crises financeiras, o voto na extrema direita cresce cerca de 30% em 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 eleições em 20 países, 1870–2014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Alta: recessão de 2015–2016 antecede 2018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Clivagem educacional (Gethin, Martínez-Toledano e Piketty, 2021)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esquerda vira partido dos diplomados (</w:t>
            </w:r>
            <w:r>
              <w:t xml:space="preserve">“</w:t>
            </w:r>
            <w:r>
              <w:t xml:space="preserve">esquerda brâmane</w:t>
            </w:r>
            <w:r>
              <w:t xml:space="preserve">”</w:t>
            </w:r>
            <w:r>
              <w:t xml:space="preserve">) e perde os trabalhadores menos escolarizados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democracias ocidentais, 1948–2020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Parcial: no Brasil, o PT mantém os menos escolarizados, mas perde os de renda média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Globalização e oferta populista (Rodrik, 2018)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Choques de globalização criam demanda, e o tipo de choque define se o populismo é de esquerda ou de direita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Choques culturais e migratórios favorecem a direita; choques financeiros e comerciais, a esquerda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Média: no Brasil, o choque foi narrado como moral e de segurança</w:t>
            </w:r>
          </w:p>
        </w:tc>
      </w:tr>
    </w:tbl>
    <w:p>
      <w:pPr>
        <w:pStyle w:val="CaptionedFigure"/>
      </w:pPr>
      <w:r>
        <w:drawing>
          <wp:inline>
            <wp:extent cx="5334000" cy="2937717"/>
            <wp:effectExtent b="0" l="0" r="0" t="0"/>
            <wp:docPr descr="Figura 8. Fonte: V-Dem, índice de democracia liberal, via Our World in Data." title="" id="46" name="Picture"/>
            <a:graphic>
              <a:graphicData uri="http://schemas.openxmlformats.org/drawingml/2006/picture">
                <pic:pic>
                  <pic:nvPicPr>
                    <pic:cNvPr descr="/home/claude/man/figs/fig08_p012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7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Figura 8.</w:t>
      </w:r>
      <w:r>
        <w:t xml:space="preserve"> </w:t>
      </w:r>
      <w:r>
        <w:t xml:space="preserve">Fonte: V-Dem, índice de democracia liberal, via Our World in Data.</w:t>
      </w:r>
    </w:p>
    <w:p>
      <w:pPr>
        <w:pStyle w:val="BodyText"/>
      </w:pPr>
      <w:r>
        <w:t xml:space="preserve">A comparação de índices de democracia liberal mostra que o Brasil teve um dos maiores recuos do mundo entre 2014 (0,78) e 2019 (0,53), comparável à Hungria e à Índia, mas também uma das raras recuperações (0,71 em 2024), associada à resistência institucional de 2022–2023. Os EUA, centro do sistema, caíram para 0,57 em 2025 e, no relatório de 2026 do V-Dem, deixaram de ser classificados como democracia liberal pela primeira vez em mais de 50 anos. O principal polo do sistema-mundo passou a exportar, e não a conter, o modelo da direita radical.</w:t>
      </w:r>
    </w:p>
    <w:p>
      <w:pPr>
        <w:pStyle w:val="BodyText"/>
      </w:pPr>
      <w:r>
        <w:t xml:space="preserve">A onda não é irreversível. Em abril de 2026, o Tisza, de Péter Magyar, derrotou o Fidesz na Hungria com maioria de dois terços, encerrando 16 anos de Orbán. No Brasil, a esquerda venceu duas eleições seguidas contra a extrema direita. Nos dois casos, a vitória dependeu de uma frente ampla, de uma agenda de custo de vida e de integridade e de mobilização.</w:t>
      </w:r>
    </w:p>
    <w:p>
      <w:r>
        <w:br w:type="page"/>
      </w:r>
    </w:p>
    <w:bookmarkEnd w:id="48"/>
    <w:bookmarkStart w:id="49" w:name="X0e37b9362cadb2c5a35b5be3b2cfc204652e544"/>
    <w:p>
      <w:pPr>
        <w:pStyle w:val="Heading2"/>
      </w:pPr>
      <w:r>
        <w:t xml:space="preserve">1.5 Como o sistema-mundo se reflete no comportamento interno</w:t>
      </w:r>
    </w:p>
    <w:p>
      <w:pPr>
        <w:pStyle w:val="FirstParagraph"/>
      </w:pPr>
      <w:r>
        <w:t xml:space="preserve">A tradução dos condicionantes externos em comportamento político ocorre por cinco canais: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Mecanismo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Manifestação no Brasil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Econômico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Preços de commodities e juros externos definem crescimento, câmbio e inflação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Boom de 2004–2011; crise de 2015–2016; inflação de 2021–2022; choque do petróleo de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classe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Desindustrialização e reprimarização reduzem o emprego industrial e expandem serviços precários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Declínio do sindicalismo; trabalhador de aplicativo;</w:t>
            </w:r>
            <w:r>
              <w:t xml:space="preserve"> </w:t>
            </w:r>
            <w:r>
              <w:t xml:space="preserve">“</w:t>
            </w:r>
            <w:r>
              <w:t xml:space="preserve">empreendedor de si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Territorial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agronegócio exportador e a fronteira agrícola criam regiões de alto dinamismo e base conservadora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Centro-Oeste, Norte agrário, interior do Sul e Sudeste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Cultural e religioso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Circulação transnacional do pentecostalismo, da teologia da prosperidade e das</w:t>
            </w:r>
            <w:r>
              <w:t xml:space="preserve"> </w:t>
            </w:r>
            <w:r>
              <w:t xml:space="preserve">“</w:t>
            </w:r>
            <w:r>
              <w:t xml:space="preserve">guerras culturais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Crescimento evangélico de 9% para 27% (1991–2022)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Informacional e geopolítico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Plataformas dos EUA organizam a esfera pública; redes internacionais da direita (CPAC, Atlas, articulação com o trumpismo); sanções e tarifas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Tarifa de 50% (2025), substituída em 2026 por tarifas da Seção 301; disputa sobre regulação das plataformas e sobre o Pix</w:t>
            </w:r>
          </w:p>
        </w:tc>
      </w:tr>
    </w:tbl>
    <w:p>
      <w:pPr>
        <w:pStyle w:val="BodyText"/>
      </w:pPr>
      <w:r>
        <w:t xml:space="preserve">A crise da esquerda brasileira não é um fenômeno isolado nem apenas comunicacional. Ela ocorre numa semiperiferia que perdeu dinamismo industrial, num continente em virada à direita e num sistema-mundo em transição hegemônica, no qual o próprio centro abandonou a defesa da democracia liberal. A estratégia proposta neste manual parte desse quadro.</w:t>
      </w:r>
    </w:p>
    <w:p>
      <w:r>
        <w:br w:type="page"/>
      </w:r>
    </w:p>
    <w:bookmarkEnd w:id="49"/>
    <w:bookmarkStart w:id="50" w:name="X5a3c70abc2c6336fb7fee4c3fe435ad4ab748da"/>
    <w:p>
      <w:pPr>
        <w:pStyle w:val="Heading2"/>
      </w:pPr>
      <w:r>
        <w:t xml:space="preserve">1.6 O mundo de 2027–2030: guerras, democracias e geoeconomia</w:t>
      </w:r>
    </w:p>
    <w:p>
      <w:pPr>
        <w:pStyle w:val="FirstParagraph"/>
      </w:pPr>
      <w:r>
        <w:rPr>
          <w:bCs/>
          <w:b/>
        </w:rPr>
        <w:t xml:space="preserve">O quadro internacional do quarto mandato de Lula é o mais adverso desde a redemocratização.</w:t>
      </w:r>
      <w:r>
        <w:t xml:space="preserve"> </w:t>
      </w:r>
      <w:r>
        <w:t xml:space="preserve">Três guerras com efeito global estão em curso, a principal potência do sistema deixou de ser uma democracia liberal e a economia mundial cresce pouco, com inflação e juros em alta.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Situação em outubro de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 de impacto no Brasil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EUA e Israel contra o Irã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Guerra desde 28/2/2026; cessar-fogo colapsou em julho; bloqueio naval e Ormuz fechado; Brent perto de US$ 116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Combustíveis, fertilizantes, alimentos e inflação; receita do petróleo e da Petrobras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Colchão para preços de combustíveis; estoques e acordos de fertilizantes; defesa do direito internacional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Rússia e Ucrânia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 estático, cerca de 20% do território ucraniano ocupado, nova rodada de negociação provável em novembro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Fertilizantes, trigo e energia; pressão sobre a posição brasileira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Manter a iniciativa de Brasil e China pela paz, sem alinhamento automático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Gaza, Líbano, Cisjordânia e Mar Vermelho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Cessar-fogo frágil em Gaza; escalada na Cisjordânia; bloqueio dos houthis em Bab al-Mandab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Fretes, seguros e rotas comerciais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Defesa do direito humanitário; diversificação logística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Venezuela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Maduro capturado por forças dos EUA em 3/1/2026; governo interino sem data de eleição; acordo de petróleo com os EUA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Fronteira, refugiados e precedente de intervenção no continente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Saída eleitoral negociada; cooperação de fronteira; rejeição a intervenções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China, EUA e Taiwan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Cúpulas de maio e setembro sem acordo sobre chips e terras raras; exercícios militares em outubro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Comércio com o maior comprador do Brasil; disputa por minerais críticos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alinhamento ativo; política nacional de minerais críticos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África e Ásia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Sudão, RD Congo e Sahel sem cessar-fogo; tensão entre Índia e Paquistão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Agenda humanitária e de segurança alimentar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Cooperação Sul-Sul e ação na ONU</w:t>
            </w:r>
          </w:p>
        </w:tc>
      </w:tr>
    </w:tbl>
    <w:p>
      <w:pPr>
        <w:pStyle w:val="BodyText"/>
      </w:pPr>
      <w:r>
        <w:rPr>
          <w:bCs/>
          <w:b/>
        </w:rPr>
        <w:t xml:space="preserve">Democracias sob tensão.</w:t>
      </w:r>
      <w:r>
        <w:t xml:space="preserve"> </w:t>
      </w:r>
      <w:r>
        <w:t xml:space="preserve">O relatório de 2026 do V-Dem registra 92 autocracias e 87 democracias, com 74% da população mundial vivendo em autocracias, e 44 países em autocratização, entre eles EUA, Reino Unido e Itália. Na Europa, a AfD lidera as pesquisas na Alemanha com 28% a 29%, a França vive governo sem maioria e protestos de massa, o Reino Unido trocou de primeiro-ministro e a Espanha terá eleição antecipada em 29 de novembro. As eleições de meio de mandato nos EUA, em 3 de novembro, devem dar a Câmara aos democratas, o que pode moderar a política externa de Trump, mas não a reverte.</w:t>
      </w:r>
    </w:p>
    <w:p>
      <w:pPr>
        <w:pStyle w:val="BodyText"/>
      </w:pPr>
      <w:r>
        <w:rPr>
          <w:bCs/>
          <w:b/>
        </w:rPr>
        <w:t xml:space="preserve">Geoeconomia.</w:t>
      </w:r>
      <w:r>
        <w:t xml:space="preserve"> </w:t>
      </w:r>
      <w:r>
        <w:t xml:space="preserve">O FMI projeta crescimento mundial de 3,1% em 2026 e 3,4% em 2027, com inflação global de 4,7%, sob a hipótese de reabertura de Ormuz até março. Para o Brasil, a projeção caiu para 2,2% e 1,9%. As tarifas norte-americanas de 50% foram derrubadas pela Suprema Corte dos EUA em fevereiro de 2026, mas os EUA impuseram, em julho, tarifas de 25% pela Seção 301 e de 12,5% por alegado trabalho forçado, que somam até 37,5% sobre cerca de 4 mil produtos. A sanção da Lei Magnitsky ao ministro Alexandre de Moraes foi retirada em dezembro de 2025. O acordo Mercosul–União Europeia está em aplicação provisória desde maio de 2026. O Brasil tem a segunda maior reserva de terras raras do mundo, o que o coloca no centro da disputa entre EUA e China por minerais críticos.</w:t>
      </w:r>
    </w:p>
    <w:p>
      <w:pPr>
        <w:pStyle w:val="BlockText"/>
      </w:pPr>
      <w:r>
        <w:rPr>
          <w:bCs/>
          <w:b/>
        </w:rPr>
        <w:t xml:space="preserve">Implicação para a estratégia.</w:t>
      </w:r>
      <w:r>
        <w:t xml:space="preserve"> </w:t>
      </w:r>
      <w:r>
        <w:t xml:space="preserve">O governo não controla o preço do petróleo, os juros dos EUA nem as guerras. Controla três coisas: o colchão doméstico contra o choque (preços de energia, alimentos e crédito), a diversificação de parceiros e a narrativa de soberania associada a resultados concretos. A experiência de 2015 ensina que um choque externo sem organização social e sem coalizão estável derruba governos de esquerda.</w:t>
      </w:r>
    </w:p>
    <w:p>
      <w:r>
        <w:br w:type="page"/>
      </w:r>
    </w:p>
    <w:bookmarkEnd w:id="50"/>
    <w:bookmarkEnd w:id="51"/>
    <w:bookmarkStart w:id="89" w:name="Xf6ff849bf3db834be1ed6f8639893986937847b"/>
    <w:p>
      <w:pPr>
        <w:pStyle w:val="Heading1"/>
      </w:pPr>
      <w:r>
        <w:t xml:space="preserve">Parte 2 · Transformações estruturais, 1989–2026</w:t>
      </w:r>
    </w:p>
    <w:p>
      <w:r>
        <w:br w:type="page"/>
      </w:r>
    </w:p>
    <w:bookmarkStart w:id="58" w:name="Xc21cf316d517856bd878a136d07db2b674b00b7"/>
    <w:p>
      <w:pPr>
        <w:pStyle w:val="Heading2"/>
      </w:pPr>
      <w:r>
        <w:t xml:space="preserve">2.1 Economia: ciclos curtos numa trajetória longa de baixo crescimento</w:t>
      </w:r>
    </w:p>
    <w:p>
      <w:pPr>
        <w:pStyle w:val="FirstParagraph"/>
      </w:pPr>
      <w:r>
        <w:t xml:space="preserve">A economia brasileira alternou quatro regimes desde 1989: hiperinflação e ajuste (1989–1994), estabilização com baixo crescimento (1995–2002), boom de commodities e inclusão (2003–2013) e uma década de crise e recuperação lenta (2014–2025). O crescimento médio anual foi de 1,4% sob Collor e Itamar, 2,4% sob FHC, 4,1% sob Lula 1–2, 1,2% sob Dilma (2011–2015), −0,1% sob Temer, 1,4% sob Bolsonaro e 3,0% sob Lula 3 (2023–2025).</w:t>
      </w:r>
    </w:p>
    <w:p>
      <w:pPr>
        <w:pStyle w:val="CaptionedFigure"/>
      </w:pPr>
      <w:r>
        <w:drawing>
          <wp:inline>
            <wp:extent cx="5334000" cy="2984626"/>
            <wp:effectExtent b="0" l="0" r="0" t="0"/>
            <wp:docPr descr="Figura 9. Fonte: Banco Mundial, NY.GDP.MKTP.KD.ZG e SL.UEM.TOTL.ZS; 2025 é estimativa." title="" id="53" name="Picture"/>
            <a:graphic>
              <a:graphicData uri="http://schemas.openxmlformats.org/drawingml/2006/picture">
                <pic:pic>
                  <pic:nvPicPr>
                    <pic:cNvPr descr="/home/claude/man/figs/fig09_p015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46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Figura 9.</w:t>
      </w:r>
      <w:r>
        <w:t xml:space="preserve"> </w:t>
      </w:r>
      <w:r>
        <w:t xml:space="preserve">Fonte: Banco Mundial, NY.GDP.MKTP.KD.ZG e SL.UEM.TOTL.ZS; 2025 é estimativa.</w:t>
      </w:r>
    </w:p>
    <w:p>
      <w:pPr>
        <w:pStyle w:val="CaptionedFigure"/>
      </w:pPr>
      <w:r>
        <w:drawing>
          <wp:inline>
            <wp:extent cx="5334000" cy="2909140"/>
            <wp:effectExtent b="0" l="0" r="0" t="0"/>
            <wp:docPr descr="Figura 10. Fonte: Banco Mundial, FP.CPI.TOTL.ZG (média anual; difere do IPCA acumulado em dezembro)." title="" id="56" name="Picture"/>
            <a:graphic>
              <a:graphicData uri="http://schemas.openxmlformats.org/drawingml/2006/picture">
                <pic:pic>
                  <pic:nvPicPr>
                    <pic:cNvPr descr="/home/claude/man/figs/fig10_p016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9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Figura 10.</w:t>
      </w:r>
      <w:r>
        <w:t xml:space="preserve"> </w:t>
      </w:r>
      <w:r>
        <w:t xml:space="preserve">Fonte: Banco Mundial, FP.CPI.TOTL.ZG (média anual; difere do IPCA acumulado em dezembro).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Governo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PIB médio ao 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Inflação no último 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Desemprego no último 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Choque externo dominante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Collor e Itamar (1990–1994)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2.076%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Crise da dívida; fim do ciclo inflacionário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FHC (1995–2002)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Crises asiática, russa e argentina; juros altos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Lula 1–2 (2003–2010)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Superciclo de commodities; China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Dilma (2011–2015)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Fim do superciclo; queda dos termos de troca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Temer (2016–2018)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−0,1%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Recuperação lenta; teto de gastos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Bolsonaro (2019–2022)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Pandemia; choque de preços de alimentos e energia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Lula 3 (2023–2025)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Tarifas dos EUA; reorientação para a China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Lula 4 (2027–2030)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Guerra no Golfo e choque do petróleo; juros dos EUA em alta</w:t>
            </w:r>
          </w:p>
        </w:tc>
      </w:tr>
    </w:tbl>
    <w:p>
      <w:pPr>
        <w:pStyle w:val="BodyText"/>
      </w:pPr>
      <w:r>
        <w:t xml:space="preserve">A recessão de 2015–2016, com queda acumulada de cerca de 7% do PIB, foi o principal choque econômico do período e o único comparável, na literatura comparada, às crises financeiras que antecedem ondas de extrema direita (Funke, Schularick e Trebesch, 2016). O quarto mandato começa com crescimento projetado abaixo de 2% em 2027: a margem para errar é menor que em 2023.</w:t>
      </w:r>
    </w:p>
    <w:p>
      <w:r>
        <w:br w:type="page"/>
      </w:r>
    </w:p>
    <w:bookmarkEnd w:id="58"/>
    <w:bookmarkStart w:id="74" w:name="X9b02fe7ca3c06530d5cdf355d1664e8309bff85"/>
    <w:p>
      <w:pPr>
        <w:pStyle w:val="Heading2"/>
      </w:pPr>
      <w:r>
        <w:t xml:space="preserve">2.2 Estrutura social: mobilidade, pobreza e fome</w:t>
      </w:r>
    </w:p>
    <w:p>
      <w:pPr>
        <w:pStyle w:val="FirstParagraph"/>
      </w:pPr>
      <w:r>
        <w:t xml:space="preserve">A mobilidade social de 1990 a 2024 transformou a estrutura de classes. Pelo critério de segurança econômica do Banco Mundial, a classe média passou de 16% para 49% da população, os vulneráveis de 19% para 29% e os pobres de 64% para 19%.</w:t>
      </w:r>
    </w:p>
    <w:p>
      <w:pPr>
        <w:pStyle w:val="CaptionedFigure"/>
      </w:pPr>
      <w:r>
        <w:drawing>
          <wp:inline>
            <wp:extent cx="5334000" cy="2972759"/>
            <wp:effectExtent b="0" l="0" r="0" t="0"/>
            <wp:docPr descr="Figura 11. Fonte: Banco Mundial, Poverty and Inequality Platform (PPC 2017)." title="" id="60" name="Picture"/>
            <a:graphic>
              <a:graphicData uri="http://schemas.openxmlformats.org/drawingml/2006/picture">
                <pic:pic>
                  <pic:nvPicPr>
                    <pic:cNvPr descr="/home/claude/man/figs/fig11_p017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2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Figura 11.</w:t>
      </w:r>
      <w:r>
        <w:t xml:space="preserve"> </w:t>
      </w:r>
      <w:r>
        <w:t xml:space="preserve">Fonte: Banco Mundial, Poverty and Inequality Platform (PPC 2017).</w:t>
      </w:r>
    </w:p>
    <w:p>
      <w:pPr>
        <w:pStyle w:val="CaptionedFigure"/>
      </w:pPr>
      <w:r>
        <w:drawing>
          <wp:inline>
            <wp:extent cx="5334000" cy="2879264"/>
            <wp:effectExtent b="0" l="0" r="0" t="0"/>
            <wp:docPr descr="Figura 12. Fonte: IPEA, séries PNADS_PERCPOBRE300 e PNADS_PERCPOBRE830." title="" id="63" name="Picture"/>
            <a:graphic>
              <a:graphicData uri="http://schemas.openxmlformats.org/drawingml/2006/picture">
                <pic:pic>
                  <pic:nvPicPr>
                    <pic:cNvPr descr="/home/claude/man/figs/fig12_p017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9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Figura 12.</w:t>
      </w:r>
      <w:r>
        <w:t xml:space="preserve"> </w:t>
      </w:r>
      <w:r>
        <w:t xml:space="preserve">Fonte: IPEA, séries PNADS_PERCPOBRE300 e PNADS_PERCPOBRE830.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Extrema pobreza (US$ 3,00/dia, % da população)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23,7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Extrema pobreza (milhões de pessoas)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Pobreza (US$ 8,30/dia, % da população)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38,9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Pobreza (milhões de pessoas)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53,6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Gini (×100)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52,6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54,4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51,1</w:t>
            </w:r>
          </w:p>
        </w:tc>
      </w:tr>
    </w:tbl>
    <w:p>
      <w:pPr>
        <w:pStyle w:val="CaptionedFigure"/>
      </w:pPr>
      <w:r>
        <w:drawing>
          <wp:inline>
            <wp:extent cx="5334000" cy="2976704"/>
            <wp:effectExtent b="0" l="0" r="0" t="0"/>
            <wp:docPr descr="Figura 13. Fonte: IPEA, série PNADS_GINI." title="" id="66" name="Picture"/>
            <a:graphic>
              <a:graphicData uri="http://schemas.openxmlformats.org/drawingml/2006/picture">
                <pic:pic>
                  <pic:nvPicPr>
                    <pic:cNvPr descr="/home/claude/man/figs/fig13_p018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6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Figura 13.</w:t>
      </w:r>
      <w:r>
        <w:t xml:space="preserve"> </w:t>
      </w:r>
      <w:r>
        <w:t xml:space="preserve">Fonte: IPEA, série PNADS_GINI.</w:t>
      </w:r>
    </w:p>
    <w:p>
      <w:pPr>
        <w:pStyle w:val="BodyText"/>
      </w:pPr>
      <w:r>
        <w:rPr>
          <w:bCs/>
          <w:b/>
        </w:rPr>
        <w:t xml:space="preserve">Fome.</w:t>
      </w:r>
      <w:r>
        <w:t xml:space="preserve"> </w:t>
      </w:r>
      <w:r>
        <w:t xml:space="preserve">A subnutrição caiu de 10,5% (2001) para menos de 2,5% a partir de 2012–2013, e o Brasil saiu do Mapa da Fome da FAO no relatório de 2014. Voltou a ficar acima do limite em 2020–2022 (3,4% em 2021), com a pandemia e o desmonte de programas, e saiu de novo no relatório de 2025, situação confirmada em 2026. Pela PNAD Contínua de Segurança Alimentar, 6,48 milhões de pessoas viviam em insegurança alimentar grave em 2024, o menor nível em 20 anos.</w:t>
      </w:r>
    </w:p>
    <w:p>
      <w:pPr>
        <w:pStyle w:val="CaptionedFigure"/>
      </w:pPr>
      <w:r>
        <w:drawing>
          <wp:inline>
            <wp:extent cx="5334000" cy="2981077"/>
            <wp:effectExtent b="0" l="0" r="0" t="0"/>
            <wp:docPr descr="Figura 14. Fonte: FAO, via Banco Mundial (SN.ITK.DEFC.ZS); relatórios SOFI 2014, 2025 e 2026." title="" id="69" name="Picture"/>
            <a:graphic>
              <a:graphicData uri="http://schemas.openxmlformats.org/drawingml/2006/picture">
                <pic:pic>
                  <pic:nvPicPr>
                    <pic:cNvPr descr="/home/claude/man/figs/fig14_p019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10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Figura 14.</w:t>
      </w:r>
      <w:r>
        <w:t xml:space="preserve"> </w:t>
      </w:r>
      <w:r>
        <w:t xml:space="preserve">Fonte: FAO, via Banco Mundial (SN.ITK.DEFC.ZS); relatórios SOFI 2014, 2025 e 2026.</w:t>
      </w:r>
    </w:p>
    <w:p>
      <w:pPr>
        <w:pStyle w:val="BodyText"/>
      </w:pPr>
      <w:r>
        <w:rPr>
          <w:bCs/>
          <w:b/>
        </w:rPr>
        <w:t xml:space="preserve">Renda e salário mínimo.</w:t>
      </w:r>
      <w:r>
        <w:t xml:space="preserve"> </w:t>
      </w:r>
      <w:r>
        <w:t xml:space="preserve">O salário mínimo real passou de R$ 506 (1991, o piso da série) para R$ 1.633 (2026), em reais de 2026. O crescimento foi de 30% sob FHC, 57% sob Lula 1–2 e 12% sob Dilma, praticamente nulo sob Temer e Bolsonaro e de 14% sob Lula 3. A renda domiciliar per capita subiu de R$ 1.251 (1995) para R$ 2.262 (2025), em reais de 2025.</w:t>
      </w:r>
    </w:p>
    <w:p>
      <w:pPr>
        <w:pStyle w:val="CaptionedFigure"/>
      </w:pPr>
      <w:r>
        <w:drawing>
          <wp:inline>
            <wp:extent cx="5334000" cy="2857257"/>
            <wp:effectExtent b="0" l="0" r="0" t="0"/>
            <wp:docPr descr="Figura 15. Fonte: IPEA, séries GAC12_SALMINRE12 e PNADS_RENDAMEDIA." title="" id="72" name="Picture"/>
            <a:graphic>
              <a:graphicData uri="http://schemas.openxmlformats.org/drawingml/2006/picture">
                <pic:pic>
                  <pic:nvPicPr>
                    <pic:cNvPr descr="/home/claude/man/figs/fig15_p019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2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Figura 15.</w:t>
      </w:r>
      <w:r>
        <w:t xml:space="preserve"> </w:t>
      </w:r>
      <w:r>
        <w:t xml:space="preserve">Fonte: IPEA, séries GAC12_SALMINRE12 e PNADS_RENDAMEDIA.</w:t>
      </w:r>
    </w:p>
    <w:p>
      <w:pPr>
        <w:pStyle w:val="BodyText"/>
      </w:pPr>
      <w:r>
        <w:rPr>
          <w:bCs/>
          <w:b/>
        </w:rPr>
        <w:t xml:space="preserve">A natureza da nova classe média.</w:t>
      </w:r>
      <w:r>
        <w:t xml:space="preserve"> </w:t>
      </w:r>
      <w:r>
        <w:t xml:space="preserve">A ascensão da classe C (Neri) não produziu uma classe média consolidada. A maior parte dos que deixaram a pobreza permaneceu no estrato vulnerável, com alto risco de recaída (Ferreira e coautores, 2013), e ocupou empregos de serviços mal remunerados e instáveis: é uma nova classe trabalhadora (Pochmann, 2014; Souza, 2010). Ao mesmo tempo, a fatia do 1% mais rico ficou estável nos anos 2000 (Medeiros, Souza e Castro, 2015): a desigualdade caiu na base e no meio da distribuição, não no topo.</w:t>
      </w:r>
    </w:p>
    <w:p>
      <w:pPr>
        <w:pStyle w:val="BodyText"/>
      </w:pPr>
      <w:r>
        <w:rPr>
          <w:bCs/>
          <w:b/>
        </w:rPr>
        <w:t xml:space="preserve">Significado político.</w:t>
      </w:r>
      <w:r>
        <w:t xml:space="preserve"> </w:t>
      </w:r>
      <w:r>
        <w:t xml:space="preserve">A mobilidade criou um estrato numeroso, de renda média baixa, sem proteção e sem vínculo organizativo, que viveu sua ascensão como esforço individual. É o núcleo do eleitor independente (Parte 3) e foi, em 2026, o segmento decisivo em que Lula perdeu: entre quem ganha de 2 a 5 salários mínimos, Flávio liderava por 58% a 42% na Datafolha de 20 a 22 de outubro.</w:t>
      </w:r>
    </w:p>
    <w:p>
      <w:r>
        <w:br w:type="page"/>
      </w:r>
    </w:p>
    <w:bookmarkEnd w:id="74"/>
    <w:bookmarkStart w:id="75" w:name="X5c60d52620bf715e3a0c410106dc905235d3585"/>
    <w:p>
      <w:pPr>
        <w:pStyle w:val="Heading2"/>
      </w:pPr>
      <w:r>
        <w:t xml:space="preserve">2.3 Trabalho: do sujeito fordista ao trabalhador de plataforma</w:t>
      </w:r>
    </w:p>
    <w:p>
      <w:pPr>
        <w:pStyle w:val="FirstParagraph"/>
      </w:pPr>
      <w:r>
        <w:t xml:space="preserve">A desindustrialização e a expansão dos serviços desfizeram a base social sobre a qual se organizaram o sindicalismo e o PT dos anos 1980. A taxa de sindicalização caiu de 16,1% (2012) para 8,8% (2025) da população ocupada, segundo a PNAD Contínua do IBGE. Abílio (2020) define a uberização como</w:t>
      </w:r>
      <w:r>
        <w:t xml:space="preserve"> </w:t>
      </w:r>
      <w:r>
        <w:rPr>
          <w:bCs/>
          <w:b/>
        </w:rPr>
        <w:t xml:space="preserve">autogerenciamento subordinado</w:t>
      </w:r>
      <w:r>
        <w:t xml:space="preserve">: o algoritmo controla tarifas, metas e punições, enquanto os custos e riscos são transferidos ao trabalhador, tratado como parceiro ou empreendedor.</w:t>
      </w:r>
    </w:p>
    <w:p>
      <w:pPr>
        <w:pStyle w:val="BodyText"/>
      </w:pPr>
      <w:r>
        <w:t xml:space="preserve">Três efeitos políticos decorrem dessa transformação: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Individualização da experiência do trabalho.</w:t>
      </w:r>
      <w:r>
        <w:t xml:space="preserve"> </w:t>
      </w:r>
      <w:r>
        <w:t xml:space="preserve">O trabalhador de plataforma concorre com os demais e vê o sindicato como estrutura distante. A linguagem da autonomia (</w:t>
      </w:r>
      <w:r>
        <w:t xml:space="preserve">“</w:t>
      </w:r>
      <w:r>
        <w:t xml:space="preserve">ser o próprio patrão</w:t>
      </w:r>
      <w:r>
        <w:t xml:space="preserve">”</w:t>
      </w:r>
      <w:r>
        <w:t xml:space="preserve">) é mais eficaz que a do emprego formal.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Substituição dos mediadores.</w:t>
      </w:r>
      <w:r>
        <w:t xml:space="preserve"> </w:t>
      </w:r>
      <w:r>
        <w:t xml:space="preserve">Onde o sindicato e a associação de bairro recuaram, a igreja e, em muitos territórios, o crime organizado passaram a regular a vida comunitária.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Afinidade com a ética da prosperidade.</w:t>
      </w:r>
      <w:r>
        <w:t xml:space="preserve"> </w:t>
      </w:r>
      <w:r>
        <w:t xml:space="preserve">A combinação de precariedade e aspiração favorece narrativas de esforço, disciplina e mérito individual.</w:t>
      </w:r>
    </w:p>
    <w:p>
      <w:pPr>
        <w:pStyle w:val="FirstParagraph"/>
      </w:pPr>
      <w:r>
        <w:t xml:space="preserve">Em outubro de 2026, o Congresso promulgou a emenda constitucional que acaba com a escala 6x1: a jornada máxima cai de 44 para 42 horas 60 dias após a publicação e para 40 horas em 14 meses, com dois dias de descanso semanal remunerado. É a maior mudança na regulação do tempo de trabalho desde 1988, e sua implementação é a principal entrega trabalhista do quarto mandato.</w:t>
      </w:r>
    </w:p>
    <w:p>
      <w:r>
        <w:br w:type="page"/>
      </w:r>
    </w:p>
    <w:bookmarkEnd w:id="75"/>
    <w:bookmarkStart w:id="79" w:name="educação-expansão-e-nova-clivagem"/>
    <w:p>
      <w:pPr>
        <w:pStyle w:val="Heading2"/>
      </w:pPr>
      <w:r>
        <w:t xml:space="preserve">2.4 Educação: expansão e nova clivagem</w:t>
      </w:r>
    </w:p>
    <w:p>
      <w:pPr>
        <w:pStyle w:val="FirstParagraph"/>
      </w:pPr>
      <w:r>
        <w:t xml:space="preserve">A parcela de adultos com diploma superior passou de 5,8% (1991) para 21,4% (2025), e o analfabetismo caiu de 20,1% para 4,9%. A média de anos de estudo dos adultos subiu de cerca de 5 para cerca de 10. A aceleração de 2004 a 2014 resultou de ProUni, Fies, Reuni e da política de cotas.</w:t>
      </w:r>
    </w:p>
    <w:p>
      <w:pPr>
        <w:pStyle w:val="CaptionedFigure"/>
      </w:pPr>
      <w:r>
        <w:drawing>
          <wp:inline>
            <wp:extent cx="5334000" cy="2728645"/>
            <wp:effectExtent b="0" l="0" r="0" t="0"/>
            <wp:docPr descr="Figura 16. Fonte: IPEA: Atlas DH (Censos 1991, 2000, 2010) e PNAD Contínua (2016–2025)." title="" id="77" name="Picture"/>
            <a:graphic>
              <a:graphicData uri="http://schemas.openxmlformats.org/drawingml/2006/picture">
                <pic:pic>
                  <pic:nvPicPr>
                    <pic:cNvPr descr="/home/claude/man/figs/fig16_p021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86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Figura 16.</w:t>
      </w:r>
      <w:r>
        <w:t xml:space="preserve"> </w:t>
      </w:r>
      <w:r>
        <w:t xml:space="preserve">Fonte: IPEA: Atlas DH (Censos 1991, 2000, 2010) e PNAD Contínua (2016–2025).</w:t>
      </w:r>
    </w:p>
    <w:p>
      <w:pPr>
        <w:pStyle w:val="BodyText"/>
      </w:pPr>
      <w:r>
        <w:t xml:space="preserve">A expansão educacional produziu uma clivagem diferente da europeia descrita por Gethin, Martínez-Toledano e Piketty (2021). No Brasil, os menos escolarizados continuam com o PT (57% a 43% na Datafolha de 20 a 22 de outubro de 2026), mas os eleitores com ensino médio e os diplomados de renda média, sobretudo nas cidades do Sul, Sudeste e Centro-Oeste, inclinam-se à direita. A esquerda brasileira não se tornou</w:t>
      </w:r>
      <w:r>
        <w:t xml:space="preserve"> </w:t>
      </w:r>
      <w:r>
        <w:t xml:space="preserve">“</w:t>
      </w:r>
      <w:r>
        <w:t xml:space="preserve">brâmane</w:t>
      </w:r>
      <w:r>
        <w:t xml:space="preserve">”</w:t>
      </w:r>
      <w:r>
        <w:t xml:space="preserve">: perdeu o meio da distribuição, não a base.</w:t>
      </w:r>
    </w:p>
    <w:p>
      <w:r>
        <w:br w:type="page"/>
      </w:r>
    </w:p>
    <w:bookmarkEnd w:id="79"/>
    <w:bookmarkStart w:id="83" w:name="religião-a-transição-religiosa"/>
    <w:p>
      <w:pPr>
        <w:pStyle w:val="Heading2"/>
      </w:pPr>
      <w:r>
        <w:t xml:space="preserve">2.5 Religião: a transição religiosa</w:t>
      </w:r>
    </w:p>
    <w:p>
      <w:pPr>
        <w:pStyle w:val="FirstParagraph"/>
      </w:pPr>
      <w:r>
        <w:t xml:space="preserve">Os evangélicos passaram de 6,6% da população (1980) para 26,9% (2022), e os católicos de 89,0% para 56,7%. É uma das transições religiosas mais rápidas da América Latina.</w:t>
      </w:r>
    </w:p>
    <w:p>
      <w:pPr>
        <w:pStyle w:val="CaptionedFigure"/>
      </w:pPr>
      <w:r>
        <w:drawing>
          <wp:inline>
            <wp:extent cx="5334000" cy="2892259"/>
            <wp:effectExtent b="0" l="0" r="0" t="0"/>
            <wp:docPr descr="Figura 17. Fonte: IBGE, Censos Demográficos de 1980 a 2022." title="" id="81" name="Picture"/>
            <a:graphic>
              <a:graphicData uri="http://schemas.openxmlformats.org/drawingml/2006/picture">
                <pic:pic>
                  <pic:nvPicPr>
                    <pic:cNvPr descr="/home/claude/man/figs/fig17_p022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22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Figura 17.</w:t>
      </w:r>
      <w:r>
        <w:t xml:space="preserve"> </w:t>
      </w:r>
      <w:r>
        <w:t xml:space="preserve">Fonte: IBGE, Censos Demográficos de 1980 a 2022.</w:t>
      </w:r>
    </w:p>
    <w:p>
      <w:pPr>
        <w:pStyle w:val="BodyText"/>
      </w:pPr>
      <w:r>
        <w:t xml:space="preserve">A literatura (Smith, 2019) mostra que as igrejas pentecostais funcionam como</w:t>
      </w:r>
      <w:r>
        <w:t xml:space="preserve"> </w:t>
      </w:r>
      <w:r>
        <w:rPr>
          <w:bCs/>
          <w:b/>
        </w:rPr>
        <w:t xml:space="preserve">organizações de mobilização política</w:t>
      </w:r>
      <w:r>
        <w:t xml:space="preserve">: oferecem comunidade, rede de apoio, mediação de serviços e infraestrutura de comunicação (rádio, TV, YouTube, grupos de mensagem). O pastor atua como mediador social e eleitoral. O voto evangélico favoreceu a direita em proporção próxima de 2 para 1 em 2018 e 2022 e de 73% a 27% na Datafolha de 20 a 22 de outubro de 2026. A bancada evangélica na Câmara cresceu para 97 deputados em 2027, segundo o Iser.</w:t>
      </w:r>
    </w:p>
    <w:p>
      <w:pPr>
        <w:pStyle w:val="BodyText"/>
      </w:pPr>
      <w:r>
        <w:t xml:space="preserve">As igrejas mostram que a eficácia no ambiente digital não depende de horizontalidade: são organizações hierárquicas e altamente eficazes, porque combinam centro forte, presença territorial diária e redes de confiança.</w:t>
      </w:r>
    </w:p>
    <w:p>
      <w:r>
        <w:br w:type="page"/>
      </w:r>
    </w:p>
    <w:bookmarkEnd w:id="83"/>
    <w:bookmarkStart w:id="87" w:name="violência-e-segurança"/>
    <w:p>
      <w:pPr>
        <w:pStyle w:val="Heading2"/>
      </w:pPr>
      <w:r>
        <w:t xml:space="preserve">2.6 Violência e segurança</w:t>
      </w:r>
    </w:p>
    <w:p>
      <w:pPr>
        <w:pStyle w:val="FirstParagraph"/>
      </w:pPr>
      <w:r>
        <w:t xml:space="preserve">A taxa de homicídios subiu de 20,3 por 100 mil (1989) para 29,1 (2003), recuou após o Estatuto do Desarmamento e atingiu o pico de 32,1 em 2017. Desde então caiu para 20,1 (2024), o menor nível desde 1992.</w:t>
      </w:r>
    </w:p>
    <w:p>
      <w:pPr>
        <w:pStyle w:val="CaptionedFigure"/>
      </w:pPr>
      <w:r>
        <w:drawing>
          <wp:inline>
            <wp:extent cx="5334000" cy="3020804"/>
            <wp:effectExtent b="0" l="0" r="0" t="0"/>
            <wp:docPr descr="Figura 18. Fonte: IPEA, série AVIOL12_THOMIC (SIM/DataSUS)." title="" id="85" name="Picture"/>
            <a:graphic>
              <a:graphicData uri="http://schemas.openxmlformats.org/drawingml/2006/picture">
                <pic:pic>
                  <pic:nvPicPr>
                    <pic:cNvPr descr="/home/claude/man/figs/fig18_p023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0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Figura 18.</w:t>
      </w:r>
      <w:r>
        <w:t xml:space="preserve"> </w:t>
      </w:r>
      <w:r>
        <w:t xml:space="preserve">Fonte: IPEA, série AVIOL12_THOMIC (SIM/DataSUS).</w:t>
      </w:r>
    </w:p>
    <w:p>
      <w:pPr>
        <w:pStyle w:val="BodyText"/>
      </w:pPr>
      <w:r>
        <w:t xml:space="preserve">A média nacional esconde uma migração da violência. São Paulo caiu para menos de 10 por 100 mil, enquanto Norte e Nordeste explodiram entre 2010 e 2017 com a guerra entre facções. O crescimento das mortes violentas por causa indeterminada indica que a queda registrada é maior que a queda real (Atlas da Violência), e parte da redução paulista está associada à regulação exercida pelo PCC sobre os conflitos nas periferias (Feltran, 2018).</w:t>
      </w:r>
    </w:p>
    <w:p>
      <w:pPr>
        <w:pStyle w:val="BodyText"/>
      </w:pPr>
      <w:r>
        <w:t xml:space="preserve">O dado politicamente decisivo é que</w:t>
      </w:r>
      <w:r>
        <w:t xml:space="preserve"> </w:t>
      </w:r>
      <w:r>
        <w:rPr>
          <w:bCs/>
          <w:b/>
        </w:rPr>
        <w:t xml:space="preserve">a queda dos homicídios não reduziu a percepção de insegurança</w:t>
      </w:r>
      <w:r>
        <w:t xml:space="preserve"> </w:t>
      </w:r>
      <w:r>
        <w:t xml:space="preserve">e não foi capitalizada por nenhum campo. O crime</w:t>
      </w:r>
      <w:r>
        <w:t xml:space="preserve"> </w:t>
      </w:r>
      <w:r>
        <w:t xml:space="preserve">“</w:t>
      </w:r>
      <w:r>
        <w:t xml:space="preserve">migrou</w:t>
      </w:r>
      <w:r>
        <w:t xml:space="preserve">”</w:t>
      </w:r>
      <w:r>
        <w:t xml:space="preserve"> </w:t>
      </w:r>
      <w:r>
        <w:t xml:space="preserve">para o celular: furtos e roubos de aparelhos (cerca de 814 mil registros em 2025) e estelionatos (2,26 milhões em 2025, em grande parte por meios digitais) atingem diretamente o trabalhador conectado. A direita mantém o monopólio do tema, e a pauta de segurança pesou nas eleições de 2018, 2022 e 2026. A nova bancada de policiais e militares eleitos para a Câmara e o Senado (entre 41 e 60 parlamentares, conforme o levantamento) vai pressionar por redução da maioridade penal e endurecimento de penas.</w:t>
      </w:r>
    </w:p>
    <w:p>
      <w:r>
        <w:br w:type="page"/>
      </w:r>
    </w:p>
    <w:bookmarkEnd w:id="87"/>
    <w:bookmarkStart w:id="88" w:name="painel-por-governo"/>
    <w:p>
      <w:pPr>
        <w:pStyle w:val="Heading2"/>
      </w:pPr>
      <w:r>
        <w:t xml:space="preserve">2.7 Painel por governo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Governo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PIB 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Salário mínimo real no fim (R$ de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Extrema pobreza no fim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 média no fim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Homicídios por 100 mil no fim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Superior (25+)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Apoio à democracia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 na eleição seguinte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Collor e Itamar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25,1% (1995)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15,0% (1993)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5,8% (1991)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41% (1995)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1994: derrota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FHC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23,7%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6,8% (2000)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37% (2002)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2002: vitória (61,3%)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Lula 1–2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10,3% (2011)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37,2% (2011)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11,3% (2010)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54% (2010)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2010: vitória (56,1%)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Dilma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7,6% (2015)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41,6% (2015)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29,3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32% (2016)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2016: −60% de prefeituras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−0,1%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41,4%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34% (2018)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2018: derrota (44,9%)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Bolsonaro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43,4%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2022: vitória (50,9%)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Lula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4,6% (2025)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48,6% (2024)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20,1 (2024)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21,4% (2025)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41% (2026)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2026: vitória (51,8%), de virada</w:t>
            </w:r>
          </w:p>
        </w:tc>
      </w:tr>
    </w:tbl>
    <w:p>
      <w:pPr>
        <w:pStyle w:val="BodyText"/>
      </w:pPr>
      <w:r>
        <w:t xml:space="preserve">A série confirma a regularidade do capítulo 1: a esquerda vence quando a economia e os indicadores sociais melhoram, mas a margem de 2026 foi menor do que os indicadores fariam esperar. A diferença foi compensada por mobilização.</w:t>
      </w:r>
    </w:p>
    <w:p>
      <w:r>
        <w:br w:type="page"/>
      </w:r>
    </w:p>
    <w:bookmarkEnd w:id="88"/>
    <w:bookmarkEnd w:id="89"/>
    <w:bookmarkStart w:id="133" w:name="Xfc6f3d8897dd9ce26b2600d7e2c795f4799cf9a"/>
    <w:p>
      <w:pPr>
        <w:pStyle w:val="Heading1"/>
      </w:pPr>
      <w:r>
        <w:t xml:space="preserve">Parte 3 · Sistema político e comportamento eleitoral</w:t>
      </w:r>
    </w:p>
    <w:p>
      <w:r>
        <w:br w:type="page"/>
      </w:r>
    </w:p>
    <w:bookmarkStart w:id="90" w:name="X452c2b217dbfc8c0c812bbf36b7372aa89c394d"/>
    <w:p>
      <w:pPr>
        <w:pStyle w:val="Heading2"/>
      </w:pPr>
      <w:r>
        <w:t xml:space="preserve">3.1 Instituições: coalizão, orçamento e fragmentação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Cs/>
          <w:b/>
        </w:rPr>
        <w:t xml:space="preserve">presidencialismo de coalizão</w:t>
      </w:r>
      <w:r>
        <w:t xml:space="preserve"> </w:t>
      </w:r>
      <w:r>
        <w:t xml:space="preserve">(Abranches, 1988) combina presidente eleito por maioria, Congresso fragmentado e federalismo forte. A governabilidade depende da formação de maiorias com partidos de centro pragmático, pagas com cargos e recursos. As mudanças institucionais da última década alteraram o equilíbrio em favor do Congresso: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Marco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Conteúdo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 86/2015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Emendas parlamentares individuais impositivas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Reduz o poder de barganha do Executivo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 100/2019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Emendas de bancada impositivas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Amplia o orçamento controlado pelo Congresso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 105/2019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Transferências especiais (</w:t>
            </w:r>
            <w:r>
              <w:t xml:space="preserve">“</w:t>
            </w:r>
            <w:r>
              <w:t xml:space="preserve">emendas Pix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Recursos chegam às prefeituras sem projeto vinculado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Emendas de relator (RP9), 2020–2022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Orçamento secreto</w:t>
            </w:r>
            <w:r>
              <w:t xml:space="preserve">”</w:t>
            </w:r>
            <w:r>
              <w:t xml:space="preserve">, declarado inconstitucional pelo STF em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Concentração de poder na cúpula do Congresso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Fim das coligações proporcionais (2017) e federações (2021)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Cláusula de desempenho crescente e federações por quatro anos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Redução da fragmentação; incentivo à fusão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 111/2021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Posse do presidente em 5 de janeiro e dos governadores em 6 de janeiro, a partir de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Transição alinhada ao calendário do Congresso</w:t>
            </w:r>
          </w:p>
        </w:tc>
      </w:tr>
    </w:tbl>
    <w:p>
      <w:pPr>
        <w:pStyle w:val="BodyText"/>
      </w:pPr>
      <w:r>
        <w:t xml:space="preserve">O resultado é um</w:t>
      </w:r>
      <w:r>
        <w:t xml:space="preserve"> </w:t>
      </w:r>
      <w:r>
        <w:rPr>
          <w:bCs/>
          <w:b/>
        </w:rPr>
        <w:t xml:space="preserve">semiparlamentarismo orçamentário de fato</w:t>
      </w:r>
      <w:r>
        <w:t xml:space="preserve">: parte crescente do investimento federal passa por decisão parlamentar, o que fortalece prefeitos e deputados com máquinas locais e eleva a taxa de reeleição (Pereira e Rennó). Em 2026, 58,6% dos deputados foram reeleitos. Para a esquerda, que tem baixa presença municipal fora do Nordeste, isso significa competir contra máquinas abastecidas por recursos federais. A cláusula de desempenho sobe para 3% dos votos válidos em 2030, o que torna as federações uma questão de sobrevivência para os partidos menores do campo.</w:t>
      </w:r>
    </w:p>
    <w:p>
      <w:r>
        <w:br w:type="page"/>
      </w:r>
    </w:p>
    <w:bookmarkEnd w:id="90"/>
    <w:bookmarkStart w:id="106" w:name="Xf0203766c2a327cb09065c9a3a12480988497b6"/>
    <w:p>
      <w:pPr>
        <w:pStyle w:val="Heading2"/>
      </w:pPr>
      <w:r>
        <w:t xml:space="preserve">3.2 O ciclo eleitoral do PT e da esquerda, 1989–2026</w:t>
      </w:r>
    </w:p>
    <w:p>
      <w:pPr>
        <w:pStyle w:val="CaptionedFigure"/>
      </w:pPr>
      <w:r>
        <w:drawing>
          <wp:inline>
            <wp:extent cx="5334000" cy="2963333"/>
            <wp:effectExtent b="0" l="0" r="0" t="0"/>
            <wp:docPr descr="Figura 19. Fonte: TSE; 2026 pela totalização de 25/10/2026." title="" id="92" name="Picture"/>
            <a:graphic>
              <a:graphicData uri="http://schemas.openxmlformats.org/drawingml/2006/picture">
                <pic:pic>
                  <pic:nvPicPr>
                    <pic:cNvPr descr="/home/claude/man/figs/new/g_pt_votos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Figura 19.</w:t>
      </w:r>
      <w:r>
        <w:t xml:space="preserve"> </w:t>
      </w:r>
      <w:r>
        <w:t xml:space="preserve">Fonte: TSE; 2026 pela totalização de 25/10/2026.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Presidência: 1º turno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Presidência: 2º turno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Deputados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Governadores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Lula: 11,6 milhões (17,2%)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31,1 milhões (47,0%), derrota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Lula: 17,1 milhões (27,1%), derrota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Lula: 21,5 milhões (31,7%), derrota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Lula: 39,5 milhões (46,4%)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52,8 milhões (61,3%), vitória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Lula: 46,7 milhões (48,6%)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58,3 milhões (60,8%), vitória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Dilma: 47,7 milhões (46,9%)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55,8 milhões (56,1%), vitória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Dilma: 43,3 milhões (41,6%)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54,5 milhões (51,6%), vitória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Haddad: 31,3 milhões (29,3%)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47,0 milhões (44,9%), derrota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Lula: 57,3 milhões (48,4%)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60,3 milhões (50,9%), vitória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Lula: 53,9 milhões (45,2%)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64,3 milhões (51,8%), vitória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a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</w:tbl>
    <w:p>
      <w:pPr>
        <w:pStyle w:val="CaptionedFigure"/>
      </w:pPr>
      <w:r>
        <w:drawing>
          <wp:inline>
            <wp:extent cx="5334000" cy="2991028"/>
            <wp:effectExtent b="0" l="0" r="0" t="0"/>
            <wp:docPr descr="Figura 20. Fonte: TSE; senadores no início de cada legislatura. Em 2026, governadores eleitos no 1º turno; o PT elegeu o quarto no 2º turno, no Rio Grande do Norte." title="" id="95" name="Picture"/>
            <a:graphic>
              <a:graphicData uri="http://schemas.openxmlformats.org/drawingml/2006/picture">
                <pic:pic>
                  <pic:nvPicPr>
                    <pic:cNvPr descr="/home/claude/man/figs/fig20_p028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10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Figura 20.</w:t>
      </w:r>
      <w:r>
        <w:t xml:space="preserve"> </w:t>
      </w:r>
      <w:r>
        <w:t xml:space="preserve">Fonte: TSE; senadores no início de cada legislatura. Em 2026, governadores eleitos no 1º turno; o PT elegeu o quarto no 2º turno, no Rio Grande do Norte.</w:t>
      </w:r>
    </w:p>
    <w:p>
      <w:pPr>
        <w:pStyle w:val="CaptionedFigure"/>
      </w:pPr>
      <w:r>
        <w:drawing>
          <wp:inline>
            <wp:extent cx="5334000" cy="2988603"/>
            <wp:effectExtent b="0" l="0" r="0" t="0"/>
            <wp:docPr descr="Figura 21. Fonte: TSE: 38 (1988), 54, 110, 187, 410, 560, 636 (2012), 256, 182 e 252 (2024)." title="" id="98" name="Picture"/>
            <a:graphic>
              <a:graphicData uri="http://schemas.openxmlformats.org/drawingml/2006/picture">
                <pic:pic>
                  <pic:nvPicPr>
                    <pic:cNvPr descr="/home/claude/man/figs/fig21_p028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8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Figura 21.</w:t>
      </w:r>
      <w:r>
        <w:t xml:space="preserve"> </w:t>
      </w:r>
      <w:r>
        <w:t xml:space="preserve">Fonte: TSE: 38 (1988), 54, 110, 187, 410, 560, 636 (2012), 256, 182 e 252 (2024).</w:t>
      </w:r>
    </w:p>
    <w:p>
      <w:pPr>
        <w:pStyle w:val="BodyText"/>
      </w:pPr>
      <w:r>
        <w:t xml:space="preserve">Quatro regularidades estruturam o ciclo. Primeiro, o PT levou treze anos (1989–2002) para converter cerca de 30% dos votos em vitória, e o fez por moderação programática e alianças ao centro. Segundo, a força municipal e parlamentar acompanhou o ciclo do governo e desabou 60% numa única eleição (2016). Terceiro, desde 2018 o voto presidencial (45% a 52%) é muito maior que a força orgânica do partido: o PT é um partido de candidato e de região. Quarto, em 2026 Lula foi o primeiro candidato da redemocratização a vencer depois de terminar o 1º turno em segundo lugar, com 10,4 milhões de votos a mais entre os turnos.</w:t>
      </w:r>
    </w:p>
    <w:p>
      <w:pPr>
        <w:pStyle w:val="CaptionedFigure"/>
      </w:pPr>
      <w:r>
        <w:drawing>
          <wp:inline>
            <wp:extent cx="5334000" cy="3443016"/>
            <wp:effectExtent b="0" l="0" r="0" t="0"/>
            <wp:docPr descr="Figura 22. Fonte: TSE e Agência Câmara." title="" id="101" name="Picture"/>
            <a:graphic>
              <a:graphicData uri="http://schemas.openxmlformats.org/drawingml/2006/picture">
                <pic:pic>
                  <pic:nvPicPr>
                    <pic:cNvPr descr="/home/claude/man/figs/fig22_p029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3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Figura 22.</w:t>
      </w:r>
      <w:r>
        <w:t xml:space="preserve"> </w:t>
      </w:r>
      <w:r>
        <w:t xml:space="preserve">Fonte: TSE e Agência Câmara.</w:t>
      </w:r>
    </w:p>
    <w:p>
      <w:pPr>
        <w:pStyle w:val="CaptionedFigure"/>
      </w:pPr>
      <w:r>
        <w:drawing>
          <wp:inline>
            <wp:extent cx="5334000" cy="2865319"/>
            <wp:effectExtent b="0" l="0" r="0" t="0"/>
            <wp:docPr descr="Figura 23. Fonte: Agência Câmara e CNN Brasil, 5/10/2026." title="" id="104" name="Picture"/>
            <a:graphic>
              <a:graphicData uri="http://schemas.openxmlformats.org/drawingml/2006/picture">
                <pic:pic>
                  <pic:nvPicPr>
                    <pic:cNvPr descr="/home/claude/man/figs/fig23_p029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5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Figura 23.</w:t>
      </w:r>
      <w:r>
        <w:t xml:space="preserve"> </w:t>
      </w:r>
      <w:r>
        <w:t xml:space="preserve">Fonte: Agência Câmara e CNN Brasil, 5/10/2026.</w:t>
      </w:r>
    </w:p>
    <w:p>
      <w:pPr>
        <w:pStyle w:val="BodyText"/>
      </w:pPr>
      <w:r>
        <w:rPr>
          <w:bCs/>
          <w:b/>
        </w:rPr>
        <w:t xml:space="preserve">A Câmara de 2027.</w:t>
      </w:r>
      <w:r>
        <w:t xml:space="preserve"> </w:t>
      </w:r>
      <w:r>
        <w:t xml:space="preserve">O PL elegeu 121 deputados, a maior bancada desde 1988. A esquerda (federação PT-PCdoB-PV, PSB, PSOL-Rede e PDT) manteve 124 cadeiras, mas o PDT caiu de 17 para 6. A federação PSOL-Rede, a federação PRD-Solidariedade, o PDT, o Avante e o Missão ficaram abaixo da cláusula de desempenho e perderam acesso ao Fundo Partidário e ao tempo de propaganda; juntos, elegeram 34 deputados.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 da Câmara de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Renovação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35,7% (183 novos deputados), contra 39,3% em 2022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Reeleição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301 deputados (58,6%)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Mulheres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 (21,1%), contra 91 em 2022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Pretos e pardos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135 (26,3%), contra 139 em 2022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Indígenas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 contra 5 em 2022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LGBT+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 contra 4 em 2022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Evangélicos declarados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 (18,9%), 16 a mais que em 2022 (Iser)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Policiais e militares eleitos (Câmara e Senado)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41 a 60, conforme o levantamento</w:t>
            </w:r>
          </w:p>
        </w:tc>
      </w:tr>
    </w:tbl>
    <w:p>
      <w:pPr>
        <w:pStyle w:val="BodyText"/>
      </w:pPr>
      <w:r>
        <w:t xml:space="preserve">A renovação foi menor que em 2022, o que confirma o peso das emendas na reeleição. Os novos deputados são mais femininos e mais evangélicos, e a representação negra recuou.</w:t>
      </w:r>
    </w:p>
    <w:p>
      <w:pPr>
        <w:pStyle w:val="BodyText"/>
      </w:pPr>
      <w:r>
        <w:rPr>
          <w:bCs/>
          <w:b/>
        </w:rPr>
        <w:t xml:space="preserve">O Senado de 2027.</w:t>
      </w:r>
      <w:r>
        <w:t xml:space="preserve"> </w:t>
      </w:r>
      <w:r>
        <w:t xml:space="preserve">A renovação chegou a 74% das 54 vagas em disputa. Pela contagem da Agência Senado de 25/10/2026, o PL terá 29 senadores, o PT 10, o MDB 8, o PP 6, o União 5, o Republicanos 5, o PSD 4, o PSB 4, o Novo 3, o PSDB 2, o Podemos 2 e Rede, PDT e um senador sem partido, 1 cada. Outra contagem da imprensa dá PL 28, PT 9, União 6 e PSD 5, e uma vaga do Paraná depende de decisão do TSE. O bloco PL, PP, Republicanos e Novo soma 42 a 43 senadores, conforme a contagem: acima dos 41 votos que elegem o presidente da Casa e abaixo dos 54 que condenam um ministro do STF por crime de responsabilidade.</w:t>
      </w:r>
    </w:p>
    <w:p>
      <w:pPr>
        <w:pStyle w:val="BodyText"/>
      </w:pPr>
      <w:r>
        <w:rPr>
          <w:bCs/>
          <w:b/>
        </w:rPr>
        <w:t xml:space="preserve">Governadores.</w:t>
      </w:r>
      <w:r>
        <w:t xml:space="preserve"> </w:t>
      </w:r>
      <w:r>
        <w:t xml:space="preserve">Vinte e uma unidades da Federação definiram o governador no 1º turno, incluindo o Rio de Janeiro, onde o 2º turno foi cancelado pelo TSE. O PT reelegeu os governadores do Piauí (70,9%), da Bahia (55,8%) e do Ceará (53,2%) e venceu o 2º turno no Rio Grande do Norte (Cadu de Lula, 50,77%). No DF, Celina Leão (PP) foi reeleita com 57,2% contra Leandro Grass (PT). O PL elegeu seis governadores, todos no 1º turno; PSD elegeu cinco; Republicanos, PP e PT, quatro cada; PSDB, dois; MDB e Podemos, um cada. Só sete governadores eleitos tiveram o apoio de Lula; a maioria dos demais apoiou Flávio no 2º turno, incluindo todos os do Sul, do Sudeste e do Centro-Oeste.</w:t>
      </w:r>
    </w:p>
    <w:p>
      <w:r>
        <w:br w:type="page"/>
      </w:r>
    </w:p>
    <w:bookmarkEnd w:id="106"/>
    <w:bookmarkStart w:id="122" w:name="geografia-do-voto"/>
    <w:p>
      <w:pPr>
        <w:pStyle w:val="Heading2"/>
      </w:pPr>
      <w:r>
        <w:t xml:space="preserve">3.3 Geografia do voto</w:t>
      </w:r>
    </w:p>
    <w:p>
      <w:pPr>
        <w:pStyle w:val="CaptionedFigure"/>
      </w:pPr>
      <w:r>
        <w:drawing>
          <wp:inline>
            <wp:extent cx="5334000" cy="2972759"/>
            <wp:effectExtent b="0" l="0" r="0" t="0"/>
            <wp:docPr descr="Figura 24. Fonte: TSE." title="" id="108" name="Picture"/>
            <a:graphic>
              <a:graphicData uri="http://schemas.openxmlformats.org/drawingml/2006/picture">
                <pic:pic>
                  <pic:nvPicPr>
                    <pic:cNvPr descr="/home/claude/man/figs/fig24_p030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2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Figura 24.</w:t>
      </w:r>
      <w:r>
        <w:t xml:space="preserve"> </w:t>
      </w:r>
      <w:r>
        <w:t xml:space="preserve">Fonte: TSE.</w:t>
      </w:r>
    </w:p>
    <w:p>
      <w:pPr>
        <w:pStyle w:val="BodyText"/>
      </w:pPr>
      <w:r>
        <w:t xml:space="preserve">Desde 2006 o voto petista se concentra no Nordeste, que deu ao partido cerca de 70% no 2º turno mesmo em 2018. Sul e Centro-Oeste consolidaram-se como bases da direita, e o Sudeste decide a eleição. Minas Gerais funciona como estado-pêndulo: quem venceu em Minas venceu todas as eleições presidenciais desde 1989, e 2026 confirmou a regra.</w:t>
      </w:r>
    </w:p>
    <w:p>
      <w:pPr>
        <w:pStyle w:val="CaptionedFigure"/>
      </w:pPr>
      <w:r>
        <w:drawing>
          <wp:inline>
            <wp:extent cx="5334000" cy="4889500"/>
            <wp:effectExtent b="0" l="0" r="0" t="0"/>
            <wp:docPr descr="Figura 25. Fonte: TSE via Poder360, Congresso em Foco e CartaCapital (5/10/2026)." title="" id="111" name="Picture"/>
            <a:graphic>
              <a:graphicData uri="http://schemas.openxmlformats.org/drawingml/2006/picture">
                <pic:pic>
                  <pic:nvPicPr>
                    <pic:cNvPr descr="/home/claude/man/figs/fig25_p031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9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Figura 25.</w:t>
      </w:r>
      <w:r>
        <w:t xml:space="preserve"> </w:t>
      </w:r>
      <w:r>
        <w:t xml:space="preserve">Fonte: TSE via Poder360, Congresso em Foco e CartaCapital (5/10/2026).</w:t>
      </w:r>
    </w:p>
    <w:p>
      <w:pPr>
        <w:pStyle w:val="BodyText"/>
      </w:pPr>
      <w:r>
        <w:t xml:space="preserve">No 1º turno de 2026, Flávio Bolsonaro venceu em 14 estados e no DF e Lula em 12, com todo o Nordeste, o Pará, o Amazonas e o Amapá. Minas Gerais e Tocantins viraram para a direita, e Lula perdeu terreno em 25 das 27 unidades, inclusive nos redutos.</w:t>
      </w:r>
    </w:p>
    <w:p>
      <w:pPr>
        <w:pStyle w:val="CaptionedFigure"/>
      </w:pPr>
      <w:r>
        <w:drawing>
          <wp:inline>
            <wp:extent cx="5334000" cy="2601951"/>
            <wp:effectExtent b="0" l="0" r="0" t="0"/>
            <wp:docPr descr="Figura 26. Fonte: Congresso em Foco e CartaCapital, com base no TSE (1º turno)." title="" id="114" name="Picture"/>
            <a:graphic>
              <a:graphicData uri="http://schemas.openxmlformats.org/drawingml/2006/picture">
                <pic:pic>
                  <pic:nvPicPr>
                    <pic:cNvPr descr="/home/claude/man/figs/fig26_p032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1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Figura 26.</w:t>
      </w:r>
      <w:r>
        <w:t xml:space="preserve"> </w:t>
      </w:r>
      <w:r>
        <w:t xml:space="preserve">Fonte: Congresso em Foco e CartaCapital, com base no TSE (1º turno).</w:t>
      </w:r>
    </w:p>
    <w:p>
      <w:pPr>
        <w:pStyle w:val="CaptionedFigure"/>
      </w:pPr>
      <w:r>
        <w:drawing>
          <wp:inline>
            <wp:extent cx="5334000" cy="4889500"/>
            <wp:effectExtent b="0" l="0" r="0" t="0"/>
            <wp:docPr descr="Figura 27. Fonte: TSE, via Correio 24 Horas, Gazeta do Povo e Exame (26/10/2026); percentual de Flávio = 100 menos o de Lula." title="" id="117" name="Picture"/>
            <a:graphic>
              <a:graphicData uri="http://schemas.openxmlformats.org/drawingml/2006/picture">
                <pic:pic>
                  <pic:nvPicPr>
                    <pic:cNvPr descr="/home/claude/man/figs/new/g_mapa_2t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9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Figura 27.</w:t>
      </w:r>
      <w:r>
        <w:t xml:space="preserve"> </w:t>
      </w:r>
      <w:r>
        <w:t xml:space="preserve">Fonte: TSE, via Correio 24 Horas, Gazeta do Povo e Exame (26/10/2026); percentual de Flávio = 100 menos o de Lula.</w:t>
      </w:r>
    </w:p>
    <w:p>
      <w:pPr>
        <w:pStyle w:val="BodyText"/>
      </w:pPr>
      <w:r>
        <w:t xml:space="preserve">No 2º turno, Lula cresceu em todas as unidades da Federação e virou apenas uma: Minas Gerais, onde passou de 47,3% para 50,4% dos votos dados aos dois finalistas. Os maiores ganhos percentuais vieram de estados do Nordeste e do Norte (Amapá +7,2 pontos; Sergipe +6,8; Paraíba +6,2; Alagoas +6,0), mas os maiores ganhos absolutos vieram do Sudeste: São Paulo (+2,1 milhões de votos), Minas (+1 milhão) e Rio (+800 mil). Lula virou 213 municípios, 76 deles em Minas, e venceu em 2.875 municípios, contra 2.695 de Flávio.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Recorte do 2º turno de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Flávio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Unidades da Federação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13: os 9 do Nordeste, Pará, Amazonas, Amapá e Minas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14: Sul, Centro-Oeste, DF, SP, RJ, ES, TO, AC, RO, RR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Capitais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 com São Paulo (55,5%), Rio (51,5%), Porto Alegre (55,8%), Salvador (73,2%) e Belém (55,0%)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 com Belo Horizonte (50,8%), Brasília (54,3%), Curitiba (62,3%) e Goiânia (62,6%)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Municípios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Mudança desde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 municípios passaram de Bolsonaro para Lula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 passaram de Lula para Flávio, 245 com menos de 10 mil votos</w:t>
            </w:r>
          </w:p>
        </w:tc>
      </w:tr>
    </w:tbl>
    <w:p>
      <w:pPr>
        <w:pStyle w:val="CaptionedFigure"/>
      </w:pPr>
      <w:r>
        <w:drawing>
          <wp:inline>
            <wp:extent cx="5334000" cy="2647558"/>
            <wp:effectExtent b="0" l="0" r="0" t="0"/>
            <wp:docPr descr="Figura 28. Fonte: BBC News Brasil, cruzamento de resultados municipais do TSE com a renda do Censo 2022 (1º turno)." title="" id="120" name="Picture"/>
            <a:graphic>
              <a:graphicData uri="http://schemas.openxmlformats.org/drawingml/2006/picture">
                <pic:pic>
                  <pic:nvPicPr>
                    <pic:cNvPr descr="/home/claude/man/figs/fig27_p032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7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Figura 28.</w:t>
      </w:r>
      <w:r>
        <w:t xml:space="preserve"> </w:t>
      </w:r>
      <w:r>
        <w:t xml:space="preserve">Fonte: BBC News Brasil, cruzamento de resultados municipais do TSE com a renda do Censo 2022 (1º turno).</w:t>
      </w:r>
    </w:p>
    <w:p>
      <w:pPr>
        <w:pStyle w:val="BodyText"/>
      </w:pPr>
      <w:r>
        <w:t xml:space="preserve">A clivagem de renda segue intacta: no 1º turno, Lula liderou em 971 dos mil municípios mais pobres e Flávio em 967 dos mil mais ricos. O que diminuiu foi a</w:t>
      </w:r>
      <w:r>
        <w:t xml:space="preserve"> </w:t>
      </w:r>
      <w:r>
        <w:rPr>
          <w:bCs/>
          <w:b/>
        </w:rPr>
        <w:t xml:space="preserve">intensidade</w:t>
      </w:r>
      <w:r>
        <w:t xml:space="preserve"> </w:t>
      </w:r>
      <w:r>
        <w:t xml:space="preserve">do voto popular no PT e, no interior, a sua extensão: a direita avançou nos municípios pequenos, e a esquerda compensou nas metrópoles. O 2º turno mostrou ainda que o voto popular em Lula não se transfere automaticamente ao PT: Lula venceu as capitais de São Paulo e do Rio, mas a esquerda não governa nenhuma das duas, e o PL elegeu os governadores do Rio, do Paraná, de Santa Catarina e do Rio Grande do Sul.</w:t>
      </w:r>
    </w:p>
    <w:p>
      <w:r>
        <w:br w:type="page"/>
      </w:r>
    </w:p>
    <w:bookmarkEnd w:id="122"/>
    <w:bookmarkStart w:id="126" w:name="perfil-do-eleitorado"/>
    <w:p>
      <w:pPr>
        <w:pStyle w:val="Heading2"/>
      </w:pPr>
      <w:r>
        <w:t xml:space="preserve">3.4 Perfil do eleitorado</w:t>
      </w:r>
    </w:p>
    <w:p>
      <w:pPr>
        <w:pStyle w:val="CaptionedFigure"/>
      </w:pPr>
      <w:r>
        <w:drawing>
          <wp:inline>
            <wp:extent cx="5334000" cy="4593166"/>
            <wp:effectExtent b="0" l="0" r="0" t="0"/>
            <wp:docPr descr="Figura 29. Fonte: Datafolha, 20–22/10/2026, votos válidos, empate de 50% a 50% no total; Lula teve 51,8% nas urnas. Os recortes são indicativos." title="" id="124" name="Picture"/>
            <a:graphic>
              <a:graphicData uri="http://schemas.openxmlformats.org/drawingml/2006/picture">
                <pic:pic>
                  <pic:nvPicPr>
                    <pic:cNvPr descr="/home/claude/man/figs/new/g_segmentos_2t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93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Figura 29.</w:t>
      </w:r>
      <w:r>
        <w:t xml:space="preserve"> </w:t>
      </w:r>
      <w:r>
        <w:t xml:space="preserve">Fonte: Datafolha, 20–22/10/2026, votos válidos, empate de 50% a 50% no total; Lula teve 51,8% nas urnas. Os recortes são indicativos.</w:t>
      </w:r>
    </w:p>
    <w:p>
      <w:pPr>
        <w:pStyle w:val="BodyText"/>
      </w:pPr>
      <w:r>
        <w:t xml:space="preserve">Renda e religião são as clivagens mais fortes, seguidas de região, escolaridade, raça e gênero. Não houve pesquisa de boca de urna no 2º turno de 2026, e as últimas pesquisas apontavam vitória de Flávio por 51% a 49%; o perfil abaixo é, por isso, uma aproximação da direção do voto, e não do seu tamanho exato.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Segmento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Lula venceu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Lula perdeu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Mulheres (53% a 47%)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Homens (46% a 54%)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Jovens de 16 a 34 anos divididos, com Lula perto de 50% (AtlasIntel)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35 a 44 anos (44% a 56%), de 45 a 59 anos e 60 anos ou mais (46,5% a 53,5%, AtlasIntel)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Escolaridade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Ensino fundamental (57% a 43%)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Ensino médio (47% a 53%) e superior (46% a 54%) no Datafolha; a AtlasIntel dá vantagem a Lula entre diplomados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Renda familiar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Até 2 salários mínimos (58% a 42%)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2 a 5 e acima de 5 salários mínimos (42% a 58%)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Religião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Católicos (59% a 41%), outras religiões, ateus e agnósticos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Evangélicos (27% a 73%)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 ou raça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Pretos (61% a 39%)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Brancos (45% a 55%); pardos divididos (49% a 51%)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Nordeste (68% a 32%)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Sul (36% a 64%), Sudeste (44% a 56%), Norte e Centro-Oeste (44% a 56%)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Programas sociais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Beneficiários do Bolsa Família (60% a 31%, Quaest, votos totais)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O realinhamento de 2006 (Singer, 2009) deslocou o PT da classe média urbana para o subproletariado. Desde 2014 somaram-se a clivagem religiosa e a de gênero, com homens jovens e de meia-idade à direita. O segmento decisivo continua a ser o dos trabalhadores de renda entre 2 e 5 salários mínimos: informais e de aplicativo, sensíveis à economia, à segurança e à pauta moral, e sobrerrepresentados entre os evangélicos. É nele que se decide 2030.</w:t>
      </w:r>
    </w:p>
    <w:p>
      <w:r>
        <w:br w:type="page"/>
      </w:r>
    </w:p>
    <w:bookmarkEnd w:id="126"/>
    <w:bookmarkStart w:id="127" w:name="Xbba6d6298fe263f1127050aaacd458d5aea3749"/>
    <w:p>
      <w:pPr>
        <w:pStyle w:val="Heading2"/>
      </w:pPr>
      <w:r>
        <w:t xml:space="preserve">3.5 Ideologia, identificação partidária e polarização</w:t>
      </w:r>
    </w:p>
    <w:p>
      <w:pPr>
        <w:pStyle w:val="FirstParagraph"/>
      </w:pPr>
      <w:r>
        <w:t xml:space="preserve">O eleitor brasileiro é, em média,</w:t>
      </w:r>
      <w:r>
        <w:t xml:space="preserve"> </w:t>
      </w:r>
      <w:r>
        <w:rPr>
          <w:bCs/>
          <w:b/>
        </w:rPr>
        <w:t xml:space="preserve">conservador nos costumes e na segurança e estatista na economia</w:t>
      </w:r>
      <w:r>
        <w:t xml:space="preserve">: maiorias amplas são contra a legalização do aborto e das drogas e a favor de penas mais duras, mas também a favor do SUS, da educação pública, do Bolsa Família e da taxação dos mais ricos. Para a maioria,</w:t>
      </w:r>
      <w:r>
        <w:t xml:space="preserve"> </w:t>
      </w:r>
      <w:r>
        <w:t xml:space="preserve">“</w:t>
      </w:r>
      <w:r>
        <w:t xml:space="preserve">esquerda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direita</w:t>
      </w:r>
      <w:r>
        <w:t xml:space="preserve">”</w:t>
      </w:r>
      <w:r>
        <w:t xml:space="preserve"> </w:t>
      </w:r>
      <w:r>
        <w:t xml:space="preserve">designam um lado, e não um pacote programático.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Família ideológica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Partidos e atores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Ideias centrais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 em 2027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Esquerda socialista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PSOL, PCB, PSTU, UP, PCO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Anticapitalismo, direitos, ecologia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PSOL-Rede: 15 deputados, abaixo da cláusula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Social-democracia lulista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PT, PCdoB, PV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Reformismo gradual, redistribuição pelo 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Federação: 88 deputados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Trabalhismo e desenvolvimentismo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PDT, parte do PSB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Legado Vargas-Brizola, indústria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PDT: 6 deputados; PSB: 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Centro pragmático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PSD, MDB, PP, União, Republicanos, Podemos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Governismo, distribuição de recursos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234 deputados (257 com PSDB-Cidadania, PRD-Solidariedade e Avante)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Liberalismo econômico e antipolítica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Novo, Missão (MBL), PSDB residual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mínimo, anticorrupção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Novo 10, Missão 1, PSDB-Cidadania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Conservadorismo religioso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Republicanos, FPE, parte do 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Família, contra o aborto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Transversal: 97 deputados evangélicos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Direita radical populista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 e aliados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Nacionalismo, anticomunismo, punitivismo, alinhamento com Trump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PL: 121 deputados e 28 a 29 senadores</w:t>
            </w:r>
          </w:p>
        </w:tc>
      </w:tr>
    </w:tbl>
    <w:p>
      <w:pPr>
        <w:pStyle w:val="BodyText"/>
      </w:pPr>
      <w:r>
        <w:rPr>
          <w:bCs/>
          <w:b/>
        </w:rPr>
        <w:t xml:space="preserve">Identificação partidária.</w:t>
      </w:r>
      <w:r>
        <w:t xml:space="preserve"> </w:t>
      </w:r>
      <w:r>
        <w:t xml:space="preserve">O PT é o único partido com identidade de massa. Samuels e Zucco (2018) mostram que o sistema se organiza em torno do PT nos dois sentidos: o petismo é a maior identidade positiva, e o antipetismo, a maior identidade negativa. Fuks, Ribeiro e Borba (2021) mostram que, em 2018, o antipetismo se ampliou para uma rejeição generalizada aos partidos, que favoreceu Bolsonaro. Hoje o bolsonarismo é a forma organizada do antipetismo, e a identidade da direita é com o líder, não com a legenda.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Bloco do eleitorado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Posição relativa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Comportamento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Lulistas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Piso da esquerda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Voto estável, popular e nordestino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Esquerda não lulista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Minoritário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Escolarizada; crítica pela esquerda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Maior bloco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Decisivo; vota pela economia, pela segurança e pelo candidato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Direita não bolsonarista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Minoritário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Disputável em 2º turno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Bolsonaristas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Teto da direita radical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Identidade forte e antipetista</w:t>
            </w:r>
          </w:p>
        </w:tc>
      </w:tr>
    </w:tbl>
    <w:p>
      <w:pPr>
        <w:pStyle w:val="BodyText"/>
      </w:pPr>
      <w:r>
        <w:t xml:space="preserve">A aritmética é decisiva: somados, lulistas e esquerda não lulista não formam maioria, e a vitória depende de conquistar uma parte expressiva dos independentes e da direita não bolsonarista. Em setembro de 2026, a Quaest registrava Flávio à frente entre os independentes no 2º turno (36% a 26%). O resultado indica que essa vantagem diminuiu na reta final, mesmo com o apoio de Caiado e de Ratinho Jr. a Flávio e a neutralidade do PSD.</w:t>
      </w:r>
    </w:p>
    <w:p>
      <w:r>
        <w:br w:type="page"/>
      </w:r>
    </w:p>
    <w:bookmarkEnd w:id="127"/>
    <w:bookmarkStart w:id="128" w:name="Xb785e26bbb3fba060e8bf5a098c969f8b269c80"/>
    <w:p>
      <w:pPr>
        <w:pStyle w:val="Heading2"/>
      </w:pPr>
      <w:r>
        <w:t xml:space="preserve">3.6 Teorias da decisão do voto aplicadas ao Brasil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Mecanismo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Evidência no Brasil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Implicação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Sociológica (Columbia)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voto segue grupos e redes de convivência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Clivagens estáveis de renda, região e religião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Disputar espaços de pertencimento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Psicossociológica (Michigan)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Identificação partidária como filtro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Petismo e antipetismo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identidade petista tem teto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Espacial (Downs)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Proximidade de posições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Segurança, costumes e antipetismo previram o voto em 2018 (Rennó, 2020)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Mover a oferta em segurança e valores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Econômica retrospectiva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Premiar ou punir pelo desempenho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2006 e 2010 (Hunter e Power, 2007; Zucco, 2008, 2013); 2015–2016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Entregas visíveis e preços pesam mais que agregados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Choques exógenos (Campello e Zucco)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Commodities e juros dos EUA explicam a popularidade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América Latina, 1980–2014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desempenho depende do ambiente externo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Afetiva e negativa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Rejeição ao outro lado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Voto útil antipetista em 2026 (Fuks e Marques, 2022)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Reduzir rejeição tanto quanto ampliar adesão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Mobilização e comparecimento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Contato pessoal aumenta o comparecimento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Experimentos de campo (Gerber e Green, 2000); persuasão de campanha próxima de zero (Kalla e Broockman, 2018)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Mobilizar rende mais que convencer</w:t>
            </w:r>
          </w:p>
        </w:tc>
      </w:tr>
    </w:tbl>
    <w:p>
      <w:pPr>
        <w:pStyle w:val="BodyText"/>
      </w:pPr>
      <w:r>
        <w:rPr>
          <w:bCs/>
          <w:b/>
        </w:rPr>
        <w:t xml:space="preserve">Leitura de 2026.</w:t>
      </w:r>
      <w:r>
        <w:t xml:space="preserve"> </w:t>
      </w:r>
      <w:r>
        <w:t xml:space="preserve">A direção do voto quase não mudou: a clivagem de renda e região é a de 2006. O voto negativo antipetista funcionou para a direita no 1º turno, quando Flávio somou 5 milhões de votos a mais que o pai em 2022. O voto econômico não bastou para o governo, apesar dos melhores indicadores sociais da série. A mobilização foi o elo fraco no 1º turno e o fator decisivo no 2º: a abstenção caiu de 21,08% para 19,22%, a menor de um 2º turno desde 2006, e a campanha concentrou atos e agenda no Sudeste. A entrega concreta também pesou: o fim da escala 6x1, promulgado nove dias antes do 2º turno, deu à campanha uma conquista palpável para o trabalhador urbano, segundo analistas da eleição.</w:t>
      </w:r>
    </w:p>
    <w:p>
      <w:r>
        <w:br w:type="page"/>
      </w:r>
    </w:p>
    <w:bookmarkEnd w:id="128"/>
    <w:bookmarkStart w:id="132" w:name="democracia-apoio-satisfação-e-erosão"/>
    <w:p>
      <w:pPr>
        <w:pStyle w:val="Heading2"/>
      </w:pPr>
      <w:r>
        <w:t xml:space="preserve">3.7 Democracia: apoio, satisfação e erosão</w:t>
      </w:r>
    </w:p>
    <w:p>
      <w:pPr>
        <w:pStyle w:val="CaptionedFigure"/>
      </w:pPr>
      <w:r>
        <w:drawing>
          <wp:inline>
            <wp:extent cx="5334000" cy="2926219"/>
            <wp:effectExtent b="0" l="0" r="0" t="0"/>
            <wp:docPr descr="Figura 30. Fonte: Latinobarómetro, Informes 2018 (Tabela 3) e 2026." title="" id="130" name="Picture"/>
            <a:graphic>
              <a:graphicData uri="http://schemas.openxmlformats.org/drawingml/2006/picture">
                <pic:pic>
                  <pic:nvPicPr>
                    <pic:cNvPr descr="/home/claude/man/figs/fig29_p035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6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Figura 30.</w:t>
      </w:r>
      <w:r>
        <w:t xml:space="preserve"> </w:t>
      </w:r>
      <w:r>
        <w:t xml:space="preserve">Fonte: Latinobarómetro, Informes 2018 (Tabela 3) e 2026.</w:t>
      </w:r>
    </w:p>
    <w:p>
      <w:pPr>
        <w:pStyle w:val="BodyText"/>
      </w:pPr>
      <w:r>
        <w:t xml:space="preserve">O apoio à democracia no Brasil nunca passou de 55% (2009) e caiu para 32% (2016) e 34% (2018). Em 2018, 41% diziam que</w:t>
      </w:r>
      <w:r>
        <w:t xml:space="preserve"> </w:t>
      </w:r>
      <w:r>
        <w:t xml:space="preserve">“</w:t>
      </w:r>
      <w:r>
        <w:t xml:space="preserve">dá no mesmo</w:t>
      </w:r>
      <w:r>
        <w:t xml:space="preserve">”</w:t>
      </w:r>
      <w:r>
        <w:t xml:space="preserve"> </w:t>
      </w:r>
      <w:r>
        <w:t xml:space="preserve">um regime democrático ou não, só 9% estavam satisfeitos com a democracia (contra 49% em 2010), 90% achavam que o país era governado para poucos grupos poderosos e 73% não votavam em nenhum partido. Em 2026, o apoio está em 41%, o segundo menor da região (média de 52%).</w:t>
      </w:r>
    </w:p>
    <w:p>
      <w:pPr>
        <w:pStyle w:val="BodyText"/>
      </w:pPr>
      <w:r>
        <w:t xml:space="preserve">O apoio à democracia acompanha o desempenho: atingiu o máximo no auge do crescimento e da inclusão (2009–2010) e desabou com a recessão, a Lava Jato e o impeachment. Ricci, Borba e Simoni Jr. (2026) acrescentam que a desconfiança eleitoral, alimentada desde 2014, corrói o apoio ao regime. A recusa de Flávio Bolsonaro em reconhecer o resultado de 2026 mostra que esse discurso seguirá ativo durante todo o mandato. A implicação é dupla: a defesa abstrata da democracia mobiliza a base, mas convence pouco quem é indiferente; o argumento eficaz associa democracia a entregas concretas e a segurança.</w:t>
      </w:r>
    </w:p>
    <w:p>
      <w:r>
        <w:br w:type="page"/>
      </w:r>
    </w:p>
    <w:bookmarkEnd w:id="132"/>
    <w:bookmarkEnd w:id="133"/>
    <w:bookmarkStart w:id="139" w:name="parte-4-crise-e-ruptura-20132026"/>
    <w:p>
      <w:pPr>
        <w:pStyle w:val="Heading1"/>
      </w:pPr>
      <w:r>
        <w:t xml:space="preserve">Parte 4 · Crise e ruptura, 2013–2026</w:t>
      </w:r>
    </w:p>
    <w:p>
      <w:r>
        <w:br w:type="page"/>
      </w:r>
    </w:p>
    <w:bookmarkStart w:id="134" w:name="Xa4f77087ff3396a9bba3053e9952ac9fd0c7623"/>
    <w:p>
      <w:pPr>
        <w:pStyle w:val="Heading2"/>
      </w:pPr>
      <w:r>
        <w:t xml:space="preserve">4.1 Escândalos, Lava Jato e criminalização da política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Período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 atingido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Efeito político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Mensalão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 e aliados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Primeira associação de massa entre PT e corrupção; AP 470 (2012)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2014–2021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Lava Jato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PT, MDB, PP e outros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Prisão de Lula (2018); antipetismo como identidade; criminalização da política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Delação da JBS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Temer, Aécio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Colapso do PSDB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Vaza Jato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Lava Jato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para a anulação das condenações de Lula e a suspeição de Moro (STF, 2021)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2020–2022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Orçamento secreto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Centrão e governo Bolsonaro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Declarado inconstitucional (2022)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2023–2025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Trama golpista e 8 de janeiro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Bolsonaro e aliados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Condenação de Bolsonaro pelo STF (2025) e inelegibilidade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2025–2026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Fraudes no INSS; caso Banco 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Vários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Desgaste do governo; crise do BRB no DF</w:t>
            </w:r>
          </w:p>
        </w:tc>
      </w:tr>
    </w:tbl>
    <w:p>
      <w:pPr>
        <w:pStyle w:val="BodyText"/>
      </w:pPr>
      <w:r>
        <w:t xml:space="preserve">A Lava Jato combinou duas realidades. Revelou corrupção sistêmica, ligada ao financiamento empresarial das campanhas e às grandes obras, com delações e devoluções de recursos. E operou com abusos processuais reconhecidos pelo STF, inclusive cooperação informal com autoridades dos EUA fora dos canais formais. Embora tenha atingido quase todos os grandes partidos, a narrativa pública concentrou-se no PT e converteu um problema sistêmico em atributo de um partido (Davis e Straubhaar, 2020). O resultado foi a consolidação do antipetismo como identidade política e a criminalização da política em geral.</w:t>
      </w:r>
    </w:p>
    <w:p>
      <w:pPr>
        <w:pStyle w:val="BodyText"/>
      </w:pPr>
      <w:r>
        <w:t xml:space="preserve">A operação afetou a construção pesada e a cadeia de petróleo e gás, mas a recessão de 2015–2016 tem causas fiscais, monetárias e externas mais amplas. A lição para o quarto mandato é direta: um escândalo no governo, como as fraudes no INSS, é lido pelo eleitor independente como confirmação do enquadramento antipetista, e só uma agenda de integridade própria, rápida e visível o neutraliza.</w:t>
      </w:r>
    </w:p>
    <w:p>
      <w:r>
        <w:br w:type="page"/>
      </w:r>
    </w:p>
    <w:bookmarkEnd w:id="134"/>
    <w:bookmarkStart w:id="135" w:name="X53830bbe379ce2c31aea9df230340459785d7a4"/>
    <w:p>
      <w:pPr>
        <w:pStyle w:val="Heading2"/>
      </w:pPr>
      <w:r>
        <w:t xml:space="preserve">4.2 De 2013 a 2018: a captura da energia antissistema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Jornadas de Junho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Crise de representação; pautas difusas; apartidarismo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Eleição mais apertada até então; início da Lava Jato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Contestação do resultado pela oposição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Recessão; ajuste fiscal; protestos do MBL e do Vem Pra Rua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Ruas passam à direita; Cunha preside a Câmara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Impeachment de Dilma (pedaladas fiscais)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Ruptura da coalizão de governo por via parlamentar e fim do ciclo do PT no poder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Teto de gastos; reforma trabalhista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Agenda liberal sem voto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Greve dos caminhoneiros; prisão de Lula; facada; WhatsApp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Vitória de Bolsonaro com pouco tempo de TV</w:t>
            </w:r>
          </w:p>
        </w:tc>
      </w:tr>
    </w:tbl>
    <w:p>
      <w:pPr>
        <w:pStyle w:val="BodyText"/>
      </w:pPr>
      <w:r>
        <w:t xml:space="preserve">Tatagiba e Galvão (2019) mostram que o ciclo de protestos de 2011–2016 deslocou progressivamente o repertório e o protagonismo das ruas da esquerda para a direita. A esquerda, no governo, leu 2013 tarde e como ameaça, e perdeu a capacidade de canalizar a energia antissistema. Hunter e Power (2019) descrevem 2018 como uma reação iliberal produzida pela combinação de recessão, escândalo e insegurança.</w:t>
      </w:r>
    </w:p>
    <w:p>
      <w:pPr>
        <w:pStyle w:val="BodyText"/>
      </w:pPr>
      <w:r>
        <w:t xml:space="preserve">A sequência de 2014–2016 é o precedente mais relevante para 2027: vitória apertada contestada pelo derrotado, choque econômico, ajuste fiscal contra a promessa de campanha e Congresso hostil presidido por um adversário. Cada um desses elementos está presente, em alguma medida, no início do quarto mandato.</w:t>
      </w:r>
    </w:p>
    <w:p>
      <w:r>
        <w:br w:type="page"/>
      </w:r>
    </w:p>
    <w:bookmarkEnd w:id="135"/>
    <w:bookmarkStart w:id="136" w:name="medo-populismo-e-messianismo"/>
    <w:p>
      <w:pPr>
        <w:pStyle w:val="Heading2"/>
      </w:pPr>
      <w:r>
        <w:t xml:space="preserve">4.3 Medo, populismo e messianismo</w:t>
      </w:r>
    </w:p>
    <w:p>
      <w:pPr>
        <w:pStyle w:val="FirstParagraph"/>
      </w:pPr>
      <w:r>
        <w:t xml:space="preserve">A direita radical articulou três medos numa narrativa única de povo puro contra elite corrupta: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Enquadramento da direita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 habitual da esquerda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Problema da resposta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Bandido bom é bandido morto</w:t>
            </w:r>
            <w:r>
              <w:t xml:space="preserve">”</w:t>
            </w:r>
            <w:r>
              <w:t xml:space="preserve">; armas para o cidadão de bem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Explicação estrutural (desigualdade, encarceramento)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Soa como evasão para quem tem medo agora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Corrupção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PT como organização criminosa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Negação e denúncia de perseguição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Reforça a imagem de defesa corporativa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Família e costumes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Ideologia de gênero</w:t>
            </w:r>
            <w:r>
              <w:t xml:space="preserve">”</w:t>
            </w:r>
            <w:r>
              <w:t xml:space="preserve">, ameaça às crianças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Tratamento como pauta de nicho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Desqualifica o medo moral do eleitor popular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Comunismo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 Brasil vai virar Venezuela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Desmentido factual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Repete o enquadramento adversário</w:t>
            </w:r>
          </w:p>
        </w:tc>
      </w:tr>
    </w:tbl>
    <w:p>
      <w:pPr>
        <w:pStyle w:val="BodyText"/>
      </w:pPr>
      <w:r>
        <w:t xml:space="preserve">Na definição de Mudde (2004), o populismo opõe um povo homogêneo e virtuoso a uma elite corrupta e reivindica a vontade geral. O populismo de direita brasileiro define o povo em termos morais e religiosos e exclui minorias, imprensa, universidades e o STF. O</w:t>
      </w:r>
      <w:r>
        <w:t xml:space="preserve"> </w:t>
      </w:r>
      <w:r>
        <w:rPr>
          <w:bCs/>
          <w:b/>
        </w:rPr>
        <w:t xml:space="preserve">messianismo</w:t>
      </w:r>
      <w:r>
        <w:t xml:space="preserve"> </w:t>
      </w:r>
      <w:r>
        <w:t xml:space="preserve">tem raízes longas (Canudos, Contestado, o sebastianismo) e foi reativado pela fusão entre liderança carismática e pentecostalismo: a facada lida como milagre, a eleição como vontade divina, a política como batalha espiritual. O efeito é uma lealdade imune a fatos, em que crítica vira perseguição e derrota vira fraude.</w:t>
      </w:r>
    </w:p>
    <w:p>
      <w:pPr>
        <w:pStyle w:val="BodyText"/>
      </w:pPr>
      <w:r>
        <w:t xml:space="preserve">Vidigal (2022) mostra que disposições autoritárias (valorização da obediência e da ordem) predizem o voto à direita no Brasil, e Rennó (2020) que segurança, costumes e antipetismo foram as posições que mais pesaram no voto em Bolsonaro.</w:t>
      </w:r>
    </w:p>
    <w:p>
      <w:r>
        <w:br w:type="page"/>
      </w:r>
    </w:p>
    <w:bookmarkEnd w:id="136"/>
    <w:bookmarkStart w:id="137" w:name="o-ecossistema-digital-e-a-pós-verdade"/>
    <w:p>
      <w:pPr>
        <w:pStyle w:val="Heading2"/>
      </w:pPr>
      <w:r>
        <w:t xml:space="preserve">4.4 O ecossistema digital e a pós-verdade</w:t>
      </w:r>
    </w:p>
    <w:p>
      <w:pPr>
        <w:pStyle w:val="FirstParagraph"/>
      </w:pPr>
      <w:r>
        <w:t xml:space="preserve">As plataformas lucram com atenção, e seus algoritmos priorizam o que gera engajamento. Conteúdos de indignação moral circulam mais (Brady e coautores, 2017), e notícias falsas se espalham mais rápido e mais longe que as verdadeiras (Vosoughi, Roy e Aral, 2018). No Brasil, o WhatsApp foi o principal canal de desinformação em 2018 (Evangelista e Bruno, 2019).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Ecossistema da direita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Ecossistema da esquerda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Estrutura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Multipolar e densa; polos que se citam e se amplificam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Concentrada em poucas contas; baixa conexão entre elas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Família Bolsonaro, Nikolas Ferreira, influenciadores religiosos, mídia própria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Lula, parlamentares, mídia progressista, aliados independentes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Plataformas fortes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WhatsApp e Telegram (distribuição), YouTube (profundidade), TikTok, Kwai e Instagram (alcance)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 e Instagram; presença menor no WhatsApp e no YouTube popular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Ligação com o território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Igrejas, grupos de família, agro, motoristas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Sindicatos, universidades, movimentos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Linguagem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Medo, indignação, humor, vídeo vertical curto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Textual e explicativa; melhora com humor e conflito de classe</w:t>
            </w:r>
          </w:p>
        </w:tc>
      </w:tr>
    </w:tbl>
    <w:p>
      <w:pPr>
        <w:pStyle w:val="BodyText"/>
      </w:pPr>
      <w:r>
        <w:t xml:space="preserve">As redes</w:t>
      </w:r>
      <w:r>
        <w:t xml:space="preserve"> </w:t>
      </w:r>
      <w:r>
        <w:rPr>
          <w:bCs/>
          <w:b/>
        </w:rPr>
        <w:t xml:space="preserve">reforçam identidades e mobilizam</w:t>
      </w:r>
      <w:r>
        <w:t xml:space="preserve"> </w:t>
      </w:r>
      <w:r>
        <w:t xml:space="preserve">mais do que convertem. Experimentos com o Facebook na eleição norte-americana de 2020 mostraram que alterar o algoritmo mudou o que os usuários viam, mas pouco alterou atitudes políticas (Guess e coautores, 2023), e a persuasão de campanha tem efeito médio próximo de zero em eleições gerais (Kalla e Broockman, 2018). A pós-verdade opera por pertencimento: o desmentido factual raramente atinge quem compartilha por identidade, e a inoculação prévia (</w:t>
      </w:r>
      <w:r>
        <w:rPr>
          <w:iCs/>
          <w:i/>
        </w:rPr>
        <w:t xml:space="preserve">pre-bunking</w:t>
      </w:r>
      <w:r>
        <w:t xml:space="preserve">) é mais eficaz (Roozenbeek e coautores, 2022).</w:t>
      </w:r>
    </w:p>
    <w:p>
      <w:r>
        <w:br w:type="page"/>
      </w:r>
    </w:p>
    <w:bookmarkEnd w:id="137"/>
    <w:bookmarkStart w:id="138" w:name="X31b38c3b36007e73761d39c3bb09b9e22992af6"/>
    <w:p>
      <w:pPr>
        <w:pStyle w:val="Heading2"/>
      </w:pPr>
      <w:r>
        <w:t xml:space="preserve">4.5 2022–2026: tentativa de ruptura, reação institucional e nova polarização</w:t>
      </w:r>
    </w:p>
    <w:p>
      <w:pPr>
        <w:pStyle w:val="FirstParagraph"/>
      </w:pPr>
      <w:r>
        <w:t xml:space="preserve">A tentativa de golpe que culminou no 8 de janeiro de 2023 foi contida pelas instituições, e Bolsonaro foi condenado pelo STF em 2025. O índice de democracia liberal do V-Dem, que havia caído para 0,53 em 2019, voltou a 0,71 em 2024. A reação institucional teve, porém, custo político: alimentou a narrativa de</w:t>
      </w:r>
      <w:r>
        <w:t xml:space="preserve"> </w:t>
      </w:r>
      <w:r>
        <w:t xml:space="preserve">“</w:t>
      </w:r>
      <w:r>
        <w:t xml:space="preserve">ditadura do Judiciário</w:t>
      </w:r>
      <w:r>
        <w:t xml:space="preserve">”</w:t>
      </w:r>
      <w:r>
        <w:t xml:space="preserve">, tornou o STF ator central da disputa e levou a esquerda à posição de defender um tribunal que antes a condenara.</w:t>
      </w:r>
    </w:p>
    <w:p>
      <w:pPr>
        <w:pStyle w:val="BodyText"/>
      </w:pPr>
      <w:r>
        <w:t xml:space="preserve">O ambiente externo mudou em 2025. O governo dos EUA impôs tarifa de 50% a produtos brasileiros citando o julgamento de Bolsonaro e aplicou a Lei Magnitsky a um ministro do STF. A Suprema Corte dos EUA derrubou as tarifas em fevereiro de 2026, e a sanção foi retirada em dezembro de 2025, mas Washington impôs novas tarifas pela Seção 301 em julho de 2026, citando o Pix, entre outros pontos. O episódio deu à esquerda o discurso da soberania nacional, que não compensou, no 1º turno, a rejeição nem a pauta de segurança e custo de vida.</w:t>
      </w:r>
    </w:p>
    <w:p>
      <w:pPr>
        <w:pStyle w:val="BodyText"/>
      </w:pPr>
      <w:r>
        <w:rPr>
          <w:bCs/>
          <w:b/>
        </w:rPr>
        <w:t xml:space="preserve">A eleição de 2026 e a contestação.</w:t>
      </w:r>
      <w:r>
        <w:t xml:space="preserve"> </w:t>
      </w:r>
      <w:r>
        <w:t xml:space="preserve">Com Bolsonaro inelegível, a direita radical concorreu com o filho, Flávio, que venceu o 1º turno e perdeu o 2º. Na noite de 25 de outubro, Flávio declarou ser impossível reconhecer o resultado e anunciou um pedido de anulação ao TSE, alegando a prorrogação do horário de votação até as 19h, determinada pelo ministro Cristiano Zanin. O presidente do TSE afirmou que a decisão não alterou o resultado; segundo levantamento do g1, 35.521 votos foram registrados depois das 17h, o equivalente a 0,81% da vantagem de Lula. O presidente do Senado e o presidente da Câmara reconheceram a vitória em nota conjunta, assim como Ronaldo Caiado, o vice-governador de São Paulo e o prefeito da capital paulista; Romeu Zema contestou o resultado. China, União Europeia, França, Espanha, Canadá, México, Índia e os governos de direita do Chile, do Peru, da Colômbia, do Equador e do Paraguai felicitaram Lula; o governo dos EUA e o da Argentina silenciaram.</w:t>
      </w:r>
    </w:p>
    <w:p>
      <w:pPr>
        <w:pStyle w:val="BlockText"/>
      </w:pPr>
      <w:r>
        <w:rPr>
          <w:bCs/>
          <w:b/>
        </w:rPr>
        <w:t xml:space="preserve">Leitura.</w:t>
      </w:r>
      <w:r>
        <w:t xml:space="preserve"> </w:t>
      </w:r>
      <w:r>
        <w:t xml:space="preserve">A contestação de 2026 é mais fraca que a de 2022: não tem apoio dos presidentes das Casas, do ex-candidato Ronaldo Caiado, que apoiara Flávio, nem dos governos vizinhos. Mas confirma que a extrema direita fará do</w:t>
      </w:r>
      <w:r>
        <w:t xml:space="preserve"> </w:t>
      </w:r>
      <w:r>
        <w:t xml:space="preserve">“</w:t>
      </w:r>
      <w:r>
        <w:t xml:space="preserve">resultado ilegítimo</w:t>
      </w:r>
      <w:r>
        <w:t xml:space="preserve">”</w:t>
      </w:r>
      <w:r>
        <w:t xml:space="preserve"> </w:t>
      </w:r>
      <w:r>
        <w:t xml:space="preserve">um eixo de mobilização permanente, como em 2014 e 2022. O governo precisa tratar a legitimidade como agenda ativa desde a posse, e não como questão resolvida pela totalização.</w:t>
      </w:r>
    </w:p>
    <w:p>
      <w:r>
        <w:br w:type="page"/>
      </w:r>
    </w:p>
    <w:bookmarkEnd w:id="138"/>
    <w:bookmarkEnd w:id="139"/>
    <w:bookmarkStart w:id="178" w:name="X555ce1f4fdc4fce7c1d0e4272532c963ee65cf6"/>
    <w:p>
      <w:pPr>
        <w:pStyle w:val="Heading1"/>
      </w:pPr>
      <w:r>
        <w:t xml:space="preserve">Parte 5 · Sociologia política da extrema direita</w:t>
      </w:r>
    </w:p>
    <w:p>
      <w:r>
        <w:br w:type="page"/>
      </w:r>
    </w:p>
    <w:bookmarkStart w:id="143" w:name="de-onde-veio-o-bolsonarismo"/>
    <w:p>
      <w:pPr>
        <w:pStyle w:val="Heading2"/>
      </w:pPr>
      <w:r>
        <w:t xml:space="preserve">5.1 De onde veio o bolsonarismo</w:t>
      </w:r>
    </w:p>
    <w:p>
      <w:pPr>
        <w:pStyle w:val="FirstParagraph"/>
      </w:pPr>
      <w:r>
        <w:rPr>
          <w:bCs/>
          <w:b/>
        </w:rPr>
        <w:t xml:space="preserve">O bolsonarismo não é um acidente de 2018: é a fusão de cinco correntes que existiam antes dele e que encontraram, entre 2013 e 2018, um líder, uma crise e uma tecnologia.</w:t>
      </w:r>
      <w:r>
        <w:t xml:space="preserve"> </w:t>
      </w:r>
      <w:r>
        <w:t xml:space="preserve">A sociologia política permite separá-las, porque cada uma pede uma resposta diferente.</w:t>
      </w:r>
    </w:p>
    <w:p>
      <w:pPr>
        <w:pStyle w:val="CaptionedFigure"/>
      </w:pPr>
      <w:r>
        <w:drawing>
          <wp:inline>
            <wp:extent cx="5334000" cy="3604054"/>
            <wp:effectExtent b="0" l="0" r="0" t="0"/>
            <wp:docPr descr="Figura 31. Fonte: Elaboração própria a partir de Nicolau (2020), Avritzer (2019), Singer (2021), Cesarino (2022), Almeida (2019) e das Partes 2 a 4 deste manual." title="" id="141" name="Picture"/>
            <a:graphic>
              <a:graphicData uri="http://schemas.openxmlformats.org/drawingml/2006/picture">
                <pic:pic>
                  <pic:nvPicPr>
                    <pic:cNvPr descr="/home/claude/man/figs/new/g_genealogia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4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Figura 31.</w:t>
      </w:r>
      <w:r>
        <w:t xml:space="preserve"> </w:t>
      </w:r>
      <w:r>
        <w:t xml:space="preserve">Fonte: Elaboração própria a partir de Nicolau (2020), Avritzer (2019), Singer (2021), Cesarino (2022), Almeida (2019) e das Partes 2 a 4 deste manual.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Corrente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oferece ao eleitor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 adequada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Autoritarismo de ordem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Memória positiva da ditadura militar; polícias e Forças Armadas; cultura punitiva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Policiais, militares, homens de meia-idade, cidades médias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Ordem, autoridade, castigo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Segurança pública eficaz e controle civil das forças armadas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Conservadorismo religioso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Expansão pentecostal desde os anos 1980; bancada evangélica desde 1986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Evangélicos de baixa e média renda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Proteção da família e moral comunitária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Diálogo em pautas comuns e respeito à fé (Seção 5.2)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Antipetismo e moralismo anticorrupção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Mensalão (2005), Lava Jato (2014) e crise de 2015–2016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 média urbana do Sul, Sudeste e Centro-Oeste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Punição da</w:t>
            </w:r>
            <w:r>
              <w:t xml:space="preserve"> </w:t>
            </w:r>
            <w:r>
              <w:t xml:space="preserve">“</w:t>
            </w:r>
            <w:r>
              <w:t xml:space="preserve">elite corrupta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Agenda de integridade própria e visível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Liberalismo econômico de mercado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Elite financeira e agronegócio exportador; reformas de 2016–2019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Empresários, profissionais liberais, agro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mínimo, menos impostos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Disputar o empreendedor popular com crédito, proteção e simplificação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Antissistema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Jornadas de 2013, WhatsApp e YouTube, influenciadores e redes internacionais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Jovens homens, trabalhadores conectados, desconfiados das instituições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Pertencimento, indignação e uma</w:t>
            </w:r>
            <w:r>
              <w:t xml:space="preserve"> </w:t>
            </w:r>
            <w:r>
              <w:t xml:space="preserve">“</w:t>
            </w:r>
            <w:r>
              <w:t xml:space="preserve">verdade</w:t>
            </w:r>
            <w:r>
              <w:t xml:space="preserve">”</w:t>
            </w:r>
            <w:r>
              <w:t xml:space="preserve"> </w:t>
            </w:r>
            <w:r>
              <w:t xml:space="preserve">alternativa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Infraestrutura digital própria e organização presencial</w:t>
            </w:r>
          </w:p>
        </w:tc>
      </w:tr>
    </w:tbl>
    <w:p>
      <w:pPr>
        <w:pStyle w:val="BodyText"/>
      </w:pPr>
      <w:r>
        <w:t xml:space="preserve">O que uniu as cinco correntes foi o antipetismo, que funcionou como identidade negativa comum (Samuels e Zucco, 2018), e uma liderança carismática capaz de falar ao mesmo tempo ao policial, ao pastor, ao empresário e ao jovem antissistema. Nicolau (2020) mostra que a virada de 2018 foi mais forte nas regiões e nos segmentos em que essas correntes se superpunham: Sul, Sudeste e Centro-Oeste, evangélicos, homens e renda média. Avritzer (2019) descreve o ciclo como um</w:t>
      </w:r>
      <w:r>
        <w:t xml:space="preserve"> </w:t>
      </w:r>
      <w:r>
        <w:t xml:space="preserve">“</w:t>
      </w:r>
      <w:r>
        <w:t xml:space="preserve">pêndulo</w:t>
      </w:r>
      <w:r>
        <w:t xml:space="preserve">”</w:t>
      </w:r>
      <w:r>
        <w:t xml:space="preserve"> </w:t>
      </w:r>
      <w:r>
        <w:t xml:space="preserve">da democracia brasileira, em que períodos de expansão de direitos são seguidos por reações de elites e classes médias.</w:t>
      </w:r>
    </w:p>
    <w:p>
      <w:pPr>
        <w:pStyle w:val="BodyText"/>
      </w:pPr>
      <w:r>
        <w:rPr>
          <w:bCs/>
          <w:b/>
        </w:rPr>
        <w:t xml:space="preserve">Depois de Bolsonaro.</w:t>
      </w:r>
      <w:r>
        <w:t xml:space="preserve"> </w:t>
      </w:r>
      <w:r>
        <w:t xml:space="preserve">A inelegibilidade de Jair Bolsonaro e a derrota de Flávio em 2026 abrem uma disputa pela liderança da direita entre a família, os governadores do Sul e do Sudeste e as lideranças digitais e religiosas. As cinco correntes continuam existindo; o que pode mudar é a capacidade de mantê-las unidas. A estratégia da esquerda é separar as correntes, e não combatê-las em bloco.</w:t>
      </w:r>
    </w:p>
    <w:p>
      <w:r>
        <w:br w:type="page"/>
      </w:r>
    </w:p>
    <w:bookmarkEnd w:id="143"/>
    <w:bookmarkStart w:id="147" w:name="sociologia-da-religião-os-evangélicos"/>
    <w:p>
      <w:pPr>
        <w:pStyle w:val="Heading2"/>
      </w:pPr>
      <w:r>
        <w:t xml:space="preserve">5.2 Sociologia da religião: os evangélicos</w:t>
      </w:r>
    </w:p>
    <w:p>
      <w:pPr>
        <w:pStyle w:val="FirstParagraph"/>
      </w:pPr>
      <w:r>
        <w:rPr>
          <w:bCs/>
          <w:b/>
        </w:rPr>
        <w:t xml:space="preserve">O voto evangélico é a maior distância eleitoral do país (27% a 73% contra Lula em 2026), mas não é um bloco homogêneo nem irracional.</w:t>
      </w:r>
      <w:r>
        <w:t xml:space="preserve"> </w:t>
      </w:r>
      <w:r>
        <w:t xml:space="preserve">A sociologia da religião oferece três chaves de leitura.</w:t>
      </w:r>
    </w:p>
    <w:p>
      <w:pPr>
        <w:pStyle w:val="BodyText"/>
      </w:pPr>
      <w:r>
        <w:rPr>
          <w:bCs/>
          <w:b/>
        </w:rPr>
        <w:t xml:space="preserve">1. Mercado religioso e conversão.</w:t>
      </w:r>
      <w:r>
        <w:t xml:space="preserve"> </w:t>
      </w:r>
      <w:r>
        <w:t xml:space="preserve">Berger (1967) mostrou que o pluralismo dissolve os monopólios religiosos e transforma a fé numa escolha; a teoria do mercado religioso (Stark e Finke, 2000) acrescenta que a competição entre igrejas pode fazer a religião crescer: igrejas que oferecem comunidade, cura, prosperidade e pertencimento crescem onde o Estado e a Igreja Católica estão ausentes. Pierucci e Prandi (1996) e Mariano (1999) mostram que o neopentecostalismo se expandiu nas periferias urbanas a partir dos anos 1980, com a Igreja Universal como modelo de organização empresarial, mídia própria e presença política.</w:t>
      </w:r>
    </w:p>
    <w:p>
      <w:pPr>
        <w:pStyle w:val="BodyText"/>
      </w:pPr>
      <w:r>
        <w:rPr>
          <w:bCs/>
          <w:b/>
        </w:rPr>
        <w:t xml:space="preserve">2. A ética da prosperidade e o trabalhador precário.</w:t>
      </w:r>
      <w:r>
        <w:t xml:space="preserve"> </w:t>
      </w:r>
      <w:r>
        <w:t xml:space="preserve">Weber (1904) tratava do ascetismo protestante, e não da teologia da prosperidade, mas sua análise da afinidade entre ética religiosa e conduta econômica ajuda a entender a afinidade entre a teologia da prosperidade e a experiência do trabalhador sem proteção: o esforço individual, a disciplina, a abstinência do álcool e a gestão do dinheiro são recursos reais de sobrevivência e de ascensão. Spyer (2020) mostra que, para muitas famílias pobres, a conversão reduziu a violência doméstica e o alcoolismo. Tratar essa experiência como alienação é sociologicamente errado e politicamente desastroso.</w:t>
      </w:r>
    </w:p>
    <w:p>
      <w:pPr>
        <w:pStyle w:val="BodyText"/>
      </w:pPr>
      <w:r>
        <w:rPr>
          <w:bCs/>
          <w:b/>
        </w:rPr>
        <w:t xml:space="preserve">3. A igreja como organização de mobilização.</w:t>
      </w:r>
      <w:r>
        <w:t xml:space="preserve"> </w:t>
      </w:r>
      <w:r>
        <w:t xml:space="preserve">Smith (2019) mostra que as igrejas pentecostais funcionam como organizações políticas: têm liderança reconhecida, encontros semanais, redes de ajuda mútua e meios de comunicação próprios. Almeida (2019) descreve a convergência entre lideranças evangélicas e o bolsonarismo a partir de uma agenda moral (família, gênero, aborto, drogas) e de uma linguagem de guerra espiritual, na qual o adversário político é também um inimigo moral.</w:t>
      </w:r>
    </w:p>
    <w:p>
      <w:pPr>
        <w:pStyle w:val="CaptionedFigure"/>
      </w:pPr>
      <w:r>
        <w:drawing>
          <wp:inline>
            <wp:extent cx="5334000" cy="3407833"/>
            <wp:effectExtent b="0" l="0" r="0" t="0"/>
            <wp:docPr descr="Figura 32. Fonte: Elaboração própria a partir de Smith (2019), Spyer (2020) e Mariano (1999)." title="" id="145" name="Picture"/>
            <a:graphic>
              <a:graphicData uri="http://schemas.openxmlformats.org/drawingml/2006/picture">
                <pic:pic>
                  <pic:nvPicPr>
                    <pic:cNvPr descr="/home/claude/man/figs/new/g_igreja_hub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7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Figura 32.</w:t>
      </w:r>
      <w:r>
        <w:t xml:space="preserve"> </w:t>
      </w:r>
      <w:r>
        <w:t xml:space="preserve">Fonte: Elaboração própria a partir de Smith (2019), Spyer (2020) e Mariano (1999).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Segmento evangélico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Traços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Relação com a política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Abordagem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Protestantismo histórico (batistas, presbiterianos, metodistas, luteranos)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Escolarização mais alta; tradição de ação 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Dividido; minoria progressista organizada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Interlocução direta, pautas de direitos e de cuidado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Pentecostalismo clássico (Assembleia de Deus, Congregação Cristã)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Maior segmento; forte moral comunitária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Lideranças nacionais alinhadas à direita; base mais heterogênea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Pautas comuns locais: dependência química, violência, família, emprego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Neopentecostalismo (Universal, Mundial, Internacional da Graça)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Teologia da prosperidade; mídia própria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Partido ligado à Universal (Republicanos) e bancada própria; pragmatismo de governo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Relação institucional e respeito à liberdade religiosa, sem concessões programáticas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Igrejas independentes e de periferia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Pequenas, autônomas, pastores locais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Mais sensíveis a serviços e a vínculos pessoais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Comitês, serviços e lideranças da própria fé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Implicações.</w:t>
      </w:r>
      <w:r>
        <w:t xml:space="preserve"> </w:t>
      </w:r>
      <w:r>
        <w:t xml:space="preserve">O objetivo não é vencer entre evangélicos, mas reduzir a desvantagem de 46 para 30 pontos até 2030 (Seção 11.5). Isso exige quatro movimentos: respeito explícito à fé e à liberdade religiosa; políticas com efeito visível sobre a família (dependência química, violência contra a mulher e as crianças, creche, renda); mensageiros da própria comunidade; e separação entre o eleitor evangélico, que é disputável, e as lideranças que fizeram da política uma guerra espiritual.</w:t>
      </w:r>
    </w:p>
    <w:p>
      <w:r>
        <w:br w:type="page"/>
      </w:r>
    </w:p>
    <w:bookmarkEnd w:id="147"/>
    <w:bookmarkStart w:id="151" w:name="elites-revolução-e-mobilização-popular"/>
    <w:p>
      <w:pPr>
        <w:pStyle w:val="Heading2"/>
      </w:pPr>
      <w:r>
        <w:t xml:space="preserve">5.3 Elites, revolução e mobilização popular</w:t>
      </w:r>
    </w:p>
    <w:p>
      <w:pPr>
        <w:pStyle w:val="FirstParagraph"/>
      </w:pPr>
      <w:r>
        <w:rPr>
          <w:bCs/>
          <w:b/>
        </w:rPr>
        <w:t xml:space="preserve">A esquerda brasileira tem de mobilizar sem uma situação revolucionária e governar sem controlar as elites.</w:t>
      </w:r>
      <w:r>
        <w:t xml:space="preserve"> </w:t>
      </w:r>
      <w:r>
        <w:t xml:space="preserve">As teorias clássicas sobre revoluções, elites e movimentos sociais ajudam a medir o que é possível.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Tradição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ensina ao campo em 2027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Teoria das elites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Mosca, Pareto, Michels; Wright Mills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 sociedade é governada por minorias organizadas; as organizações de massa tendem à oligarquia (</w:t>
            </w:r>
            <w:r>
              <w:t xml:space="preserve">“</w:t>
            </w:r>
            <w:r>
              <w:t xml:space="preserve">lei de ferro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PT reproduz a lei de ferro: direção vertical, fusão com o governo e dependência de um líder. A renovação exige regras de rotatividade e formação de quadros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Revoluções sociais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Skocpol (1979)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Revoluções ocorrem quando o Estado entra em crise, as elites se dividem e há base camponesa ou popular organizada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há situação revolucionária. A disputa é de governo e de hegemonia, não de ruptura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Hegemonia e guerra de posição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Gramsci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 sociedades complexas, o poder se disputa na sociedade civil, nas instituições e no senso comum, numa</w:t>
            </w:r>
            <w:r>
              <w:t xml:space="preserve"> </w:t>
            </w:r>
            <w:r>
              <w:t xml:space="preserve">“</w:t>
            </w:r>
            <w:r>
              <w:t xml:space="preserve">guerra de posição</w:t>
            </w:r>
            <w:r>
              <w:t xml:space="preserve">”</w:t>
            </w:r>
            <w:r>
              <w:t xml:space="preserve"> </w:t>
            </w:r>
            <w:r>
              <w:t xml:space="preserve">de longo prazo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campo perdeu as trincheiras da sociedade civil (sindicatos, bairros, igrejas) para a direita. A estratégia é reocupá-las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Mobilização de recursos e processo político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Tilly (1978); McCarthy e Zald (1977); McAdam (1982); McAdam, McCarthy e Zald (1996); Tarrow (1998)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Movimentos surgem da combinação de oportunidades políticas, estruturas de mobilização, enquadramentos e repertórios de 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mobilização depende de organização prévia: os comitês, as redes e os enquadramentos devem existir antes da crise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Organização relacional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Ganz (2009), Han (2014)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Organizações que formam ativistas (e não apenas mobilizam) criam capacidade duradoura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Medir o sucesso pelo número de lideranças formadas, e não pelo número de eventos</w:t>
            </w:r>
          </w:p>
        </w:tc>
      </w:tr>
    </w:tbl>
    <w:p>
      <w:pPr>
        <w:pStyle w:val="CaptionedFigure"/>
      </w:pPr>
      <w:r>
        <w:drawing>
          <wp:inline>
            <wp:extent cx="5334000" cy="2883243"/>
            <wp:effectExtent b="0" l="0" r="0" t="0"/>
            <wp:docPr descr="Figura 33. Fonte: Elaboração própria a partir de Tilly (1978), McAdam (1982), McAdam, McCarthy e Zald (1996) e Tarrow (1998)." title="" id="149" name="Picture"/>
            <a:graphic>
              <a:graphicData uri="http://schemas.openxmlformats.org/drawingml/2006/picture">
                <pic:pic>
                  <pic:nvPicPr>
                    <pic:cNvPr descr="/home/claude/man/figs/new/g_processo_politico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3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Figura 33.</w:t>
      </w:r>
      <w:r>
        <w:t xml:space="preserve"> </w:t>
      </w:r>
      <w:r>
        <w:t xml:space="preserve">Fonte: Elaboração própria a partir de Tilly (1978), McAdam (1982), McAdam, McCarthy e Zald (1996) e Tarrow (1998).</w:t>
      </w:r>
    </w:p>
    <w:p>
      <w:pPr>
        <w:pStyle w:val="BodyText"/>
      </w:pPr>
      <w:r>
        <w:rPr>
          <w:bCs/>
          <w:b/>
        </w:rPr>
        <w:t xml:space="preserve">Lições para a mobilização popular.</w:t>
      </w:r>
      <w:r>
        <w:t xml:space="preserve"> </w:t>
      </w:r>
      <w:r>
        <w:t xml:space="preserve">O ciclo de protestos de 2011 a 2016 mostra que a oportunidade política sem organização própria é capturada por quem tem estrutura (Tatagiba e Galvão, 2019). Em 2026, a virada do 2º turno mostrou o inverso: quando a campanha reorganizou estruturas, enquadramentos e repertórios em três semanas, o comparecimento subiu. A tarefa de 2027–2030 é transformar essa mobilização episódica em organização permanente, com três critérios de Han (2014): ativistas com autonomia, responsabilidade por pessoas concretas e formação contínua.</w:t>
      </w:r>
    </w:p>
    <w:p>
      <w:pPr>
        <w:pStyle w:val="BodyText"/>
      </w:pPr>
      <w:r>
        <w:rPr>
          <w:bCs/>
          <w:b/>
        </w:rPr>
        <w:t xml:space="preserve">Elites e governabilidade.</w:t>
      </w:r>
      <w:r>
        <w:t xml:space="preserve"> </w:t>
      </w:r>
      <w:r>
        <w:t xml:space="preserve">Wright Mills (1956) descreve uma</w:t>
      </w:r>
      <w:r>
        <w:t xml:space="preserve"> </w:t>
      </w:r>
      <w:r>
        <w:t xml:space="preserve">“</w:t>
      </w:r>
      <w:r>
        <w:t xml:space="preserve">elite do poder</w:t>
      </w:r>
      <w:r>
        <w:t xml:space="preserve">”</w:t>
      </w:r>
      <w:r>
        <w:t xml:space="preserve"> </w:t>
      </w:r>
      <w:r>
        <w:t xml:space="preserve">formada por quem controla as grandes organizações econômicas, militares e políticas. No Brasil de 2027, essa elite inclui o agronegócio, o sistema financeiro, as big techs, a cúpula do Congresso e as lideranças religiosas (Parte 6). O governo não precisa vencer essas elites; precisa dividi-las, oferecendo a cada fração interesses concretos que a afastem da extrema direita: previsibilidade ao mercado, acesso a mercados ao agro, segurança jurídica às empresas e respeito institucional ao Congresso.</w:t>
      </w:r>
    </w:p>
    <w:p>
      <w:r>
        <w:br w:type="page"/>
      </w:r>
    </w:p>
    <w:bookmarkEnd w:id="151"/>
    <w:bookmarkStart w:id="155" w:name="teoria-democrática-e-instituições"/>
    <w:p>
      <w:pPr>
        <w:pStyle w:val="Heading2"/>
      </w:pPr>
      <w:r>
        <w:t xml:space="preserve">5.4 Teoria democrática e instituições</w:t>
      </w:r>
    </w:p>
    <w:p>
      <w:pPr>
        <w:pStyle w:val="FirstParagraph"/>
      </w:pPr>
      <w:r>
        <w:rPr>
          <w:bCs/>
          <w:b/>
        </w:rPr>
        <w:t xml:space="preserve">A democracia brasileira resistiu a uma tentativa de golpe, mas continua vulnerável à erosão gradual.</w:t>
      </w:r>
      <w:r>
        <w:t xml:space="preserve"> </w:t>
      </w:r>
      <w:r>
        <w:t xml:space="preserve">A teoria democrática ajuda a distinguir as duas ameaças e a desenhar defesas proporcionais.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Definição de democracia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Leitura do Brasil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Minimalista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Schumpeter; Przeworski (2019)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Competição eleitoral em que governos perdem e entregam o poder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 no teste em 2022 e 2026, apesar das contestações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Poliarquia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Dahl (1971)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Participação ampla e contestação pública, com liberdades civis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Liberdades preservadas, mas desinformação e violência política afetam a contestação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Accountability horizontal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O’Donnell (1998)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Instituições que se controlam mutuamente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STF e TSE ganharam centralidade e passaram a ser alvo da disputa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Grades de proteção (normas)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Levitsky e Ziblatt (2018)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Normas de tolerância mútua e de reserva institucional sustentam as regras; os partidos atuam como guardiões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normas foram rompidas em 2018–2022 e não foram plenamente restauradas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Deliberativa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Habermas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Legitimidade pela discussão pública racional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esfera pública foi capturada por plataformas que premiam a indignação (Seção 4.4)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Agonística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Mouffe (2005)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democracia transforma inimigos em adversários legítimos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risco é tratar todo eleitor de direita como inimigo; a tarefa é separar adversários de extremistas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Democracia defensiva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Loewenstein (1937)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democracia pode limitar quem usa suas regras para destruí-la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condenação dos responsáveis pelo 8 de janeiro aplica essa ideia; o desafio é aplicá-la sem parecer perseguição</w:t>
            </w:r>
          </w:p>
        </w:tc>
      </w:tr>
    </w:tbl>
    <w:p>
      <w:pPr>
        <w:pStyle w:val="CaptionedFigure"/>
      </w:pPr>
      <w:r>
        <w:drawing>
          <wp:inline>
            <wp:extent cx="5334000" cy="3556000"/>
            <wp:effectExtent b="0" l="0" r="0" t="0"/>
            <wp:docPr descr="Figura 34. Fonte: Elaboração própria a partir de Levitsky e Ziblatt (2018), Mouffe (2005) e Loewenstein (1937)." title="" id="153" name="Picture"/>
            <a:graphic>
              <a:graphicData uri="http://schemas.openxmlformats.org/drawingml/2006/picture">
                <pic:pic>
                  <pic:nvPicPr>
                    <pic:cNvPr descr="/home/claude/man/figs/new/g_democracia_2x2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Figura 34.</w:t>
      </w:r>
      <w:r>
        <w:t xml:space="preserve"> </w:t>
      </w:r>
      <w:r>
        <w:t xml:space="preserve">Fonte: Elaboração própria a partir de Levitsky e Ziblatt (2018), Mouffe (2005) e Loewenstein (1937).</w:t>
      </w:r>
    </w:p>
    <w:p>
      <w:pPr>
        <w:pStyle w:val="BodyText"/>
      </w:pPr>
      <w:r>
        <w:rPr>
          <w:bCs/>
          <w:b/>
        </w:rPr>
        <w:t xml:space="preserve">Implicações para as instituições.</w:t>
      </w:r>
      <w:r>
        <w:t xml:space="preserve"> </w:t>
      </w:r>
      <w:r>
        <w:t xml:space="preserve">O manual adota uma combinação de democracia defensiva e de competição agonística. A defesa institucional (responsabilização de quem atentou contra a democracia, integridade eleitoral, regulação das plataformas) é necessária, mas insuficiente: se a extrema direita for derrotada só nos tribunais, sua narrativa de perseguição cresce. Ela precisa ser derrotada também nas urnas, na sociedade civil e nas entregas do governo. Três regras decorrem disso: nunca usar o Estado contra adversários legítimos; respeitar as prerrogativas do Congresso mesmo quando ele é hostil; e associar a democracia a resultados concretos, porque o apoio ao regime acompanha o desempenho (Seção 3.7).</w:t>
      </w:r>
    </w:p>
    <w:p>
      <w:r>
        <w:br w:type="page"/>
      </w:r>
    </w:p>
    <w:bookmarkEnd w:id="155"/>
    <w:bookmarkStart w:id="159" w:name="ator-rede-frames-e-o-campo-ideológico"/>
    <w:p>
      <w:pPr>
        <w:pStyle w:val="Heading2"/>
      </w:pPr>
      <w:r>
        <w:t xml:space="preserve">5.5 Ator-rede, frames e o campo ideológico</w:t>
      </w:r>
    </w:p>
    <w:p>
      <w:pPr>
        <w:pStyle w:val="FirstParagraph"/>
      </w:pPr>
      <w:r>
        <w:rPr>
          <w:bCs/>
          <w:b/>
        </w:rPr>
        <w:t xml:space="preserve">A política é uma disputa por traduzir interesses dispersos numa causa comum.</w:t>
      </w:r>
      <w:r>
        <w:t xml:space="preserve"> </w:t>
      </w:r>
      <w:r>
        <w:t xml:space="preserve">Duas tradições explicam como a extrema direita fez isso melhor que a esquerda desde 2013.</w:t>
      </w:r>
    </w:p>
    <w:p>
      <w:pPr>
        <w:pStyle w:val="BodyText"/>
      </w:pPr>
      <w:r>
        <w:rPr>
          <w:bCs/>
          <w:b/>
        </w:rPr>
        <w:t xml:space="preserve">Teoria Ator-Rede.</w:t>
      </w:r>
      <w:r>
        <w:t xml:space="preserve"> </w:t>
      </w:r>
      <w:r>
        <w:t xml:space="preserve">Para Latour (2005) e Callon (1986), um ator político só existe enquanto mantém associações com outros atores, humanos e não humanos (plataformas, algoritmos, templos, celulares, armas). O poder é o resultado de uma</w:t>
      </w:r>
      <w:r>
        <w:t xml:space="preserve"> </w:t>
      </w:r>
      <w:r>
        <w:rPr>
          <w:bCs/>
          <w:b/>
        </w:rPr>
        <w:t xml:space="preserve">tradução</w:t>
      </w:r>
      <w:r>
        <w:t xml:space="preserve"> </w:t>
      </w:r>
      <w:r>
        <w:t xml:space="preserve">bem-sucedida, que tem quatro momentos: problematização, interessamento, alistamento (</w:t>
      </w:r>
      <w:r>
        <w:rPr>
          <w:iCs/>
          <w:i/>
        </w:rPr>
        <w:t xml:space="preserve">enrolment</w:t>
      </w:r>
      <w:r>
        <w:t xml:space="preserve">) e mobilização. O bolsonarismo traduziu o medo do crime, a ansiedade moral, a raiva contra a corrupção e a precariedade do trabalho numa única controvérsia: o</w:t>
      </w:r>
      <w:r>
        <w:t xml:space="preserve"> </w:t>
      </w:r>
      <w:r>
        <w:t xml:space="preserve">“</w:t>
      </w:r>
      <w:r>
        <w:t xml:space="preserve">cidadão de bem</w:t>
      </w:r>
      <w:r>
        <w:t xml:space="preserve">”</w:t>
      </w:r>
      <w:r>
        <w:t xml:space="preserve"> </w:t>
      </w:r>
      <w:r>
        <w:t xml:space="preserve">contra o</w:t>
      </w:r>
      <w:r>
        <w:t xml:space="preserve"> </w:t>
      </w:r>
      <w:r>
        <w:t xml:space="preserve">“</w:t>
      </w:r>
      <w:r>
        <w:t xml:space="preserve">sistema</w:t>
      </w:r>
      <w:r>
        <w:t xml:space="preserve">”</w:t>
      </w:r>
      <w:r>
        <w:t xml:space="preserve">.</w:t>
      </w:r>
    </w:p>
    <w:p>
      <w:pPr>
        <w:pStyle w:val="CaptionedFigure"/>
      </w:pPr>
      <w:r>
        <w:drawing>
          <wp:inline>
            <wp:extent cx="5334000" cy="2811162"/>
            <wp:effectExtent b="0" l="0" r="0" t="0"/>
            <wp:docPr descr="Figura 35. Fonte: Elaboração própria a partir de Callon (1986) e Latour (2005)." title="" id="157" name="Picture"/>
            <a:graphic>
              <a:graphicData uri="http://schemas.openxmlformats.org/drawingml/2006/picture">
                <pic:pic>
                  <pic:nvPicPr>
                    <pic:cNvPr descr="/home/claude/man/figs/new/g_traducao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11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Figura 35.</w:t>
      </w:r>
      <w:r>
        <w:t xml:space="preserve"> </w:t>
      </w:r>
      <w:r>
        <w:t xml:space="preserve">Fonte: Elaboração própria a partir de Callon (1986) e Latour (2005).</w:t>
      </w:r>
    </w:p>
    <w:p>
      <w:pPr>
        <w:pStyle w:val="BodyText"/>
      </w:pPr>
      <w:r>
        <w:rPr>
          <w:bCs/>
          <w:b/>
        </w:rPr>
        <w:t xml:space="preserve">Enquadramentos.</w:t>
      </w:r>
      <w:r>
        <w:t xml:space="preserve"> </w:t>
      </w:r>
      <w:r>
        <w:t xml:space="preserve">Goffman (1974) chama de</w:t>
      </w:r>
      <w:r>
        <w:t xml:space="preserve"> </w:t>
      </w:r>
      <w:r>
        <w:rPr>
          <w:iCs/>
          <w:i/>
        </w:rPr>
        <w:t xml:space="preserve">frame</w:t>
      </w:r>
      <w:r>
        <w:t xml:space="preserve"> </w:t>
      </w:r>
      <w:r>
        <w:t xml:space="preserve">o esquema que organiza a experiência. Snow e Benford (1988) mostram que os movimentos vencem quando oferecem três enquadramentos coerentes: um</w:t>
      </w:r>
      <w:r>
        <w:t xml:space="preserve"> </w:t>
      </w:r>
      <w:r>
        <w:rPr>
          <w:bCs/>
          <w:b/>
        </w:rPr>
        <w:t xml:space="preserve">diagnóstico</w:t>
      </w:r>
      <w:r>
        <w:t xml:space="preserve"> </w:t>
      </w:r>
      <w:r>
        <w:t xml:space="preserve">(qual é o problema e quem é o culpado), um</w:t>
      </w:r>
      <w:r>
        <w:t xml:space="preserve"> </w:t>
      </w:r>
      <w:r>
        <w:rPr>
          <w:bCs/>
          <w:b/>
        </w:rPr>
        <w:t xml:space="preserve">prognóstico</w:t>
      </w:r>
      <w:r>
        <w:t xml:space="preserve"> </w:t>
      </w:r>
      <w:r>
        <w:t xml:space="preserve">(o que fazer) e uma</w:t>
      </w:r>
      <w:r>
        <w:t xml:space="preserve"> </w:t>
      </w:r>
      <w:r>
        <w:rPr>
          <w:bCs/>
          <w:b/>
        </w:rPr>
        <w:t xml:space="preserve">motivação</w:t>
      </w:r>
      <w:r>
        <w:t xml:space="preserve"> </w:t>
      </w:r>
      <w:r>
        <w:t xml:space="preserve">(por que agir agora). Lakoff (2004) acrescenta que repetir o enquadramento do adversário, mesmo para negá-lo, o reforça.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 da extrema direita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Contra-frame proposto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Prova concreta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Bandido bom é bandido morto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Quem manda no bairro é o trabalhador, não a facção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Ofensiva contra as finanças do crime; celular seguro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Corrupção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 PT é uma organização criminosa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Quem rouba aposentado é punido e devolve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Ressarcimento das vítimas das fraudes no INSS; rastreabilidade das emendas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Família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Ideologia de gênero ameaça seus filhos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Proteger a família é tirar o filho da droga e a mãe da violência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Creche, tratamento da dependência química, combate à violência doméstica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Economia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 Estado tira o seu dinheiro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Quem trabalha paga menos; quem vive de renda paga a sua parte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Isenção do IR até R$ 5 mil; tributação do topo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Trabalho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Seja o seu próprio patrão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Autonomia com proteção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horas; previdência para o trabalhador de aplicativo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Soberania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 Brasil vai virar Venezuela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 Brasil decide o próprio futuro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Negociação das tarifas; minerais críticos com indústria nacional</w:t>
            </w:r>
          </w:p>
        </w:tc>
      </w:tr>
    </w:tbl>
    <w:p>
      <w:pPr>
        <w:pStyle w:val="BodyText"/>
      </w:pPr>
      <w:r>
        <w:rPr>
          <w:bCs/>
          <w:b/>
        </w:rPr>
        <w:t xml:space="preserve">O campo ideológico como rede.</w:t>
      </w:r>
      <w:r>
        <w:t xml:space="preserve"> </w:t>
      </w:r>
      <w:r>
        <w:t xml:space="preserve">A sociometria da Parte 6 mostra a consequência prática: a direita tem dois canais densos até o eleitor independente (igrejas e ecossistema digital), e a esquerda tem um (movimentos). Em termos de Teoria Ator-Rede, a esquerda tem bons porta-vozes, mas poucos intermediários: poucas pessoas e objetos que levam sua mensagem para dentro da vida cotidiana. O comitê com serviços, o criador local e o programa com assinatura reconhecível são intermediários.</w:t>
      </w:r>
    </w:p>
    <w:p>
      <w:r>
        <w:br w:type="page"/>
      </w:r>
    </w:p>
    <w:bookmarkEnd w:id="159"/>
    <w:bookmarkStart w:id="163" w:name="real-hiper-realidade-e-pós-verdade"/>
    <w:p>
      <w:pPr>
        <w:pStyle w:val="Heading2"/>
      </w:pPr>
      <w:r>
        <w:t xml:space="preserve">5.6 Real, hiper-realidade e pós-verdade</w:t>
      </w:r>
    </w:p>
    <w:p>
      <w:pPr>
        <w:pStyle w:val="FirstParagraph"/>
      </w:pPr>
      <w:r>
        <w:rPr>
          <w:bCs/>
          <w:b/>
        </w:rPr>
        <w:t xml:space="preserve">A extrema direita não disputa apenas interpretações dos fatos: disputa qual realidade conta como real.</w:t>
      </w:r>
      <w:r>
        <w:t xml:space="preserve"> </w:t>
      </w:r>
      <w:r>
        <w:t xml:space="preserve">Três autores ajudam a pensar o problema.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Debord (1967)</w:t>
      </w:r>
      <w:r>
        <w:t xml:space="preserve"> </w:t>
      </w:r>
      <w:r>
        <w:t xml:space="preserve">descreveu a sociedade do espetáculo, em que a relação entre as pessoas é mediada por imagens. A política vira encenação permanente, e a imagem do líder vale mais que o programa.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Baudrillard (1981)</w:t>
      </w:r>
      <w:r>
        <w:t xml:space="preserve"> </w:t>
      </w:r>
      <w:r>
        <w:t xml:space="preserve">chamou de</w:t>
      </w:r>
      <w:r>
        <w:t xml:space="preserve"> </w:t>
      </w:r>
      <w:r>
        <w:rPr>
          <w:bCs/>
          <w:b/>
        </w:rPr>
        <w:t xml:space="preserve">hiper-realidade</w:t>
      </w:r>
      <w:r>
        <w:t xml:space="preserve"> </w:t>
      </w:r>
      <w:r>
        <w:t xml:space="preserve">a situação em que os simulacros se tornam mais reais que o real. No Brasil, o</w:t>
      </w:r>
      <w:r>
        <w:t xml:space="preserve"> </w:t>
      </w:r>
      <w:r>
        <w:t xml:space="preserve">“</w:t>
      </w:r>
      <w:r>
        <w:t xml:space="preserve">kit gay</w:t>
      </w:r>
      <w:r>
        <w:t xml:space="preserve">”</w:t>
      </w:r>
      <w:r>
        <w:t xml:space="preserve">, a</w:t>
      </w:r>
      <w:r>
        <w:t xml:space="preserve"> </w:t>
      </w:r>
      <w:r>
        <w:t xml:space="preserve">“</w:t>
      </w:r>
      <w:r>
        <w:t xml:space="preserve">fraude nas urnas</w:t>
      </w:r>
      <w:r>
        <w:t xml:space="preserve">”</w:t>
      </w:r>
      <w:r>
        <w:t xml:space="preserve"> </w:t>
      </w:r>
      <w:r>
        <w:t xml:space="preserve">e o</w:t>
      </w:r>
      <w:r>
        <w:t xml:space="preserve"> </w:t>
      </w:r>
      <w:r>
        <w:t xml:space="preserve">“</w:t>
      </w:r>
      <w:r>
        <w:t xml:space="preserve">Brasil vai virar Venezuela</w:t>
      </w:r>
      <w:r>
        <w:t xml:space="preserve">”</w:t>
      </w:r>
      <w:r>
        <w:t xml:space="preserve"> </w:t>
      </w:r>
      <w:r>
        <w:t xml:space="preserve">funcionaram como simulacros: sem correspondência com os fatos, mas mais vívidos que eles para quem os compartilhava.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Cesarino (2022)</w:t>
      </w:r>
      <w:r>
        <w:t xml:space="preserve"> </w:t>
      </w:r>
      <w:r>
        <w:t xml:space="preserve">mostra que o populismo digital cria um</w:t>
      </w:r>
      <w:r>
        <w:t xml:space="preserve"> </w:t>
      </w:r>
      <w:r>
        <w:t xml:space="preserve">“</w:t>
      </w:r>
      <w:r>
        <w:t xml:space="preserve">mundo do avesso</w:t>
      </w:r>
      <w:r>
        <w:t xml:space="preserve">”</w:t>
      </w:r>
      <w:r>
        <w:t xml:space="preserve">, em que a desconfiança nas instituições de verdade (imprensa, ciência, universidade, Justiça) é a própria fonte de pertencimento. Empoli (2019) descreve os</w:t>
      </w:r>
      <w:r>
        <w:t xml:space="preserve"> </w:t>
      </w:r>
      <w:r>
        <w:t xml:space="preserve">“</w:t>
      </w:r>
      <w:r>
        <w:t xml:space="preserve">engenheiros do caos</w:t>
      </w:r>
      <w:r>
        <w:t xml:space="preserve">”</w:t>
      </w:r>
      <w:r>
        <w:t xml:space="preserve"> </w:t>
      </w:r>
      <w:r>
        <w:t xml:space="preserve">que produzem esse ambiente de propósito, explorando algoritmos que premiam a indignação.</w:t>
      </w:r>
    </w:p>
    <w:p>
      <w:pPr>
        <w:pStyle w:val="CaptionedFigure"/>
      </w:pPr>
      <w:r>
        <w:drawing>
          <wp:inline>
            <wp:extent cx="5334000" cy="3111500"/>
            <wp:effectExtent b="0" l="0" r="0" t="0"/>
            <wp:docPr descr="Figura 36. Fonte: Elaboração própria a partir de Baudrillard (1981), Cesarino (2022) e Roozenbeek e coautores (2022)." title="" id="161" name="Picture"/>
            <a:graphic>
              <a:graphicData uri="http://schemas.openxmlformats.org/drawingml/2006/picture">
                <pic:pic>
                  <pic:nvPicPr>
                    <pic:cNvPr descr="/home/claude/man/figs/new/g_hiperrealidade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Figura 36.</w:t>
      </w:r>
      <w:r>
        <w:t xml:space="preserve"> </w:t>
      </w:r>
      <w:r>
        <w:t xml:space="preserve">Fonte: Elaboração própria a partir de Baudrillard (1981), Cesarino (2022) e Roozenbeek e coautores (2022).</w:t>
      </w:r>
    </w:p>
    <w:p>
      <w:pPr>
        <w:pStyle w:val="BodyText"/>
      </w:pPr>
      <w:r>
        <w:rPr>
          <w:bCs/>
          <w:b/>
        </w:rPr>
        <w:t xml:space="preserve">Implicações.</w:t>
      </w:r>
      <w:r>
        <w:t xml:space="preserve"> </w:t>
      </w:r>
      <w:r>
        <w:t xml:space="preserve">Se a pós-verdade opera por pertencimento, o desmentido factual não basta (Seção 4.4). A resposta tem três camadas:</w:t>
      </w:r>
      <w:r>
        <w:t xml:space="preserve"> </w:t>
      </w:r>
      <w:r>
        <w:rPr>
          <w:bCs/>
          <w:b/>
        </w:rPr>
        <w:t xml:space="preserve">prevenir</w:t>
      </w:r>
      <w:r>
        <w:t xml:space="preserve"> </w:t>
      </w:r>
      <w:r>
        <w:t xml:space="preserve">(inoculação prévia, ou</w:t>
      </w:r>
      <w:r>
        <w:t xml:space="preserve"> </w:t>
      </w:r>
      <w:r>
        <w:rPr>
          <w:iCs/>
          <w:i/>
        </w:rPr>
        <w:t xml:space="preserve">pre-bunking</w:t>
      </w:r>
      <w:r>
        <w:t xml:space="preserve">, antes que o boato circule);</w:t>
      </w:r>
      <w:r>
        <w:t xml:space="preserve"> </w:t>
      </w:r>
      <w:r>
        <w:rPr>
          <w:bCs/>
          <w:b/>
        </w:rPr>
        <w:t xml:space="preserve">ancorar</w:t>
      </w:r>
      <w:r>
        <w:t xml:space="preserve"> </w:t>
      </w:r>
      <w:r>
        <w:t xml:space="preserve">(levar a experiência concreta para o centro: a obra entregue, a conta que baixou, o filho que entrou na faculdade, mostrados por quem os viveu); e</w:t>
      </w:r>
      <w:r>
        <w:t xml:space="preserve"> </w:t>
      </w:r>
      <w:r>
        <w:rPr>
          <w:bCs/>
          <w:b/>
        </w:rPr>
        <w:t xml:space="preserve">pertencer</w:t>
      </w:r>
      <w:r>
        <w:t xml:space="preserve"> </w:t>
      </w:r>
      <w:r>
        <w:t xml:space="preserve">(oferecer comunidade real, no território, em vez de comunidade imaginada nas redes). O real só vence o simulacro quando é vivido em grupo.</w:t>
      </w:r>
    </w:p>
    <w:p>
      <w:r>
        <w:br w:type="page"/>
      </w:r>
    </w:p>
    <w:bookmarkEnd w:id="163"/>
    <w:bookmarkStart w:id="173" w:name="Xefeacf4127906e0385e828ceeaaf0c266671429"/>
    <w:p>
      <w:pPr>
        <w:pStyle w:val="Heading2"/>
      </w:pPr>
      <w:r>
        <w:t xml:space="preserve">5.7 Sociologia da violência e o crime organizado</w:t>
      </w:r>
    </w:p>
    <w:p>
      <w:pPr>
        <w:pStyle w:val="FirstParagraph"/>
      </w:pPr>
      <w:r>
        <w:rPr>
          <w:bCs/>
          <w:b/>
        </w:rPr>
        <w:t xml:space="preserve">O crime organizado é hoje um dos maiores poderes não estatais do país: governa territórios, movimenta bilhões pelo sistema financeiro e busca influência na política local.</w:t>
      </w:r>
      <w:r>
        <w:t xml:space="preserve"> </w:t>
      </w:r>
      <w:r>
        <w:t xml:space="preserve">A sociologia da violência explica como chegamos aqui e por que a resposta só pela força falha.</w:t>
      </w:r>
    </w:p>
    <w:p>
      <w:pPr>
        <w:pStyle w:val="BodyText"/>
      </w:pPr>
      <w:r>
        <w:rPr>
          <w:bCs/>
          <w:b/>
        </w:rPr>
        <w:t xml:space="preserve">Origens.</w:t>
      </w:r>
      <w:r>
        <w:t xml:space="preserve"> </w:t>
      </w:r>
      <w:r>
        <w:t xml:space="preserve">O Comando Vermelho nasceu em 1979 no presídio da Ilha Grande, no Rio de Janeiro, do convívio entre presos comuns e presos políticos da ditadura. O Primeiro Comando da Capital (PCC) nasceu em 1993, em Taubaté, após o massacre do Carandiru (1992). As duas facções se nacionalizaram a partir das prisões, com o encarceramento em massa como motor: a população prisional chegou a 964.668 pessoas em 2025, com déficit de 281.213 vagas (Anuário Brasileiro de Segurança Pública 2026). A ruptura entre PCC e CV em 2016 levou à guerra entre facções nas prisões e nas periferias do Norte e do Nordeste e aos massacres prisionais de 2017.</w:t>
      </w:r>
    </w:p>
    <w:p>
      <w:pPr>
        <w:pStyle w:val="CaptionedFigure"/>
      </w:pPr>
      <w:r>
        <w:drawing>
          <wp:inline>
            <wp:extent cx="5334000" cy="2883243"/>
            <wp:effectExtent b="0" l="0" r="0" t="0"/>
            <wp:docPr descr="Figura 37. Fonte: Elaboração própria a partir de Manso e Dias (2018), Feltran (2018), Manso (2020) e Anuário Brasileiro de Segurança Pública 2026." title="" id="165" name="Picture"/>
            <a:graphic>
              <a:graphicData uri="http://schemas.openxmlformats.org/drawingml/2006/picture">
                <pic:pic>
                  <pic:nvPicPr>
                    <pic:cNvPr descr="/home/claude/man/figs/new/g_crime_timeline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3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Figura 37.</w:t>
      </w:r>
      <w:r>
        <w:t xml:space="preserve"> </w:t>
      </w:r>
      <w:r>
        <w:t xml:space="preserve">Fonte: Elaboração própria a partir de Manso e Dias (2018), Feltran (2018), Manso (2020) e Anuário Brasileiro de Segurança Pública 2026.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Perspectiva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Implicação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Sujeição criminal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Misse (2006)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sociedade constrói um tipo social</w:t>
            </w:r>
            <w:r>
              <w:t xml:space="preserve"> </w:t>
            </w:r>
            <w:r>
              <w:t xml:space="preserve">“</w:t>
            </w:r>
            <w:r>
              <w:t xml:space="preserve">bandido</w:t>
            </w:r>
            <w:r>
              <w:t xml:space="preserve">”</w:t>
            </w:r>
            <w:r>
              <w:t xml:space="preserve">, definido antes do crime, que legitima sua eliminação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</w:t>
            </w:r>
            <w:r>
              <w:t xml:space="preserve"> </w:t>
            </w:r>
            <w:r>
              <w:t xml:space="preserve">“</w:t>
            </w:r>
            <w:r>
              <w:t xml:space="preserve">bandido bom é bandido morto</w:t>
            </w:r>
            <w:r>
              <w:t xml:space="preserve">”</w:t>
            </w:r>
            <w:r>
              <w:t xml:space="preserve"> </w:t>
            </w:r>
            <w:r>
              <w:t xml:space="preserve">é uma construção social, não um dado; enfrentá-la exige mudar quem é visto como cidadão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Crime e periferia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Zaluar (1985; 1994)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Jovens pobres vivem a tensão entre as figuras do</w:t>
            </w:r>
            <w:r>
              <w:t xml:space="preserve"> </w:t>
            </w:r>
            <w:r>
              <w:t xml:space="preserve">“</w:t>
            </w:r>
            <w:r>
              <w:t xml:space="preserve">trabalhador</w:t>
            </w:r>
            <w:r>
              <w:t xml:space="preserve">”</w:t>
            </w:r>
            <w:r>
              <w:t xml:space="preserve"> </w:t>
            </w:r>
            <w:r>
              <w:t xml:space="preserve">e do</w:t>
            </w:r>
            <w:r>
              <w:t xml:space="preserve"> </w:t>
            </w:r>
            <w:r>
              <w:t xml:space="preserve">“</w:t>
            </w:r>
            <w:r>
              <w:t xml:space="preserve">bandido</w:t>
            </w:r>
            <w:r>
              <w:t xml:space="preserve">”</w:t>
            </w:r>
            <w:r>
              <w:t xml:space="preserve">; o tráfico oferece renda e status onde faltam alternativas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Prevenção é emprego, escola, cultura e esporte para jovens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Governo do crime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Feltran (2018)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PCC regula conflitos e impõe uma</w:t>
            </w:r>
            <w:r>
              <w:t xml:space="preserve"> </w:t>
            </w:r>
            <w:r>
              <w:t xml:space="preserve">“</w:t>
            </w:r>
            <w:r>
              <w:t xml:space="preserve">ordem</w:t>
            </w:r>
            <w:r>
              <w:t xml:space="preserve">”</w:t>
            </w:r>
            <w:r>
              <w:t xml:space="preserve"> </w:t>
            </w:r>
            <w:r>
              <w:t xml:space="preserve">nas periferias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queda de homicídios em São Paulo não é só mérito estatal; o Estado compete com outra autoridade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Milícias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Manso (2020)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Grupos de agentes do Estado exploram territórios e a política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milícias são crime e Estado ao mesmo tempo; o combate exige controle das polícias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Estado e crime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Tilly (1985)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Fazer a guerra e construir o Estado se parecem com o crime organizado: monopólio da violência em troca de proteção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o Estado não oferece proteção, outro</w:t>
            </w:r>
            <w:r>
              <w:t xml:space="preserve"> </w:t>
            </w:r>
            <w:r>
              <w:t xml:space="preserve">“</w:t>
            </w:r>
            <w:r>
              <w:t xml:space="preserve">Estado</w:t>
            </w:r>
            <w:r>
              <w:t xml:space="preserve">”</w:t>
            </w:r>
            <w:r>
              <w:t xml:space="preserve"> </w:t>
            </w:r>
            <w:r>
              <w:t xml:space="preserve">o faz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Punitivismo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Wacquant (1999)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encarceramento em massa gere a pobreza e alimenta o próprio crime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Prisão sem controle alimenta o recrutamento das facções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Processo civilizador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Elias (1939)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redução da violência depende do monopólio estatal da força e do autocontrole 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Polícia legítima e confiável é condição de segurança</w:t>
            </w:r>
          </w:p>
        </w:tc>
      </w:tr>
    </w:tbl>
    <w:p>
      <w:pPr>
        <w:pStyle w:val="BodyText"/>
      </w:pPr>
      <w:r>
        <w:rPr>
          <w:bCs/>
          <w:b/>
        </w:rPr>
        <w:t xml:space="preserve">A economia do crime.</w:t>
      </w:r>
      <w:r>
        <w:t xml:space="preserve"> </w:t>
      </w:r>
      <w:r>
        <w:t xml:space="preserve">O crime organizado deixou de ser apenas tráfico de varejo. Em agosto de 2025, a operação Carbono Oculto revelou a presença do PCC no setor de combustíveis e em fintechs ligadas ao centro financeiro de São Paulo. Sua nova fase, a Fluxo Oculto (maio de 2026), identificou seis fintechs usadas como</w:t>
      </w:r>
      <w:r>
        <w:t xml:space="preserve"> </w:t>
      </w:r>
      <w:r>
        <w:t xml:space="preserve">“</w:t>
      </w:r>
      <w:r>
        <w:t xml:space="preserve">bancos paralelos</w:t>
      </w:r>
      <w:r>
        <w:t xml:space="preserve">”</w:t>
      </w:r>
      <w:r>
        <w:t xml:space="preserve"> </w:t>
      </w:r>
      <w:r>
        <w:t xml:space="preserve">e movimentação de mais de R$ 26 bilhões entre 2022 e 2025. No Grande Rio, o Mapa dos Grupos Armados (Fogo Cruzado e GENI/UFF) mostra que a área urbana sob domínio armado passou de 8,8% em 2008 para 18,2% em 2023; o Comando Vermelho controlava 51,9% dessa área, e as milícias 38,9%.</w:t>
      </w:r>
    </w:p>
    <w:p>
      <w:pPr>
        <w:pStyle w:val="CaptionedFigure"/>
      </w:pPr>
      <w:r>
        <w:drawing>
          <wp:inline>
            <wp:extent cx="5334000" cy="2518833"/>
            <wp:effectExtent b="0" l="0" r="0" t="0"/>
            <wp:docPr descr="Figura 38. Fonte: Instituto Fogo Cruzado e GENI/UFF, Mapa dos Grupos Armados, via SBT News; variação da área urbana dominada entre 2008 e 2023." title="" id="168" name="Picture"/>
            <a:graphic>
              <a:graphicData uri="http://schemas.openxmlformats.org/drawingml/2006/picture">
                <pic:pic>
                  <pic:nvPicPr>
                    <pic:cNvPr descr="/home/claude/man/figs/new/g_rio_grupos.png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18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Figura 38.</w:t>
      </w:r>
      <w:r>
        <w:t xml:space="preserve"> </w:t>
      </w:r>
      <w:r>
        <w:t xml:space="preserve">Fonte: Instituto Fogo Cruzado e GENI/UFF, Mapa dos Grupos Armados, via SBT News; variação da área urbana dominada entre 2008 e 2023.</w:t>
      </w:r>
    </w:p>
    <w:p>
      <w:pPr>
        <w:pStyle w:val="CaptionedFigure"/>
      </w:pPr>
      <w:r>
        <w:drawing>
          <wp:inline>
            <wp:extent cx="5334000" cy="3171567"/>
            <wp:effectExtent b="0" l="0" r="0" t="0"/>
            <wp:docPr descr="Figura 39. Fonte: Elaboração própria a partir das operações Carbono Oculto (2025) e Fluxo Oculto (2026), MPSP e Receita Federal, e de Manso e Dias (2018)." title="" id="171" name="Picture"/>
            <a:graphic>
              <a:graphicData uri="http://schemas.openxmlformats.org/drawingml/2006/picture">
                <pic:pic>
                  <pic:nvPicPr>
                    <pic:cNvPr descr="/home/claude/man/figs/new/g_economia_crime.png" id="172" name="Picture"/>
                    <pic:cNvPicPr>
                      <a:picLocks noChangeArrowheads="1"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1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Figura 39.</w:t>
      </w:r>
      <w:r>
        <w:t xml:space="preserve"> </w:t>
      </w:r>
      <w:r>
        <w:t xml:space="preserve">Fonte: Elaboração própria a partir das operações Carbono Oculto (2025) e Fluxo Oculto (2026), MPSP e Receita Federal, e de Manso e Dias (2018).</w:t>
      </w:r>
    </w:p>
    <w:p>
      <w:pPr>
        <w:pStyle w:val="BodyText"/>
      </w:pPr>
      <w:r>
        <w:rPr>
          <w:bCs/>
          <w:b/>
        </w:rPr>
        <w:t xml:space="preserve">O crime que o eleitor sente.</w:t>
      </w:r>
      <w:r>
        <w:t xml:space="preserve"> </w:t>
      </w:r>
      <w:r>
        <w:t xml:space="preserve">Em 2025, o país registrou 40.775 mortes violentas intencionais (19,1 por 100 mil, a menor taxa desde 2012; essa métrica do FBSP inclui latrocínios e mortes por intervenção policial e difere da taxa de homicídios do SIM usada na Seção 2.6), 330.890 roubos e 483.561 furtos de celular e 2.261.055 estelionatos. A queda das mortes convive com a explosão dos crimes contra o patrimônio e dos golpes digitais, que atingem o trabalhador conectado todos os dias. Também em 2025, 6.602 pessoas morreram em intervenções policiais.</w:t>
      </w:r>
    </w:p>
    <w:p>
      <w:pPr>
        <w:pStyle w:val="BodyText"/>
      </w:pPr>
      <w:r>
        <w:rPr>
          <w:bCs/>
          <w:b/>
        </w:rPr>
        <w:t xml:space="preserve">Implicação.</w:t>
      </w:r>
      <w:r>
        <w:t xml:space="preserve"> </w:t>
      </w:r>
      <w:r>
        <w:t xml:space="preserve">A resposta ao crime organizado tem de atacar o dinheiro (lavagem, combustíveis, fintechs, fundos, contratos públicos), as prisões (onde as facções recrutam e comandam) e o território (onde o Estado precisa voltar como proteção, e não só como operação). A política de segurança está detalhada na Seção 10.1.</w:t>
      </w:r>
    </w:p>
    <w:p>
      <w:r>
        <w:br w:type="page"/>
      </w:r>
    </w:p>
    <w:bookmarkEnd w:id="173"/>
    <w:bookmarkStart w:id="177" w:name="X13cbe369ae163e26bd9878fd25253c4adecd91d"/>
    <w:p>
      <w:pPr>
        <w:pStyle w:val="Heading2"/>
      </w:pPr>
      <w:r>
        <w:t xml:space="preserve">5.8 Como derrotar a extrema direita no Brasil</w:t>
      </w:r>
    </w:p>
    <w:p>
      <w:pPr>
        <w:pStyle w:val="FirstParagraph"/>
      </w:pPr>
      <w:r>
        <w:rPr>
          <w:bCs/>
          <w:b/>
        </w:rPr>
        <w:t xml:space="preserve">A extrema direita é derrotada quando perde as cinco correntes que a sustentam, e não apenas uma eleição.</w:t>
      </w:r>
      <w:r>
        <w:t xml:space="preserve"> </w:t>
      </w:r>
      <w:r>
        <w:t xml:space="preserve">A experiência internacional e brasileira indica que nenhuma vitória isolada (judicial, eleitoral ou comunicacional) basta.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aconteceu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Brasil, 2022 e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Frente ampla, mobilização e defesa institucional venceram por margens de 1,8 e 3,6 pontos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Vencer eleições é possível; desmontar a base social do extremismo é outra tarefa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Hungria,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 partido novo de centro-direita derrotou Orbán após 16 anos, com agenda de corrupção e custo de vida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alternância pode vir de dentro da direita; a esquerda deve favorecer a separação entre direita democrática e extremista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Polônia,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Coalizão ampla derrotou o PiS com comparecimento recorde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Comparecimento e unidade da oposição decidem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EUA, 2020–2024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Vitória de Biden sem reforma das condições sociais e informacionais; retorno de Trump em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Derrotar o líder sem mudar as condições que o produziram abre espaço para a volta</w:t>
            </w:r>
          </w:p>
        </w:tc>
      </w:tr>
    </w:tbl>
    <w:p>
      <w:pPr>
        <w:pStyle w:val="CaptionedFigure"/>
      </w:pPr>
      <w:r>
        <w:drawing>
          <wp:inline>
            <wp:extent cx="5334000" cy="3748216"/>
            <wp:effectExtent b="0" l="0" r="0" t="0"/>
            <wp:docPr descr="Figura 40. Fonte: Elaboração própria a partir das Seções 5.1 a 5.7 e das Partes 9 e 10." title="" id="175" name="Picture"/>
            <a:graphic>
              <a:graphicData uri="http://schemas.openxmlformats.org/drawingml/2006/picture">
                <pic:pic>
                  <pic:nvPicPr>
                    <pic:cNvPr descr="/home/claude/man/figs/new/g_derrotar.png" id="176" name="Picture"/>
                    <pic:cNvPicPr>
                      <a:picLocks noChangeArrowheads="1"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8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Figura 40.</w:t>
      </w:r>
      <w:r>
        <w:t xml:space="preserve"> </w:t>
      </w:r>
      <w:r>
        <w:t xml:space="preserve">Fonte: Elaboração própria a partir das Seções 5.1 a 5.7 e das Partes 9 e 10.</w:t>
      </w:r>
    </w:p>
    <w:p>
      <w:pPr>
        <w:pStyle w:val="BodyText"/>
      </w:pPr>
      <w:r>
        <w:rPr>
          <w:bCs/>
          <w:b/>
        </w:rPr>
        <w:t xml:space="preserve">Dez teses para derrotar a extrema direita.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Separar as correntes.</w:t>
      </w:r>
      <w:r>
        <w:t xml:space="preserve"> </w:t>
      </w:r>
      <w:r>
        <w:t xml:space="preserve">Disputar o eleitor religioso, o policial, o empresário e o jovem antissistema com ofertas diferentes, em vez de tratá-los como um bloco.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Isolar os extremistas, não os eleitores.</w:t>
      </w:r>
      <w:r>
        <w:t xml:space="preserve"> </w:t>
      </w:r>
      <w:r>
        <w:t xml:space="preserve">Separar quem ataca a democracia de quem vota na direita; manter um cordão sanitário em torno dos primeiros e uma porta aberta para os segundos.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Ocupar a pauta de segurança.</w:t>
      </w:r>
      <w:r>
        <w:t xml:space="preserve"> </w:t>
      </w:r>
      <w:r>
        <w:t xml:space="preserve">O medo do crime é um dos temas mais eficazes da extrema direita; a esquerda precisa de resultados próprios contra o crime organizado.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Ter agenda de integridade própria.</w:t>
      </w:r>
      <w:r>
        <w:t xml:space="preserve"> </w:t>
      </w:r>
      <w:r>
        <w:t xml:space="preserve">Quem rouba aposentado é punido pelo governo antes de ser denunciado pela oposição.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Entregar e assinar.</w:t>
      </w:r>
      <w:r>
        <w:t xml:space="preserve"> </w:t>
      </w:r>
      <w:r>
        <w:t xml:space="preserve">Cada política pública com marca reconhecível e mensageiro local.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Reocupar a sociedade civil.</w:t>
      </w:r>
      <w:r>
        <w:t xml:space="preserve"> </w:t>
      </w:r>
      <w:r>
        <w:t xml:space="preserve">Comitês com serviços, igrejas progressistas, associações de trabalhadores de aplicativo, cultura periférica.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Mudar o ambiente informacional.</w:t>
      </w:r>
      <w:r>
        <w:t xml:space="preserve"> </w:t>
      </w:r>
      <w:r>
        <w:t xml:space="preserve">Regulação das plataformas,</w:t>
      </w:r>
      <w:r>
        <w:t xml:space="preserve"> </w:t>
      </w:r>
      <w:r>
        <w:rPr>
          <w:iCs/>
          <w:i/>
        </w:rPr>
        <w:t xml:space="preserve">pre-bunking</w:t>
      </w:r>
      <w:r>
        <w:t xml:space="preserve">, criadores locais e mídia própria.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Responsabilizar sem perseguir.</w:t>
      </w:r>
      <w:r>
        <w:t xml:space="preserve"> </w:t>
      </w:r>
      <w:r>
        <w:t xml:space="preserve">Aplicar a lei a quem atentou contra a democracia, com garantias e transparência.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Dividir as elites.</w:t>
      </w:r>
      <w:r>
        <w:t xml:space="preserve"> </w:t>
      </w:r>
      <w:r>
        <w:t xml:space="preserve">Oferecer previsibilidade ao mercado e acesso a mercados ao agro, para afastá-los da extrema direita.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Renovar a própria esquerda.</w:t>
      </w:r>
      <w:r>
        <w:t xml:space="preserve"> </w:t>
      </w:r>
      <w:r>
        <w:t xml:space="preserve">Sucessão, rotatividade de direções, federação ampla e lideranças novas, porque a extrema direita se alimenta da imagem de uma esquerda envelhecida e fechada.</w:t>
      </w:r>
    </w:p>
    <w:p>
      <w:r>
        <w:br w:type="page"/>
      </w:r>
    </w:p>
    <w:bookmarkEnd w:id="177"/>
    <w:bookmarkEnd w:id="178"/>
    <w:bookmarkStart w:id="196" w:name="parte-6-poder-redes-e-cenários"/>
    <w:p>
      <w:pPr>
        <w:pStyle w:val="Heading1"/>
      </w:pPr>
      <w:r>
        <w:t xml:space="preserve">Parte 6 · Poder, redes e cenários</w:t>
      </w:r>
    </w:p>
    <w:p>
      <w:r>
        <w:br w:type="page"/>
      </w:r>
    </w:p>
    <w:bookmarkStart w:id="182" w:name="atores-e-recursos-de-poder"/>
    <w:p>
      <w:pPr>
        <w:pStyle w:val="Heading2"/>
      </w:pPr>
      <w:r>
        <w:t xml:space="preserve">6.1 Atores e recursos de poder</w:t>
      </w:r>
    </w:p>
    <w:p>
      <w:pPr>
        <w:pStyle w:val="FirstParagraph"/>
      </w:pPr>
      <w:r>
        <w:t xml:space="preserve">O método DeepSIC organiza o sistema político como um conjunto de atores com recursos de poder, relações de influência e vínculos de cooperação e conflito. O sistema nacional é representado por 16 atores. Para cada um, 100% dos recursos são distribuídos entre sete tipos (político, financeiro, comunicação, mobilização, informação, tecnológico, conhecimento) e multiplicados por um porte relativo de 1 a 10. Os valores são normalizados por tipo de recurso (Nij = Rij / ΣRj) e ponderados por pesos adequados a um sistema eleitoral: político 0,25; comunicação 0,18; financeiro 0,15; mobilização 0,14; informação 0,10; tecnológico 0,10; conhecimento 0,08.</w:t>
      </w:r>
    </w:p>
    <w:p>
      <w:pPr>
        <w:pStyle w:val="CaptionedFigure"/>
      </w:pPr>
      <w:r>
        <w:drawing>
          <wp:inline>
            <wp:extent cx="5334000" cy="3078442"/>
            <wp:effectExtent b="0" l="0" r="0" t="0"/>
            <wp:docPr descr="Figura 41. Fonte: Modelo DeepSIC aplicado ao sistema político nacional; linha de base de outubro de 2026, antes do 2º turno." title="" id="180" name="Picture"/>
            <a:graphic>
              <a:graphicData uri="http://schemas.openxmlformats.org/drawingml/2006/picture">
                <pic:pic>
                  <pic:nvPicPr>
                    <pic:cNvPr descr="/home/claude/man/figs/fig30_p042.png" id="181" name="Picture"/>
                    <pic:cNvPicPr>
                      <a:picLocks noChangeArrowheads="1"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8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Figura 41.</w:t>
      </w:r>
      <w:r>
        <w:t xml:space="preserve"> </w:t>
      </w:r>
      <w:r>
        <w:t xml:space="preserve">Fonte: Modelo DeepSIC aplicado ao sistema político nacional; linha de base de outubro de 2026, antes do 2º turno.</w:t>
      </w:r>
    </w:p>
    <w:p>
      <w:pPr>
        <w:pStyle w:val="BodyText"/>
      </w:pPr>
      <w:r>
        <w:t xml:space="preserve">A controvérsia estruturante do sistema, no sentido da Teoria Ator-Rede, opõe um</w:t>
      </w:r>
      <w:r>
        <w:t xml:space="preserve"> </w:t>
      </w:r>
      <w:r>
        <w:rPr>
          <w:bCs/>
          <w:b/>
        </w:rPr>
        <w:t xml:space="preserve">Brasil redistributivo e democrático</w:t>
      </w:r>
      <w:r>
        <w:t xml:space="preserve"> </w:t>
      </w:r>
      <w:r>
        <w:t xml:space="preserve">a um</w:t>
      </w:r>
      <w:r>
        <w:t xml:space="preserve"> </w:t>
      </w:r>
      <w:r>
        <w:rPr>
          <w:bCs/>
          <w:b/>
        </w:rPr>
        <w:t xml:space="preserve">Brasil da ordem moral e do mercado</w:t>
      </w:r>
      <w:r>
        <w:t xml:space="preserve">. Na linha de base, a rede conservadora concentra 44,3% do poder ponderado e a maior parte dos recursos de comunicação (57%), tecnologia (66%) e finanças (49%). A rede progressista reúne 21,8% e só lidera em conhecimento (35%) e mobilização (32%). Os atores em disputa (centrão, STF e TSE, mercado financeiro, mídia tradicional e eleitorado independente) somam 33,9%.</w:t>
      </w:r>
    </w:p>
    <w:p>
      <w:pPr>
        <w:pStyle w:val="BodyText"/>
      </w:pPr>
      <w:r>
        <w:t xml:space="preserve">O resultado de 25 de outubro desloca essa correlação em cinco pontos: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Mudança após o 2º turno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Efeito na rede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Governo Lula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Renova o mandato até 2030 e o controle do orçamento, dos cargos e da agenda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Mantém a posição estratégica e ganha tempo, mas perde o horizonte de reeleição do líder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Bolsonarismo e 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Perde a Presidência, mas ganha 121 deputados, 28 a 29 senadores e seis governadores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Mais recursos políticos próprios no Legislativo e nos estados; liderança dividida entre a família e os governadores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PSD declarou neutralidade; Caiado e Ratinho Jr. apoiaram Flávio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de troca maior: governo e oposição dependem dele no Congresso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Governadores de direita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dos 27 governadores apoiaram Flávio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Passam a disputar a liderança da oposição para 2030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EUA (governo Trump)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Silêncio sobre a eleição; tarifas da Seção 301 em vigor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Influência externa alta e hostil, moderada pelas eleições de meio de mandato</w:t>
            </w:r>
          </w:p>
        </w:tc>
      </w:tr>
    </w:tbl>
    <w:p>
      <w:r>
        <w:br w:type="page"/>
      </w:r>
    </w:p>
    <w:bookmarkEnd w:id="182"/>
    <w:bookmarkStart w:id="189" w:name="sociometria-da-rede-política"/>
    <w:p>
      <w:pPr>
        <w:pStyle w:val="Heading2"/>
      </w:pPr>
      <w:r>
        <w:t xml:space="preserve">6.2 Sociometria da rede política</w:t>
      </w:r>
    </w:p>
    <w:p>
      <w:pPr>
        <w:pStyle w:val="CaptionedFigure"/>
      </w:pPr>
      <w:r>
        <w:drawing>
          <wp:inline>
            <wp:extent cx="5334000" cy="4305801"/>
            <wp:effectExtent b="0" l="0" r="0" t="0"/>
            <wp:docPr descr="Figura 42. Fonte: Matriz de influência 0–4 entre 16 atores; média de influência e dependência = 22,9." title="" id="184" name="Picture"/>
            <a:graphic>
              <a:graphicData uri="http://schemas.openxmlformats.org/drawingml/2006/picture">
                <pic:pic>
                  <pic:nvPicPr>
                    <pic:cNvPr descr="/home/claude/man/figs/fig31_p043.png" id="185" name="Picture"/>
                    <pic:cNvPicPr>
                      <a:picLocks noChangeArrowheads="1"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058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Figura 42.</w:t>
      </w:r>
      <w:r>
        <w:t xml:space="preserve"> </w:t>
      </w:r>
      <w:r>
        <w:t xml:space="preserve">Fonte: Matriz de influência 0–4 entre 16 atores; média de influência e dependência = 22,9.</w:t>
      </w:r>
    </w:p>
    <w:p>
      <w:pPr>
        <w:pStyle w:val="BodyText"/>
      </w:pPr>
      <w:r>
        <w:t xml:space="preserve">O plano de influência e dependência classifica os atores em quatro posições. O governo é</w:t>
      </w:r>
      <w:r>
        <w:t xml:space="preserve"> </w:t>
      </w:r>
      <w:r>
        <w:rPr>
          <w:bCs/>
          <w:b/>
        </w:rPr>
        <w:t xml:space="preserve">estratégico</w:t>
      </w:r>
      <w:r>
        <w:t xml:space="preserve">: o mais influente e o mais dependente. O PT é</w:t>
      </w:r>
      <w:r>
        <w:t xml:space="preserve"> </w:t>
      </w:r>
      <w:r>
        <w:rPr>
          <w:bCs/>
          <w:b/>
        </w:rPr>
        <w:t xml:space="preserve">dependente</w:t>
      </w:r>
      <w:r>
        <w:t xml:space="preserve">: recebe muita influência e exerce pouca por recursos próprios. Movimentos e esquerda aliada são</w:t>
      </w:r>
      <w:r>
        <w:t xml:space="preserve"> </w:t>
      </w:r>
      <w:r>
        <w:rPr>
          <w:bCs/>
          <w:b/>
        </w:rPr>
        <w:t xml:space="preserve">marginais</w:t>
      </w:r>
      <w:r>
        <w:t xml:space="preserve">. Igrejas, agronegócio, big techs, mercado e governo dos EUA são</w:t>
      </w:r>
      <w:r>
        <w:t xml:space="preserve"> </w:t>
      </w:r>
      <w:r>
        <w:rPr>
          <w:bCs/>
          <w:b/>
        </w:rPr>
        <w:t xml:space="preserve">dominantes</w:t>
      </w:r>
      <w:r>
        <w:t xml:space="preserve">: influenciam muito e dependem pouco. O eleitor independente é estratégico e o mais disputado.</w:t>
      </w:r>
    </w:p>
    <w:p>
      <w:pPr>
        <w:pStyle w:val="BodyText"/>
      </w:pPr>
      <w:r>
        <w:t xml:space="preserve">A matriz de cooperação e conflito (−2 a +2) funciona como um teste sociométrico de Moreno: cooperação equivale a escolha, conflito a rejeição. As medidas de rede são calculadas sobre os vínculos de cooperação, e as comunidades, pelo algoritmo de modularidade de Clauset, Newman e Moore (2004).</w:t>
      </w:r>
    </w:p>
    <w:p>
      <w:pPr>
        <w:pStyle w:val="CaptionedFigure"/>
      </w:pPr>
      <w:r>
        <w:drawing>
          <wp:inline>
            <wp:extent cx="5334000" cy="4459878"/>
            <wp:effectExtent b="0" l="0" r="0" t="0"/>
            <wp:docPr descr="Figura 43. Fonte: Modelo DeepSIC; densidade de cooperação 0,35; densidade de conflito 0,36; modularidade 0,38." title="" id="187" name="Picture"/>
            <a:graphic>
              <a:graphicData uri="http://schemas.openxmlformats.org/drawingml/2006/picture">
                <pic:pic>
                  <pic:nvPicPr>
                    <pic:cNvPr descr="/home/claude/man/figs/fig32_p044.png" id="188" name="Picture"/>
                    <pic:cNvPicPr>
                      <a:picLocks noChangeArrowheads="1"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59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Figura 43.</w:t>
      </w:r>
      <w:r>
        <w:t xml:space="preserve"> </w:t>
      </w:r>
      <w:r>
        <w:t xml:space="preserve">Fonte: Modelo DeepSIC; densidade de cooperação 0,35; densidade de conflito 0,36; modularidade 0,38.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Escolhas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Rejeições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Intermediação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Papel na rede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Ponte principal entre governo, direita e mercado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Governo Lula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Ponte; a esquerda só alcança o resto do sistema por ele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Eleitorado independente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Território disputado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Igrejas evangélicas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Estrela da comunidade da direita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Governadores de direita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Intermediários entre centrão, agro e bolsonarismo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Movimentos e sindicatos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Única ponte da esquerda até o eleitor; ator mais rejeitado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Mídia tradicional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Intermediária entre mercado, STF e governadores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Ecossistema digital de direita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Estrela; leva a mensagem da direita ao eleitor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Bolsonarismo e 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Estrela de força (vínculos fortes)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Encapsulado; nenhuma intermediação</w:t>
            </w:r>
          </w:p>
        </w:tc>
      </w:tr>
    </w:tbl>
    <w:p>
      <w:pPr>
        <w:pStyle w:val="BodyText"/>
      </w:pPr>
      <w:r>
        <w:t xml:space="preserve">Quatro achados orientam a estratégia: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O PT está encapsulado.</w:t>
      </w:r>
      <w:r>
        <w:t xml:space="preserve"> </w:t>
      </w:r>
      <w:r>
        <w:t xml:space="preserve">Com intermediação zero, todos os seus caminhos para o resto do sistema passam pelo governo. Num mandato sem reeleição possível do líder, essa dependência é o maior risco para 2030.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 esquerda chega ao eleitor independente por um único fio</w:t>
      </w:r>
      <w:r>
        <w:t xml:space="preserve">, os movimentos, que são também o ator mais rejeitado. A direita chega ao mesmo eleitor por dois canais densos e interligados: igrejas e ecossistema digital. No 2º turno, a campanha compensou parcialmente esse déficit com mobilização de rua e agenda nas metrópoles.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O centrão vende a ponte.</w:t>
      </w:r>
      <w:r>
        <w:t xml:space="preserve"> </w:t>
      </w:r>
      <w:r>
        <w:t xml:space="preserve">É o ator de maior intermediação e cobra pelo acesso. Em 2026, o PSD anunciou neutralidade no 2º turno, comportamento típico de ponte que preserva seu valor de troca para a formação do governo.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 rede nacional é mais polarizada que a média</w:t>
      </w:r>
      <w:r>
        <w:t xml:space="preserve">: tantos vínculos de conflito quanto de cooperação.</w:t>
      </w:r>
    </w:p>
    <w:p>
      <w:r>
        <w:br w:type="page"/>
      </w:r>
    </w:p>
    <w:bookmarkEnd w:id="189"/>
    <w:bookmarkStart w:id="190" w:name="jogos-de-atores"/>
    <w:p>
      <w:pPr>
        <w:pStyle w:val="Heading2"/>
      </w:pPr>
      <w:r>
        <w:t xml:space="preserve">6.3 Jogos de atores</w:t>
      </w:r>
    </w:p>
    <w:p>
      <w:pPr>
        <w:pStyle w:val="FirstParagraph"/>
      </w:pPr>
      <w:r>
        <w:rPr>
          <w:bCs/>
          <w:b/>
        </w:rPr>
        <w:t xml:space="preserve">Jogo 1: governo × centrão.</w:t>
      </w:r>
      <w:r>
        <w:t xml:space="preserve"> </w:t>
      </w:r>
      <w:r>
        <w:t xml:space="preserve">Ganhos ordinais (governo; centrão), de 0 a 4: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Governo  Centrão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 (vota a agenda)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Chantageia (cobra emendas e cargos)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Coopera (negocia e cede)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3;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1; 4 (equilíbrio atual)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Confronta (expõe e mobiliza)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4;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0; 2</w:t>
            </w:r>
          </w:p>
        </w:tc>
      </w:tr>
    </w:tbl>
    <w:p>
      <w:pPr>
        <w:pStyle w:val="BodyText"/>
      </w:pPr>
      <w:r>
        <w:t xml:space="preserve">Chantagear é a estratégia dominante do centrão, e, diante dela, confrontar paralisa o governo: o equilíbrio de Nash é (cede; chantageia), a</w:t>
      </w:r>
      <w:r>
        <w:t xml:space="preserve"> </w:t>
      </w:r>
      <w:r>
        <w:t xml:space="preserve">“</w:t>
      </w:r>
      <w:r>
        <w:t xml:space="preserve">governabilidade cara</w:t>
      </w:r>
      <w:r>
        <w:t xml:space="preserve">”</w:t>
      </w:r>
      <w:r>
        <w:t xml:space="preserve">. Em 2027 o jogo fica mais caro, porque o PL é uma alternativa real de aliança para o centrão no Congresso. O mecanismo que altera o jogo é tornar a chantagem visível e custosa. Com rastreabilidade das emendas, metas públicas por município e mobilização que nomeia votos, o ganho da chantagem cai, e cooperar passa a ser a melhor resposta do centrão.</w:t>
      </w:r>
    </w:p>
    <w:p>
      <w:pPr>
        <w:pStyle w:val="BodyText"/>
      </w:pPr>
      <w:r>
        <w:rPr>
          <w:bCs/>
          <w:b/>
        </w:rPr>
        <w:t xml:space="preserve">Jogo 2: PT × esquerda aliada.</w:t>
      </w:r>
      <w:r>
        <w:t xml:space="preserve"> </w:t>
      </w:r>
      <w:r>
        <w:t xml:space="preserve">Nas eleições majoritárias, cada partido ganha visibilidade com candidatura própria, mas todos perdem se a divisão favorece a direita. É um dilema do prisioneiro. As federações (PT-PCdoB-PV; PSOL-Rede) resolvem parcialmente o dilema ao vincular os partidos por quatro anos. O fato de PSOL-Rede e PDT terem ficado abaixo da cláusula em 2026, quando ela sobe para 3% em 2030, transforma o jogo: sem uma federação ampla do campo, parte da esquerda deixa de existir institucionalmente.</w:t>
      </w:r>
    </w:p>
    <w:p>
      <w:pPr>
        <w:pStyle w:val="BodyText"/>
      </w:pPr>
      <w:r>
        <w:rPr>
          <w:bCs/>
          <w:b/>
        </w:rPr>
        <w:t xml:space="preserve">Jogo 3: esquerda × eleitor evangélico.</w:t>
      </w:r>
      <w:r>
        <w:t xml:space="preserve"> </w:t>
      </w:r>
      <w:r>
        <w:t xml:space="preserve">Ignorar ou atacar o eleitor evangélico dá à direita um ganho duplo: reforça a identidade do grupo e confirma o enquadramento de perseguição. A estratégia dominante para a esquerda é o diálogo em pautas comuns, com o objetivo de reduzir a desvantagem, e não de vencer no segmento. Com 73% a 27% contra Lula em 2026, cada 5 pontos recuperados entre evangélicos valem cerca de 1,4 ponto no total.</w:t>
      </w:r>
    </w:p>
    <w:p>
      <w:pPr>
        <w:pStyle w:val="BodyText"/>
      </w:pPr>
      <w:r>
        <w:rPr>
          <w:bCs/>
          <w:b/>
        </w:rPr>
        <w:t xml:space="preserve">Jogo 4: governo federal × governadores de oposição.</w:t>
      </w:r>
      <w:r>
        <w:t xml:space="preserve"> </w:t>
      </w:r>
      <w:r>
        <w:t xml:space="preserve">Em segurança pública, cada lado ganha no curto prazo ao culpar o outro pelo crime, mas ambos perdem se o crime organizado cresce. É um jogo de coordenação com tentação de defecção. O governo federal altera os ganhos ao condicionar recursos do SUSP e do PAC a metas pactuadas e públicas: cooperar passa a render entregas que o governador também exibe, e defeccionar passa a ter custo visível.</w:t>
      </w:r>
    </w:p>
    <w:p>
      <w:pPr>
        <w:pStyle w:val="BodyText"/>
      </w:pPr>
      <w:r>
        <w:rPr>
          <w:bCs/>
          <w:b/>
        </w:rPr>
        <w:t xml:space="preserve">Jogo 5: a eleição das Mesas.</w:t>
      </w:r>
      <w:r>
        <w:t xml:space="preserve"> </w:t>
      </w:r>
      <w:r>
        <w:t xml:space="preserve">Em fevereiro de 2027, o PL disputará as presidências com Sóstenes Cavalcante, na Câmara, e Rogério Marinho, no Senado, contra Hugo Motta e Davi Alcolumbre, que buscam a reeleição. Para o governo, o pior resultado é um presidente do PL no Senado, que controla a pauta de impeachment de ministros do STF e as sabatinas. A estratégia dominante é apoiar, sem protagonismo, o candidato de centro com maior viabilidade em cada Casa, em troca de um calendário legislativo pactuado.</w:t>
      </w:r>
    </w:p>
    <w:p>
      <w:r>
        <w:br w:type="page"/>
      </w:r>
    </w:p>
    <w:bookmarkEnd w:id="190"/>
    <w:bookmarkStart w:id="194" w:name="cenários-20272030"/>
    <w:p>
      <w:pPr>
        <w:pStyle w:val="Heading2"/>
      </w:pPr>
      <w:r>
        <w:t xml:space="preserve">6.4 Cenários 2027–2030</w:t>
      </w:r>
    </w:p>
    <w:p>
      <w:pPr>
        <w:pStyle w:val="CaptionedFigure"/>
      </w:pPr>
      <w:r>
        <w:drawing>
          <wp:inline>
            <wp:extent cx="5334000" cy="3704166"/>
            <wp:effectExtent b="0" l="0" r="0" t="0"/>
            <wp:docPr descr="Figura 44. Fonte: Duas incertezas críticas: ambiente externo e fiscal e capacidade de organização da coalizão e da base social." title="" id="192" name="Picture"/>
            <a:graphic>
              <a:graphicData uri="http://schemas.openxmlformats.org/drawingml/2006/picture">
                <pic:pic>
                  <pic:nvPicPr>
                    <pic:cNvPr descr="/home/claude/man/figs/new/g_cenarios.png" id="193" name="Picture"/>
                    <pic:cNvPicPr>
                      <a:picLocks noChangeArrowheads="1"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4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Figura 44.</w:t>
      </w:r>
      <w:r>
        <w:t xml:space="preserve"> </w:t>
      </w:r>
      <w:r>
        <w:t xml:space="preserve">Fonte: Duas incertezas críticas: ambiente externo e fiscal e capacidade de organização da coalizão e da base social.</w:t>
      </w:r>
    </w:p>
    <w:p>
      <w:pPr>
        <w:pStyle w:val="BodyText"/>
      </w:pPr>
      <w:r>
        <w:t xml:space="preserve">Uma variável já está dada: o Congresso de 2027 terá maioria de direita e centro-direita, e Lula não poderá disputar 2030. As duas incertezas críticas são o ambiente externo (guerra no Golfo, petróleo, juros dos EUA, tarifas) e a capacidade de organização do campo (coalizão estável, comitês, redes e sucessão). O teste de robustez (</w:t>
      </w:r>
      <w:r>
        <w:t xml:space="preserve">“</w:t>
      </w:r>
      <w:r>
        <w:t xml:space="preserve">túnel de vento</w:t>
      </w:r>
      <w:r>
        <w:t xml:space="preserve">”</w:t>
      </w:r>
      <w:r>
        <w:t xml:space="preserve">) separa dois tipos de estratégia. São</w:t>
      </w:r>
      <w:r>
        <w:t xml:space="preserve"> </w:t>
      </w:r>
      <w:r>
        <w:rPr>
          <w:bCs/>
          <w:b/>
        </w:rPr>
        <w:t xml:space="preserve">sem arrependimento</w:t>
      </w:r>
      <w:r>
        <w:t xml:space="preserve"> </w:t>
      </w:r>
      <w:r>
        <w:t xml:space="preserve">(funcionam nos quatro cenários): observatório de redes e de opinião, comitês territoriais permanentes, rede de criadores locais, formação de organizadores e de novas lideranças, diálogo religioso, agenda de integridade e federação ampla do campo. São</w:t>
      </w:r>
      <w:r>
        <w:t xml:space="preserve"> </w:t>
      </w:r>
      <w:r>
        <w:rPr>
          <w:bCs/>
          <w:b/>
        </w:rPr>
        <w:t xml:space="preserve">dependentes de cenário</w:t>
      </w:r>
      <w:r>
        <w:t xml:space="preserve">: a expansão de programas com custo fiscal (só cabe no ambiente favorável), o confronto aberto com o Congresso (rende pouco em qualquer cenário e menos ainda sob choque) e a antecipação da escolha do sucessor (útil no ambiente favorável, arriscada sob choque, quando desgasta o escolhido).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Sinal de alerta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Limiar que muda o cenário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Choque de energia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Brent e preço do diesel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Brent acima de US$ 120 por mais de um trimestre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Inflação de alimentos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IPCA de alimentação no domicílio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Acima de 8% em 12 meses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Selic e juro de 10 anos dos EUA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Selic subindo em 2027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Coalizão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Taxa de vitória do governo em votações nominais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Abaixo de 70% por dois trimestres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Aprovação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Avaliação ótimo e bom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Abaixo de 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Institucional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Pedidos de impeachment de ministros do STF pautados no Senado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Qualquer um pautado</w:t>
            </w:r>
          </w:p>
        </w:tc>
      </w:tr>
    </w:tbl>
    <w:p>
      <w:r>
        <w:br w:type="page"/>
      </w:r>
    </w:p>
    <w:bookmarkEnd w:id="194"/>
    <w:bookmarkStart w:id="195" w:name="caso-de-aplicação-o-distrito-federal"/>
    <w:p>
      <w:pPr>
        <w:pStyle w:val="Heading2"/>
      </w:pPr>
      <w:r>
        <w:t xml:space="preserve">6.5 Caso de aplicação: o Distrito Federal</w:t>
      </w:r>
    </w:p>
    <w:p>
      <w:pPr>
        <w:pStyle w:val="FirstParagraph"/>
      </w:pPr>
      <w:r>
        <w:t xml:space="preserve">O DF reproduz em escala reduzida a correlação nacional. Aplicado ao DF, o mesmo método estima 41,0% do poder ponderado na rede hegemônica, 24,8% na contra-hegemônica e 34,2% em disputa, valores muito próximos dos nacionais (44,3%, 21,8% e 33,9%).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DF,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Celina Leão (PP) reeleita no 2º turno com 57,2%, contra Leandro Grass (PT), 42,8%; no 1º turno, 49,93% a 34,48%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Presidência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1º turno: Flávio 51,31% e Lula 38,11%. 2º turno: Flávio 54,28% e Lula 45,72%; Lula cresceu 7,6 pontos entre os turnos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duas vagas para o PL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Câmara Legislativa (24)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 5, MDB 3, PP 3, PT 3, Republicanos 3, PSB 2, PSOL 2, PSD 1, União 1, Podemos 1; oposição sobe de 6 para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Destaques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Maciel (PSOL), distrital mais votado; Fábio Felix (PSOL), federal mais votado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Desigualdade territorial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Esperança de vida de 69,5 anos no Varjão e de 80,3 no Sudoeste/Octogonal</w:t>
            </w:r>
          </w:p>
        </w:tc>
      </w:tr>
    </w:tbl>
    <w:p>
      <w:pPr>
        <w:pStyle w:val="BodyText"/>
      </w:pPr>
      <w:r>
        <w:t xml:space="preserve">A diferença de 10,8 anos na esperança de vida entre regiões administrativas é ao mesmo tempo um achado técnico e uma plataforma política concreta, territorial e de classe. A crise do BRB após a liquidação do Banco Master e a nova regra do Fundo Constitucional enfraquecem fiscalmente o Executivo local e abrem espaço de disputa. Para 2027–2030, o DF é laboratório de três frentes do plano: oposição propositiva a um governo reeleito, comitês nas regiões administrativas de menor renda e uma candidatura de unidade do campo para 2030 construída a partir dos mandatos do PSOL e do PT na Câmara Legislativa.</w:t>
      </w:r>
    </w:p>
    <w:p>
      <w:r>
        <w:br w:type="page"/>
      </w:r>
    </w:p>
    <w:bookmarkEnd w:id="195"/>
    <w:bookmarkEnd w:id="196"/>
    <w:bookmarkStart w:id="212" w:name="X63855517f35d7887406147f8b8899e295b10b91"/>
    <w:p>
      <w:pPr>
        <w:pStyle w:val="Heading1"/>
      </w:pPr>
      <w:r>
        <w:t xml:space="preserve">Parte 7 · Análise de conjuntura e foresight</w:t>
      </w:r>
    </w:p>
    <w:p>
      <w:r>
        <w:br w:type="page"/>
      </w:r>
    </w:p>
    <w:bookmarkStart w:id="197" w:name="método-de-análise-de-conjuntura"/>
    <w:p>
      <w:pPr>
        <w:pStyle w:val="Heading2"/>
      </w:pPr>
      <w:r>
        <w:t xml:space="preserve">7.1 Método de análise de conjuntura</w:t>
      </w:r>
    </w:p>
    <w:p>
      <w:pPr>
        <w:pStyle w:val="FirstParagraph"/>
      </w:pPr>
      <w:r>
        <w:rPr>
          <w:bCs/>
          <w:b/>
        </w:rPr>
        <w:t xml:space="preserve">Análise de conjuntura é a leitura da relação de forças num momento dado, para orientar a ação.</w:t>
      </w:r>
      <w:r>
        <w:t xml:space="preserve"> </w:t>
      </w:r>
      <w:r>
        <w:t xml:space="preserve">O método clássico de Herbert de Souza (1984) organiza a leitura em cinco categorias, que este manual aplica à conjuntura aberta pelo 2º turno de 2026.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Conjuntura de outubro de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Acontecimentos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Quais fatos mudaram o jogo?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Virada inédita de Lula; contestação de Flávio; Congresso mais à direita; guerra com o Irã e petróleo perto de US$ 116; fim da escala 6x1 promulgado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Cenários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o jogo acontece?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Congresso (Mesas em fevereiro), governos estaduais (16 governadores pró-Flávio), TSE e STF (contestação), ruas e redes, arena internacional (EUA, China, 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Quem joga, com que interesses?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Governo e esquerda; centrão; bolsonarismo e PL; governadores de direita; igrejas; agro; mercado; big techs; governo Trump; crime organizado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Relação de forças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Quem tem mais recursos para impor sua vontade?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Governo com mandato e orçamento; oposição com maioria no Congresso e nos estados; centrão com o poder de decidir maiorias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Articulação entre estrutura e conjuntura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a conjuntura se liga às tendências de longo prazo?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Semiperiferia exposta a choques; base social transformada; instituições que favorecem o Congresso; déficit organizativo da esquerda (Parte 8)</w:t>
            </w:r>
          </w:p>
        </w:tc>
      </w:tr>
    </w:tbl>
    <w:p>
      <w:pPr>
        <w:pStyle w:val="BodyText"/>
      </w:pPr>
      <w:r>
        <w:rPr>
          <w:bCs/>
          <w:b/>
        </w:rPr>
        <w:t xml:space="preserve">A conjuntura em uma frase.</w:t>
      </w:r>
      <w:r>
        <w:t xml:space="preserve"> </w:t>
      </w:r>
      <w:r>
        <w:t xml:space="preserve">O governo venceu a eleição com legitimidade popular, mas começa o mandato em minoria no Congresso e nos estados, sob choque externo e com a sucessão em aberto; a oposição perdeu a Presidência, mas ganhou força institucional e disputa sua nova liderança.</w:t>
      </w:r>
    </w:p>
    <w:p>
      <w:r>
        <w:br w:type="page"/>
      </w:r>
    </w:p>
    <w:bookmarkEnd w:id="197"/>
    <w:bookmarkStart w:id="198" w:name="correlação-de-forças-depois-da-eleição"/>
    <w:p>
      <w:pPr>
        <w:pStyle w:val="Heading2"/>
      </w:pPr>
      <w:r>
        <w:t xml:space="preserve">7.2 Correlação de forças depois da eleição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Recursos principais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Tendência até 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Movimento esperado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Governo Lula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Mandato, orçamento, cargos, agenda, legitimidade das urnas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Estável, sujeita ao choque externo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Formar coalizão, entregar, preparar a sucessão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 e esquerda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Identidade de massa, Nordeste, movimentos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Dependente do governo; risco de envelhecimento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Federação, renovação, disputa de 2028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Centrão (PSD, MDB, União, PP, Republicanos)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Prefeituras, emendas, Mesas, maioria pivotal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Cobrar caro dos dois lados; preparar candidaturas próprias para 2030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Bolsonarismo e 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Maior bancada da Câmara e do Senado, governadores, ecossistema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Força institucional em alta; liderança em disputa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Contestar a legitimidade, pautar o Senado, disputar a herança de Bolsonaro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Governadores de direita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Máquinas estaduais, segurança pública, eleitorado do Sul e do Sudeste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Disputar a liderança da oposição para 2030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Igrejas evangélicas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Comunidade, mídia, 97 deputados evangélicos declarados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Estável e organizada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Agenda moral no Congresso; negociar com governo e oposição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Mercado financeiro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Juros, câmbio, expectativas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Pressão fiscal crescente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Cobrar ajuste diante do choque do petróleo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Crime organizado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Territórios, dinheiro, influência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 expansão no sistema financeiro e na política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Ampliar a lavagem e a presença nas eleições municipais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Governo dos EUA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Tarifas, sanções, plataformas, redes da direita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Hostil, possivelmente moderado pelas eleições de 3 de novembro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Negociar tarifas com pressão política</w:t>
            </w:r>
          </w:p>
        </w:tc>
      </w:tr>
    </w:tbl>
    <w:p>
      <w:r>
        <w:br w:type="page"/>
      </w:r>
    </w:p>
    <w:bookmarkEnd w:id="198"/>
    <w:bookmarkStart w:id="202" w:name="X19defe643330b906dca43349dbeba2c393e813c"/>
    <w:p>
      <w:pPr>
        <w:pStyle w:val="Heading2"/>
      </w:pPr>
      <w:r>
        <w:t xml:space="preserve">7.3 Foresight: forças motrizes e incertezas críticas</w:t>
      </w:r>
    </w:p>
    <w:p>
      <w:pPr>
        <w:pStyle w:val="FirstParagraph"/>
      </w:pPr>
      <w:r>
        <w:rPr>
          <w:bCs/>
          <w:b/>
        </w:rPr>
        <w:t xml:space="preserve">Foresight não é previsão: é a preparação sistemática para futuros diferentes.</w:t>
      </w:r>
      <w:r>
        <w:t xml:space="preserve"> </w:t>
      </w:r>
      <w:r>
        <w:t xml:space="preserve">A prospectiva estratégica (Godet, 1993; Godet e Durance, 2011) identifica as forças motrizes, separa as tendências pesadas das incertezas críticas, constrói cenários e define estratégias robustas. O manual usa a varredura STEEP (social, tecnológica, econômica, ambiental e política), acrescida da dimensão internacional, para 2027–2030.</w:t>
      </w:r>
    </w:p>
    <w:p>
      <w:pPr>
        <w:pStyle w:val="CaptionedFigure"/>
      </w:pPr>
      <w:r>
        <w:drawing>
          <wp:inline>
            <wp:extent cx="5334000" cy="3704166"/>
            <wp:effectExtent b="0" l="0" r="0" t="0"/>
            <wp:docPr descr="Figura 45. Fonte: Elaboração própria; avaliação qualitativa de impacto e incerteza para 2027–2030, a calibrar por painel Delphi (Seção 12.1)." title="" id="200" name="Picture"/>
            <a:graphic>
              <a:graphicData uri="http://schemas.openxmlformats.org/drawingml/2006/picture">
                <pic:pic>
                  <pic:nvPicPr>
                    <pic:cNvPr descr="/home/claude/man/figs/new/g_drivers.png" id="201" name="Picture"/>
                    <pic:cNvPicPr>
                      <a:picLocks noChangeArrowheads="1"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4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Figura 45.</w:t>
      </w:r>
      <w:r>
        <w:t xml:space="preserve"> </w:t>
      </w:r>
      <w:r>
        <w:t xml:space="preserve">Fonte: Elaboração própria; avaliação qualitativa de impacto e incerteza para 2027–2030, a calibrar por painel Delphi (Seção 12.1).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Tendências pesadas (alta certeza)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Incertezas críticas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Crescimento evangélico; envelhecimento; trabalho por plataforma; queda da sindicalização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Intensidade do voto popular na esquerda sem Lula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Tecnológica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Inteligência artificial na comunicação política; deepfakes; golpes digitais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Regulação efetiva das plataformas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Econômica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Crescimento baixo; juros altos; China como principal parceiro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Duração do choque do petróleo; inflação de alimentos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Ambiental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Eventos extremos (secas, enchentes); pressão sobre a Amazônia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 fiscal e político de grandes desastres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Congresso forte; cláusula de desempenho; polarização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Liderança da direita em 2030; coesão da coalizão de governo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Competição EUA–China; erosão democrática no centro do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Fim ou escalada da guerra no Golfo; política dos EUA após 2026 e 2028</w:t>
            </w:r>
          </w:p>
        </w:tc>
      </w:tr>
    </w:tbl>
    <w:p>
      <w:r>
        <w:br w:type="page"/>
      </w:r>
    </w:p>
    <w:bookmarkEnd w:id="202"/>
    <w:bookmarkStart w:id="203" w:name="sinais-fracos-e-eventos-de-ruptura"/>
    <w:p>
      <w:pPr>
        <w:pStyle w:val="Heading2"/>
      </w:pPr>
      <w:r>
        <w:t xml:space="preserve">7.4 Sinais fracos e eventos de ruptura</w:t>
      </w:r>
    </w:p>
    <w:p>
      <w:pPr>
        <w:pStyle w:val="FirstParagraph"/>
      </w:pPr>
      <w:r>
        <w:t xml:space="preserve">Sinais fracos são indícios precoces de mudanças que ainda não ganharam escala; eventos de ruptura (</w:t>
      </w:r>
      <w:r>
        <w:rPr>
          <w:iCs/>
          <w:i/>
        </w:rPr>
        <w:t xml:space="preserve">wild cards</w:t>
      </w:r>
      <w:r>
        <w:t xml:space="preserve">) têm baixa probabilidade e alto impacto. O observatório (Seção 12.1) deve monitorá-los mensalmente.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Sinal fraco ou ruptura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indicaria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 preparada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Crescimento de candidaturas evangélicas fora do PL e do Republicanos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Sinal fraco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Fragmentação do voto religioso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Ampliar o diálogo com lideranças independentes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Avanço de facções em eleições municipais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Sinal fraco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Captura da política local pelo crime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Integridade das candidaturas de 2028; inteligência financeira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Líderes digitais da direita rompendo com a família Bolsonaro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Sinal fraco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Disputa pela herança e radicalização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Explorar as divisões sem amplificá-las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Reabertura de Ormuz e queda do petróleo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Ruptura positiva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Alívio inflacionário e espaço fiscal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Ampliar investimentos e entregas sociais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Escalada regional no Golfo ou em Taiwan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Ruptura negativa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Choque de energia, comércio e câmbio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Plano de contingência de combustíveis, fertilizantes e alimentos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Crise de saúde do presidente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Ruptura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Antecipação da sucessão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Vice-presidente preparado; lista de sucessão definida cedo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Grande desastre climático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Ruptura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 de capacidade do 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Defesa civil federal e cooperação com governadores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Impeachment de ministro do STF pautado no Senado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Ruptura institucional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Crise entre os Poderes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 do Senado fora do PL; articulação com o centro</w:t>
            </w:r>
          </w:p>
        </w:tc>
      </w:tr>
    </w:tbl>
    <w:p>
      <w:r>
        <w:br w:type="page"/>
      </w:r>
    </w:p>
    <w:bookmarkEnd w:id="203"/>
    <w:bookmarkStart w:id="210" w:name="três-horizontes-e-backcasting-para-2030"/>
    <w:p>
      <w:pPr>
        <w:pStyle w:val="Heading2"/>
      </w:pPr>
      <w:r>
        <w:t xml:space="preserve">7.5 Três horizontes e backcasting para 2030</w:t>
      </w:r>
    </w:p>
    <w:p>
      <w:pPr>
        <w:pStyle w:val="FirstParagraph"/>
      </w:pPr>
      <w:r>
        <w:rPr>
          <w:bCs/>
          <w:b/>
        </w:rPr>
        <w:t xml:space="preserve">O método dos três horizontes (Sharpe, 2013) separa o que precisa ser gerido hoje, o que precisa ser transformado e o que precisa nascer.</w:t>
      </w:r>
      <w:r>
        <w:t xml:space="preserve"> </w:t>
      </w:r>
      <w:r>
        <w:t xml:space="preserve">O backcasting parte do futuro desejado em 2030 e volta ao presente para definir as decisões necessárias.</w:t>
      </w:r>
    </w:p>
    <w:p>
      <w:pPr>
        <w:pStyle w:val="CaptionedFigure"/>
      </w:pPr>
      <w:r>
        <w:drawing>
          <wp:inline>
            <wp:extent cx="5334000" cy="3111500"/>
            <wp:effectExtent b="0" l="0" r="0" t="0"/>
            <wp:docPr descr="Figura 46. Fonte: Elaboração própria a partir de Sharpe (2013)." title="" id="205" name="Picture"/>
            <a:graphic>
              <a:graphicData uri="http://schemas.openxmlformats.org/drawingml/2006/picture">
                <pic:pic>
                  <pic:nvPicPr>
                    <pic:cNvPr descr="/home/claude/man/figs/new/g_tres_horizontes.png" id="206" name="Picture"/>
                    <pic:cNvPicPr>
                      <a:picLocks noChangeArrowheads="1"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Figura 46.</w:t>
      </w:r>
      <w:r>
        <w:t xml:space="preserve"> </w:t>
      </w:r>
      <w:r>
        <w:t xml:space="preserve">Fonte: Elaboração própria a partir de Sharpe (2013).</w:t>
      </w:r>
    </w:p>
    <w:p>
      <w:pPr>
        <w:pStyle w:val="CaptionedFigure"/>
      </w:pPr>
      <w:r>
        <w:drawing>
          <wp:inline>
            <wp:extent cx="5334000" cy="2883243"/>
            <wp:effectExtent b="0" l="0" r="0" t="0"/>
            <wp:docPr descr="Figura 47. Fonte: Elaboração própria; marcos derivados das Partes 9, 10 e 11." title="" id="208" name="Picture"/>
            <a:graphic>
              <a:graphicData uri="http://schemas.openxmlformats.org/drawingml/2006/picture">
                <pic:pic>
                  <pic:nvPicPr>
                    <pic:cNvPr descr="/home/claude/man/figs/new/g_backcasting.png" id="209" name="Picture"/>
                    <pic:cNvPicPr>
                      <a:picLocks noChangeArrowheads="1"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32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Figura 47.</w:t>
      </w:r>
      <w:r>
        <w:t xml:space="preserve"> </w:t>
      </w:r>
      <w:r>
        <w:t xml:space="preserve">Fonte: Elaboração própria; marcos derivados das Partes 9, 10 e 11.</w:t>
      </w:r>
    </w:p>
    <w:p>
      <w:pPr>
        <w:pStyle w:val="BodyText"/>
      </w:pPr>
      <w:r>
        <w:rPr>
          <w:bCs/>
          <w:b/>
        </w:rPr>
        <w:t xml:space="preserve">Futuro desejado em outubro de 2030.</w:t>
      </w:r>
      <w:r>
        <w:t xml:space="preserve"> </w:t>
      </w:r>
      <w:r>
        <w:t xml:space="preserve">Um candidato do campo competitivo no 2º turno, com uma coalizão que inclui o centro democrático; uma bancada de esquerda de cerca de 170 deputados; o campo governando ao menos 560 prefeituras do PT e cinco capitais; queda dos crimes contra o patrimônio; jornada de 40 horas consolidada sem perda de emprego; e uma infraestrutura permanente de comitês e redes que não depende do presidente.</w:t>
      </w:r>
    </w:p>
    <w:p>
      <w:r>
        <w:br w:type="page"/>
      </w:r>
    </w:p>
    <w:bookmarkEnd w:id="210"/>
    <w:bookmarkStart w:id="211" w:name="cenários-narrativos-para-2030"/>
    <w:p>
      <w:pPr>
        <w:pStyle w:val="Heading2"/>
      </w:pPr>
      <w:r>
        <w:t xml:space="preserve">7.6 Cenários narrativos para 2030</w:t>
      </w:r>
    </w:p>
    <w:p>
      <w:pPr>
        <w:pStyle w:val="FirstParagraph"/>
      </w:pPr>
      <w:r>
        <w:t xml:space="preserve">Os quatro cenários da Seção 6.4 combinam o ambiente externo e a capacidade de organização. Cada um tem uma narrativa, sinais e uma estratégia.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Cenário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Narrativa em 2030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Sinais de que está acontecendo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Estratégia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Reconstrução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petróleo se normaliza em 2027, a coalizão funciona, as 40 horas e a segurança dão resultados, o campo cresce em 2028 e chega a 2030 com sucessor competitivo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Aprovação acima de 45%; taxa de vitória legislativa acima de 75%; meta de prefeituras alcançada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Acelerar a sucessão e ampliar a coalizão para o centro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Resistência organizada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choque dura, a inflação sobe e a aprovação cai, mas comitês, redes e prefeitos sustentam o 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Aprovação entre 30% e 45%; comitês e criadores dentro da 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Proteger os mais pobres, manter a coalizão mínima e apostar no território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Governo refém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ambiente é bom, mas a esquerda não se organiza: o centrão cobra caro, as entregas não têm assinatura e o PT chega a 2030 sem 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Bons indicadores com aprovação estagnada; nenhuma meta organizativa cumprida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Corrigir em 2027 e no primeiro semestre de 2028: depois das eleições municipais de outubro de 2028, a janela fecha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Restauração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Choque e desorganização se somam; o Senado impõe a agenda, uma crise institucional explode e a extrema direita volta em 2030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Aprovação abaixo de 30%; derrotas em votações-chave; impeachment de ministro pautado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Frente democrática ampla, defesa institucional e candidatura de unidade</w:t>
            </w:r>
          </w:p>
        </w:tc>
      </w:tr>
    </w:tbl>
    <w:p>
      <w:r>
        <w:br w:type="page"/>
      </w:r>
    </w:p>
    <w:bookmarkEnd w:id="211"/>
    <w:bookmarkEnd w:id="212"/>
    <w:bookmarkStart w:id="217" w:name="parte-8-diagnóstico-integrado"/>
    <w:p>
      <w:pPr>
        <w:pStyle w:val="Heading1"/>
      </w:pPr>
      <w:r>
        <w:t xml:space="preserve">Parte 8 · Diagnóstico integrado</w:t>
      </w:r>
    </w:p>
    <w:p>
      <w:r>
        <w:br w:type="page"/>
      </w:r>
    </w:p>
    <w:bookmarkStart w:id="213" w:name="como-os-quatro-determinantes-se-combinam"/>
    <w:p>
      <w:pPr>
        <w:pStyle w:val="Heading2"/>
      </w:pPr>
      <w:r>
        <w:t xml:space="preserve">8.1 Como os quatro determinantes se combinam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Determinante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Evidência 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Implicação para a ação em 2027–2030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Sistema-mundo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Termos de troca e ciclo político (pico em 2011, queda até 2015); maldição da volatilidade (Campello e Zucco); virada regional de 2024–2026; guerra no Golfo e petróleo perto de US$ 116; EUA fora do grupo das democracias liberais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Projeto nacional de desenvolvimento, colchão contra o choque de energia e diversificação externa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 média de 16% para 49%; evangélicos de 9% para 27%; sindicalização de 16,1% para 8,8%; Lula perde de 42% a 58% entre quem ganha de 2 a 5 salários mínimos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Organizar os novos sujeitos: serviços, trabalhadores de plataforma, igrejas; implementar as 40 horas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Instituições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Emendas impositivas e transferências especiais; máquinas municipais; Câmara com 124 deputados de esquerda; bloco de direita com 43 senadores; 16 governadores pró-Flávio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Coalizão programática, rastreabilidade das emendas, prioridade ao Senado, federalismo cooperativo e 2028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Organização e comunicação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Amplificador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Intermediação zero do PT; um único canal até o eleitor independente; abstenção alta no 1º turno e queda no 2º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Infraestrutura permanente de narrativa, criadores, observatório e comitês</w:t>
            </w:r>
          </w:p>
        </w:tc>
      </w:tr>
    </w:tbl>
    <w:p>
      <w:pPr>
        <w:pStyle w:val="BodyText"/>
      </w:pPr>
      <w:r>
        <w:t xml:space="preserve">Os determinantes formam uma cadeia. O choque externo define o ambiente econômico. A transformação social define quem vota e por quê. As instituições definem quem controla os recursos do Estado no território. E a organização define se a esquerda consegue converter suas políticas em lealdade e comparecimento. Onde as três primeiras condições são adversas, a quarta decide a eleição. Foi nela que a esquerda perdeu mais terreno desde 2013, e foi nela que recuperou a eleição entre 4 e 25 de outubro de 2026.</w:t>
      </w:r>
    </w:p>
    <w:p>
      <w:pPr>
        <w:pStyle w:val="BodyText"/>
      </w:pPr>
      <w:r>
        <w:t xml:space="preserve">O peso das instituições subiu de médio para alto em relação a 2022. Com a reeleição, o problema central deixa de ser chegar ao governo e passa a ser governar: aprovar a agenda numa Câmara em que a esquerda tem 24% das cadeiras, proteger o STF num Senado em que a direita tem maioria e entregar resultados em estados governados pela oposição.</w:t>
      </w:r>
    </w:p>
    <w:p>
      <w:r>
        <w:br w:type="page"/>
      </w:r>
    </w:p>
    <w:bookmarkEnd w:id="213"/>
    <w:bookmarkStart w:id="214" w:name="princípios-estratégicos"/>
    <w:p>
      <w:pPr>
        <w:pStyle w:val="Heading2"/>
      </w:pPr>
      <w:r>
        <w:t xml:space="preserve">8.2 Princípios estratégicos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Centralizar a narrativa e descentralizar a execução.</w:t>
      </w:r>
      <w:r>
        <w:t xml:space="preserve"> </w:t>
      </w:r>
      <w:r>
        <w:t xml:space="preserve">A eficácia não depende de horizontalidade, mas de velocidade, presença territorial e autonomia local de produção. As organizações mais eficazes do país, as igrejas, têm centro forte e capilaridade cotidiana.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 território vem antes da rede.</w:t>
      </w:r>
      <w:r>
        <w:t xml:space="preserve"> </w:t>
      </w:r>
      <w:r>
        <w:t xml:space="preserve">A comunicação digital só se ancora onde há vínculo presencial. A prioridade é a presença diária com serviços, e a rede amplifica essa presença.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Segurança é demanda legítima.</w:t>
      </w:r>
      <w:r>
        <w:t xml:space="preserve"> </w:t>
      </w:r>
      <w:r>
        <w:t xml:space="preserve">A violência foi objetivamente alta por três décadas (pico de 32,1 homicídios por 100 mil em 2017), e o medo do crime é uma experiência real do trabalhador. A esquerda precisa de política própria de segurança cidadã, com foco no crime organizado, em suas finanças e nos crimes contra o patrimônio que atingem o trabalhador conectado.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 responsabilidade pelos resultados é interna.</w:t>
      </w:r>
      <w:r>
        <w:t xml:space="preserve"> </w:t>
      </w:r>
      <w:r>
        <w:t xml:space="preserve">Pressões externas e abusos judiciais existiram, mas o eleitor independente cobra resultados. A narrativa pública deve tratar de entregas e de futuro.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O voto evangélico é racional e comunitário.</w:t>
      </w:r>
      <w:r>
        <w:t xml:space="preserve"> </w:t>
      </w:r>
      <w:r>
        <w:t xml:space="preserve">A estratégia é o diálogo em pautas comuns (família, dependência química, violência, cuidado), com mensageiros da própria fé.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Governar é a campanha de 2030.</w:t>
      </w:r>
      <w:r>
        <w:t xml:space="preserve"> </w:t>
      </w:r>
      <w:r>
        <w:t xml:space="preserve">Sem Lula na urna, o voto de 2030 será um julgamento do governo e do sucessor. Cada entrega precisa de assinatura reconhecível, e cada liderança nova precisa de entrega própria para mostrar.</w:t>
      </w:r>
    </w:p>
    <w:p>
      <w:r>
        <w:br w:type="page"/>
      </w:r>
    </w:p>
    <w:bookmarkEnd w:id="214"/>
    <w:bookmarkStart w:id="215" w:name="lições-da-experiência-de-governo"/>
    <w:p>
      <w:pPr>
        <w:pStyle w:val="Heading2"/>
      </w:pPr>
      <w:r>
        <w:t xml:space="preserve">8.3 Lições da experiência de governo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Partido e Estado devem ser distintos.</w:t>
      </w:r>
      <w:r>
        <w:t xml:space="preserve"> </w:t>
      </w:r>
      <w:r>
        <w:t xml:space="preserve">Após 2003, a transferência de quadros dos movimentos para o governo desmobilizou a base (Singer, 2012). O partido precisa de estrutura própria, independente do mandato.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Inclusão exige politização.</w:t>
      </w:r>
      <w:r>
        <w:t xml:space="preserve"> </w:t>
      </w:r>
      <w:r>
        <w:t xml:space="preserve">A mobilidade pelo consumo foi vivida como mérito individual e providência divina. Políticas públicas precisam de assinatura reconhecível e de organização dos beneficiários.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Coerência entre campanha e governo.</w:t>
      </w:r>
      <w:r>
        <w:t xml:space="preserve"> </w:t>
      </w:r>
      <w:r>
        <w:t xml:space="preserve">O ajuste de 2015, depois de uma campanha contra o ajuste, corroeu a confiança. Em 2027, o risco equivalente é um ajuste contra o choque do petróleo que recaia sobre quem votou em Lula.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Integridade é agenda própria.</w:t>
      </w:r>
      <w:r>
        <w:t xml:space="preserve"> </w:t>
      </w:r>
      <w:r>
        <w:t xml:space="preserve">Sem uma agenda de integridade, a esquerda entregou à direita o monopólio do tema da corrupção. As fraudes no INSS mostraram o custo de reagir tarde.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Sucessão é prioridade.</w:t>
      </w:r>
      <w:r>
        <w:t xml:space="preserve"> </w:t>
      </w:r>
      <w:r>
        <w:t xml:space="preserve">O voto da esquerda é, em grande parte, voto em Lula, que completa 81 anos em 27 de outubro de 2026 e está constitucionalmente impedido de disputar 2030. A formação de novas lideranças nacionais é a maior tarefa estratégica do campo.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Presença nacional.</w:t>
      </w:r>
      <w:r>
        <w:t xml:space="preserve"> </w:t>
      </w:r>
      <w:r>
        <w:t xml:space="preserve">A hegemonia no Nordeste não compensa a fragilidade no Sul, no Sudeste e no Centro-Oeste, onde vive a maior parte do eleitorado. A virada de 2026 veio do Sudeste urbano e precisa virar organização permanente.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 mobilização de última hora não se repete sozinha.</w:t>
      </w:r>
      <w:r>
        <w:t xml:space="preserve"> </w:t>
      </w:r>
      <w:r>
        <w:t xml:space="preserve">A virada do 2º turno dependeu de uma reorganização de campanha em três semanas. Em 2030, sem o candidato que mobiliza por si, a capacidade de mobilizar precisará existir antes da campanha.</w:t>
      </w:r>
    </w:p>
    <w:p>
      <w:r>
        <w:br w:type="page"/>
      </w:r>
    </w:p>
    <w:bookmarkEnd w:id="215"/>
    <w:bookmarkStart w:id="216" w:name="tese-central"/>
    <w:p>
      <w:pPr>
        <w:pStyle w:val="Heading2"/>
      </w:pPr>
      <w:r>
        <w:t xml:space="preserve">8.4 Tese central</w:t>
      </w:r>
    </w:p>
    <w:p>
      <w:pPr>
        <w:pStyle w:val="FirstParagraph"/>
      </w:pPr>
      <w:r>
        <w:t xml:space="preserve">O enfraquecimento da esquerda brasileira resulta da combinação entre uma inserção semiperiférica que submete o ciclo político a choques externos, transformações sociais que reduziram e reconfiguraram sua base, instituições que favorecem as máquinas locais e o Congresso e um modelo organizativo vertical, fundido ao Estado e dependente de um líder, que perdeu presença territorial e não construiu infraestrutura própria no ambiente de plataformas.</w:t>
      </w:r>
    </w:p>
    <w:p>
      <w:pPr>
        <w:pStyle w:val="BodyText"/>
      </w:pPr>
      <w:r>
        <w:t xml:space="preserve">A vitória de 2026 não desfaz essa combinação: ela concede quatro anos para enfrentá-la de dentro do governo. O quarto mandato será bem-sucedido se terminar com três resultados: entregas visíveis em segurança, custo de vida e trabalho; uma coalizão e uma máquina municipal capazes de sustentar o campo sem Lula na urna; e um sucessor competitivo definido a tempo. A recuperação exige ação simultânea nos quatro níveis: projeto nacional, base social, instituições e organização. É o que as Partes 9, 10 e 11 detalham.</w:t>
      </w:r>
    </w:p>
    <w:p>
      <w:r>
        <w:br w:type="page"/>
      </w:r>
    </w:p>
    <w:bookmarkEnd w:id="216"/>
    <w:bookmarkEnd w:id="217"/>
    <w:bookmarkStart w:id="229" w:name="X0e59f1009a093899063a0e51e55fd21b86b1d90"/>
    <w:p>
      <w:pPr>
        <w:pStyle w:val="Heading1"/>
      </w:pPr>
      <w:r>
        <w:t xml:space="preserve">Parte 9 · Estratégia de governo e de articulação, 2027–2030</w:t>
      </w:r>
    </w:p>
    <w:p>
      <w:r>
        <w:br w:type="page"/>
      </w:r>
    </w:p>
    <w:bookmarkStart w:id="218" w:name="diretrizes-estratégicas"/>
    <w:p>
      <w:pPr>
        <w:pStyle w:val="Heading2"/>
      </w:pPr>
      <w:r>
        <w:t xml:space="preserve">9.1 Diretrizes estratégicas</w:t>
      </w:r>
    </w:p>
    <w:p>
      <w:pPr>
        <w:pStyle w:val="FirstParagraph"/>
      </w:pPr>
      <w:r>
        <w:t xml:space="preserve">A estratégia se organiza em cinco níveis, do mais geral ao mais concreto: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Pergunta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 proposta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· Projeto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Brasil o governo e a esquerda oferecem?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Desenvolvimento produtivo, segurança e dignidade do trabalho numa semiperiferia em transição, protegida contra o choque externo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· Coalizão 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 quem?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popular nordestina e metropolitana, trabalhadores de serviços e aplicativo, católicos, mulheres, pretos e pardos, jovens e parte dos evangélicos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· Coalizão política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 que alianças?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Núcleo de esquerda, anel de governo com MDB e PSD e maiorias temáticas com União, PP, Republicanos e Podemos; identidade programática própria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· Organização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 que estrutura?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Infraestrutura permanente de comunicação e território, independente do mandato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· Operação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 que ações, metas e prazos?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Plano de transição, 100 dias, metas anuais e cronograma até 2030, com indicadores</w:t>
            </w:r>
          </w:p>
        </w:tc>
      </w:tr>
    </w:tbl>
    <w:p>
      <w:pPr>
        <w:pStyle w:val="BodyText"/>
      </w:pPr>
      <w:r>
        <w:rPr>
          <w:bCs/>
          <w:b/>
        </w:rPr>
        <w:t xml:space="preserve">Projeto nacional.</w:t>
      </w:r>
      <w:r>
        <w:t xml:space="preserve"> </w:t>
      </w:r>
      <w:r>
        <w:t xml:space="preserve">A resposta à posição semiperiférica não é retórica. Ela exige um projeto de desenvolvimento com cinco eixos: reindustrialização ligada à transição energética e às cadeias de minerais críticos; soberania digital (regulação de plataformas, infraestrutura pública de dados, inteligência artificial, defesa do Pix); integração sul-americana e diversificação de parceiros entre EUA, China e Europa; política de segurança cidadã com foco no crime organizado e nas finanças do crime; e justiça tributária no topo da distribuição, onde a desigualdade não caiu.</w:t>
      </w:r>
    </w:p>
    <w:p>
      <w:pPr>
        <w:pStyle w:val="BodyText"/>
      </w:pPr>
      <w:r>
        <w:rPr>
          <w:bCs/>
          <w:b/>
        </w:rPr>
        <w:t xml:space="preserve">Narrativa-mãe.</w:t>
      </w:r>
      <w:r>
        <w:t xml:space="preserve"> </w:t>
      </w:r>
      <w:r>
        <w:t xml:space="preserve">Três ideias organizam a comunicação:</w:t>
      </w:r>
      <w:r>
        <w:t xml:space="preserve"> </w:t>
      </w:r>
      <w:r>
        <w:rPr>
          <w:bCs/>
          <w:b/>
        </w:rPr>
        <w:t xml:space="preserve">trabalho</w:t>
      </w:r>
      <w:r>
        <w:t xml:space="preserve"> </w:t>
      </w:r>
      <w:r>
        <w:t xml:space="preserve">(o Brasil que trabalha contra o Brasil que vive de privilégio; as 40 horas como prova),</w:t>
      </w:r>
      <w:r>
        <w:t xml:space="preserve"> </w:t>
      </w:r>
      <w:r>
        <w:rPr>
          <w:bCs/>
          <w:b/>
        </w:rPr>
        <w:t xml:space="preserve">proteção</w:t>
      </w:r>
      <w:r>
        <w:t xml:space="preserve"> </w:t>
      </w:r>
      <w:r>
        <w:t xml:space="preserve">(segurança, renda e direitos para quem se vira sozinho) e</w:t>
      </w:r>
      <w:r>
        <w:t xml:space="preserve"> </w:t>
      </w:r>
      <w:r>
        <w:rPr>
          <w:bCs/>
          <w:b/>
        </w:rPr>
        <w:t xml:space="preserve">soberania</w:t>
      </w:r>
      <w:r>
        <w:t xml:space="preserve"> </w:t>
      </w:r>
      <w:r>
        <w:t xml:space="preserve">(decidir o próprio futuro diante de guerras, tarifas e pressões externas). As três ideias dialogam com os valores do eleitor conservador popular sem abdicar do núcleo redistributivo.</w:t>
      </w:r>
    </w:p>
    <w:p>
      <w:r>
        <w:br w:type="page"/>
      </w:r>
    </w:p>
    <w:bookmarkEnd w:id="218"/>
    <w:bookmarkStart w:id="219" w:name="agenda-de-políticas-públicas"/>
    <w:p>
      <w:pPr>
        <w:pStyle w:val="Heading2"/>
      </w:pPr>
      <w:r>
        <w:t xml:space="preserve">9.2 Agenda de políticas públicas</w:t>
      </w:r>
    </w:p>
    <w:p>
      <w:pPr>
        <w:pStyle w:val="FirstParagraph"/>
      </w:pPr>
      <w:r>
        <w:rPr>
          <w:bCs/>
          <w:b/>
        </w:rPr>
        <w:t xml:space="preserve">O quarto mandato deve ser julgado por poucas entregas, visíveis e assinadas.</w:t>
      </w:r>
      <w:r>
        <w:t xml:space="preserve"> </w:t>
      </w:r>
      <w:r>
        <w:t xml:space="preserve">A experiência de 2023–2026 mostra que bons indicadores agregados não bastam: o eleitor responde a preços, ao medo do crime e ao tempo livre. A agenda abaixo seleciona sete eixos pelo critério de impacto no segmento decisivo (trabalhadores de 2 a 5 salários mínimos) e de viabilidade no Congresso de 2027.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o eleitor sente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Entregas 2027–2028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 para 2030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Público decisivo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Segurança 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Medo do roubo do celular, do golpe digital e do domínio do crime no bairro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Único de Segurança Pública (SUSP) com metas por estado; força integrada (PF, PRF, Receita, Coaf) contra as finanças do crime; programa nacional contra roubo de celulares e fraudes no Pix; policiamento de proximidade nas periferias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Queda sustentada de roubos, furtos de celular e estelionatos; facções desarticuladas em portos e fronteiras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Periferias metropolitanas, mulheres, trabalhadores de aplicativo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 de vida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Preço do combustível, da comida e da conta de luz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Mecanismo de amortecimento do diesel e do gás de cozinha financiado pela receita extraordinária do petróleo; estoques e contratos de fertilizantes; tarifa social de energia; consolidação da isenção do IR até R$ 5 mil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Inflação de alimentos abaixo da inflação geral; renda real em 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os segmentos de renda baixa e média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Trabalho e tempo livre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Jornada longa, escala 6x1, renda instável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Implementação da jornada de 42 horas e depois de 40 horas; fiscalização e apoio a pequenas empresas na transição; previdência e renda mínima por hora para trabalhadores de aplicativo, com transparência do algoritmo; qualificação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Jornada de 40 horas em vigor sem perda de emprego; trabalhador de plataforma com proteção 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Trabalhadores de serviços, comércio e aplicativo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Saúde e cuidado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Fila para especialista, exame e cirurgia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Mutirões e contratação de especialistas com fila pública por município; rede de cuidado para idosos e pessoas com deficiência; creches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de espera publicado e em queda em todas as regiões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Mulheres, idosos, cidades médias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Desenvolvimento e indústria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Emprego de qualidade e futuro para os filhos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Reindustrialização verde; política nacional de minerais críticos com beneficiamento no país; investimento em energia, logística e saneamento; crédito para pequenas empresas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Participação da indústria de transformação no PIB acima de 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Cidades médias do Sul, Sudeste e Centro-Oeste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Soberania digital e inovação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Golpes, desinformação e dependência de plataformas estrangeiras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Regulação das plataformas com responsabilidade por conteúdo impulsionado; proteção de crianças on-line; infraestrutura pública de dados e IA; defesa do Pix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 de plataformas em vigor; data centers e IA com regras nacionais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Famílias, jovens, pequenos negócios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Integridade e eficiência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Todo político rouba</w:t>
            </w:r>
            <w:r>
              <w:t xml:space="preserve">”</w:t>
            </w:r>
            <w:r>
              <w:t xml:space="preserve">; fraudes no INSS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Rastreabilidade total das emendas; ressarcimento das vítimas das fraudes; corregedoria e auditoria de programas; metas públicas por ministério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 escândalo sem resposta em até 30 dias; transparência como marca do governo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 média do Sul, Sudeste e Centro-Oeste; independentes</w:t>
            </w:r>
          </w:p>
        </w:tc>
      </w:tr>
    </w:tbl>
    <w:p>
      <w:pPr>
        <w:pStyle w:val="BlockText"/>
      </w:pPr>
      <w:r>
        <w:rPr>
          <w:bCs/>
          <w:b/>
        </w:rPr>
        <w:t xml:space="preserve">Restrição fiscal.</w:t>
      </w:r>
      <w:r>
        <w:t xml:space="preserve"> </w:t>
      </w:r>
      <w:r>
        <w:t xml:space="preserve">Com crescimento projetado de 1,9% em 2027, juros altos e choque de energia, a agenda cabe no arcabouço fiscal se for financiada por três fontes: a receita extraordinária do petróleo, a justiça tributária no topo (tributação de altas rendas e dividendos) e a revisão de gastos tributários. Programas novos com custo permanente só entram depois de identificada a fonte. Um ajuste que recaia sobre a base que votou em Lula repete o erro de 2015.</w:t>
      </w:r>
    </w:p>
    <w:p>
      <w:pPr>
        <w:pStyle w:val="FirstParagraph"/>
      </w:pPr>
      <w:r>
        <w:t xml:space="preserve">Cada eixo está detalhado na Parte 10, com diagnóstico, instrumentos, metas, atores, riscos e comunicação.</w:t>
      </w:r>
    </w:p>
    <w:p>
      <w:pPr>
        <w:pStyle w:val="BodyText"/>
      </w:pPr>
      <w:r>
        <w:rPr>
          <w:bCs/>
          <w:b/>
        </w:rPr>
        <w:t xml:space="preserve">Os 100 primeiros dias (5 de janeiro a meados de abril de 2027).</w:t>
      </w:r>
      <w:r>
        <w:t xml:space="preserve"> </w:t>
      </w:r>
      <w:r>
        <w:t xml:space="preserve">Anunciar o plano nacional de segurança com os governadores; publicar o calendário da jornada de 40 horas; lançar o mecanismo de preços de combustíveis; enviar a regulação das plataformas; publicar o painel de emendas por município; e apresentar o programa de minerais críticos. Cada anúncio tem um responsável, uma meta e uma data de prestação de contas.</w:t>
      </w:r>
    </w:p>
    <w:p>
      <w:r>
        <w:br w:type="page"/>
      </w:r>
    </w:p>
    <w:bookmarkEnd w:id="219"/>
    <w:bookmarkStart w:id="223" w:name="Xba8c90bed4c70255d22fcb88eb6e5ea5e505663"/>
    <w:p>
      <w:pPr>
        <w:pStyle w:val="Heading2"/>
      </w:pPr>
      <w:r>
        <w:t xml:space="preserve">9.3 Governabilidade e articulação no Congresso</w:t>
      </w:r>
    </w:p>
    <w:p>
      <w:pPr>
        <w:pStyle w:val="CaptionedFigure"/>
      </w:pPr>
      <w:r>
        <w:drawing>
          <wp:inline>
            <wp:extent cx="5334000" cy="2741083"/>
            <wp:effectExtent b="0" l="0" r="0" t="0"/>
            <wp:docPr descr="Figura 48. Fonte: Agência Câmara e CNN Brasil (5/10/2026); agrupamento por blocos ideológicos deste manual." title="" id="221" name="Picture"/>
            <a:graphic>
              <a:graphicData uri="http://schemas.openxmlformats.org/drawingml/2006/picture">
                <pic:pic>
                  <pic:nvPicPr>
                    <pic:cNvPr descr="/home/claude/man/figs/new/g_camara_blocos.png" id="222" name="Picture"/>
                    <pic:cNvPicPr>
                      <a:picLocks noChangeArrowheads="1" noChangeAspect="1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1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Figura 48.</w:t>
      </w:r>
      <w:r>
        <w:t xml:space="preserve"> </w:t>
      </w:r>
      <w:r>
        <w:t xml:space="preserve">Fonte: Agência Câmara e CNN Brasil (5/10/2026); agrupamento por blocos ideológicos deste manual.</w:t>
      </w:r>
    </w:p>
    <w:p>
      <w:pPr>
        <w:pStyle w:val="BodyText"/>
      </w:pPr>
      <w:r>
        <w:rPr>
          <w:bCs/>
          <w:b/>
        </w:rPr>
        <w:t xml:space="preserve">A aritmética é o ponto de partida.</w:t>
      </w:r>
      <w:r>
        <w:t xml:space="preserve"> </w:t>
      </w:r>
      <w:r>
        <w:t xml:space="preserve">A esquerda tem 124 deputados. Para a maioria absoluta faltam 133; para uma emenda constitucional faltam 184. No Senado, a esquerda soma cerca de 16 cadeiras (PT, PSB, PDT e Rede), e o bloco PL, PP, Republicanos e Novo soma 43. O governo não governa sem o centro, e o centro tem, pela primeira vez desde 2018, uma alternativa forte no PL.</w:t>
      </w:r>
    </w:p>
    <w:p>
      <w:pPr>
        <w:pStyle w:val="BodyText"/>
      </w:pPr>
      <w:r>
        <w:rPr>
          <w:bCs/>
          <w:b/>
        </w:rPr>
        <w:t xml:space="preserve">Arquitetura da coalizão.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Círculo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Cadeiras na Câmara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Contrapartida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Núcleo programático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PT, PCdoB, PV, PSB, PSOL, Rede, PDT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Programa e coordenação política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Defende a agenda e a narrativa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Anel de governo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MDB e PSD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Ministérios com metas, presidência de comissões, alianças estaduais em 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Garante maioria simples com parte do terceiro círculo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Maiorias temáticas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União-PP, Republicanos, Podemos, PSDB-Cidadania, Avante, PRD-Solidariedade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Projetos regionais, agenda econômica, emendas rastreáveis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Votos por tema: economia, infraestrutura, segurança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Oposição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PL, Novo, Missão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Respeito às regras e às prerrogativas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Fiscaliza; o governo disputa votos individuais em pautas de segurança e trabalho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Regras de articulação.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Mesas.</w:t>
      </w:r>
      <w:r>
        <w:t xml:space="preserve"> </w:t>
      </w:r>
      <w:r>
        <w:t xml:space="preserve">Em fevereiro de 2027, apoiar sem protagonismo os candidatos de centro com maior viabilidade (hoje, Hugo Motta na Câmara e Davi Alcolumbre no Senado) contra os candidatos do PL, em troca de um calendário legislativo pactuado para o biênio.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Ministérios com metas.</w:t>
      </w:r>
      <w:r>
        <w:t xml:space="preserve"> </w:t>
      </w:r>
      <w:r>
        <w:t xml:space="preserve">Cada ministério entregue a partido aliado tem metas públicas, prestação de contas semestral e revisão em 2028. O cargo é contrapartida de voto e de entrega, e não de apoio genérico.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Emendas rastreáveis.</w:t>
      </w:r>
      <w:r>
        <w:t xml:space="preserve"> </w:t>
      </w:r>
      <w:r>
        <w:t xml:space="preserve">Painel público por parlamentar, município e obra, articulado às decisões do STF sobre transparência. A visibilidade reduz o ganho da chantagem (Jogo 1) e dá ao governo um argumento perante o eleitor.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Senado como prioridade.</w:t>
      </w:r>
      <w:r>
        <w:t xml:space="preserve"> </w:t>
      </w:r>
      <w:r>
        <w:t xml:space="preserve">O Senado concentra os riscos institucionais: impeachment de ministros do STF, sabatinas de indicações ao Judiciário e ao Ministério Público e emendas constitucionais. A estratégia é dividir o bloco conservador, que depende do PP e do Republicanos, com agenda regional e respeito às prerrogativas da Casa.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Agenda de consenso primeiro.</w:t>
      </w:r>
      <w:r>
        <w:t xml:space="preserve"> </w:t>
      </w:r>
      <w:r>
        <w:t xml:space="preserve">O primeiro semestre de 2027 deve priorizar pautas que dividem a oposição: segurança contra o crime organizado, proteção de crianças on-line e implementação das 40 horas. Pautas que unem a oposição ficam para quando a coalizão estiver testada.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Nomear votos.</w:t>
      </w:r>
      <w:r>
        <w:t xml:space="preserve"> </w:t>
      </w:r>
      <w:r>
        <w:t xml:space="preserve">Em votações com impacto direto na vida do eleitor, a campanha permanente informa como votou cada parlamentar no seu estado e município.</w:t>
      </w:r>
    </w:p>
    <w:p>
      <w:pPr>
        <w:pStyle w:val="FirstParagraph"/>
      </w:pPr>
      <w:r>
        <w:rPr>
          <w:bCs/>
          <w:b/>
        </w:rPr>
        <w:t xml:space="preserve">Agenda legislativa por ano.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Lógica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Orçamento de 2028; SUSP e combate às finanças do crime; regulação das plataformas; regras da transição para 40 horas; política de minerais críticos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Primeiro ano: maior capital político e menor calendário eleitoral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Tributação do topo e revisão de gastos tributários; marco do trabalho por plataforma; saúde e cuidado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 municipal: votações curtas no primeiro semestre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Consolidação das entregas; reformas infralegais; avaliação de programas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Pré-campanha: o Congresso entra em lógica de 2030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Prestação de contas e agenda de continuidade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 eleitoral: governo por entregas, não por reformas</w:t>
            </w:r>
          </w:p>
        </w:tc>
      </w:tr>
    </w:tbl>
    <w:p>
      <w:r>
        <w:br w:type="page"/>
      </w:r>
    </w:p>
    <w:bookmarkEnd w:id="223"/>
    <w:bookmarkStart w:id="224" w:name="federalismo-governadores-e-prefeitos"/>
    <w:p>
      <w:pPr>
        <w:pStyle w:val="Heading2"/>
      </w:pPr>
      <w:r>
        <w:t xml:space="preserve">9.4 Federalismo: governadores e prefeitos</w:t>
      </w:r>
    </w:p>
    <w:p>
      <w:pPr>
        <w:pStyle w:val="FirstParagraph"/>
      </w:pPr>
      <w:r>
        <w:rPr>
          <w:bCs/>
          <w:b/>
        </w:rPr>
        <w:t xml:space="preserve">Só 7 dos 27 governadores eleitos em 2026 tiveram o apoio de Lula.</w:t>
      </w:r>
      <w:r>
        <w:t xml:space="preserve"> </w:t>
      </w:r>
      <w:r>
        <w:t xml:space="preserve">O PT governa quatro estados do Nordeste; a oposição governa todos os estados do Sul, do Sudeste e do Centro-Oeste, onde vive a maior parte do eleitorado.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Governadores eleitos em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 (6)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Roraima, Rio de Janeiro, Santa Catarina, Rondônia, Paraná, Rio Grande do Sul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PSD (5)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Amapá, Maranhão, Sergipe, Amazonas, Pernambuco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Republicanos (4)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Minas Gerais, Espírito Santo, Mato Grosso, São Paulo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 (4)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Distrito Federal, Mato Grosso do Sul, Paraíba, Acre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 (4)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Ceará, Bahia, Piauí, Rio Grande do Norte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PSDB 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Alagoas, Tocantins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MDB 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Goiás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Podemos 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Pará</w:t>
            </w:r>
          </w:p>
        </w:tc>
      </w:tr>
    </w:tbl>
    <w:p>
      <w:pPr>
        <w:pStyle w:val="BodyText"/>
      </w:pPr>
      <w:r>
        <w:rPr>
          <w:bCs/>
          <w:b/>
        </w:rPr>
        <w:t xml:space="preserve">Estratégia por tipo de estado.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Governados pelo 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CE, BA, PI, 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Vitrine de entrega e formação de lideranças nacionais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Projetos-piloto de segurança, saúde e cuidado; consórcio do Nordeste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Aliados não petistas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SE, PB, AM e outros que aderirem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Ampliar a coalizão para 2028 e 2030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Pactos de investimento; apoio mútuo nas eleições municipais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Oposição pragmática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Governadores do centro e de partidos neutros no 2º turno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Cooperação em segurança e infraestrutura; separar o centro da extrema direita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Metas pactuadas do SUSP e do PAC; agenda comum com prefeitos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Oposição com projeto para 2030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Paulo, Paraná, Rio de Janeiro, Minas Gerais e demais estados do 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Evitar que o governo federal vire o culpado de tudo; disputar o eleitorado diretamente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Cooperação técnica sem dependência política; presença federal própria nas metrópoles e cidades médias</w:t>
            </w:r>
          </w:p>
        </w:tc>
      </w:tr>
    </w:tbl>
    <w:p>
      <w:pPr>
        <w:pStyle w:val="BodyText"/>
      </w:pPr>
      <w:r>
        <w:t xml:space="preserve">Os governadores reeleitos e eleitos do Sul e do Sudeste serão os candidatos naturais da oposição em 2030, num campo em que o sobrenome Bolsonaro perdeu duas eleições seguidas. O governo federal deve cooperar com eles onde o eleitor exige cooperação (crime organizado, enchentes, infraestrutura) e disputar a autoria das entregas com presença federal visível.</w:t>
      </w:r>
    </w:p>
    <w:p>
      <w:pPr>
        <w:pStyle w:val="BodyText"/>
      </w:pPr>
      <w:r>
        <w:rPr>
          <w:bCs/>
          <w:b/>
        </w:rPr>
        <w:t xml:space="preserve">Municípios.</w:t>
      </w:r>
      <w:r>
        <w:t xml:space="preserve"> </w:t>
      </w:r>
      <w:r>
        <w:t xml:space="preserve">Os cerca de 5.570 prefeitos são os intermediários da relação entre o governo e o eleitor no interior. O governo deve tratar todos os prefeitos com regras iguais e transparentes, e o campo deve se preparar para disputar as prefeituras em 2028 (Parte 11).</w:t>
      </w:r>
    </w:p>
    <w:p>
      <w:r>
        <w:br w:type="page"/>
      </w:r>
    </w:p>
    <w:bookmarkEnd w:id="224"/>
    <w:bookmarkStart w:id="225" w:name="Xc4c028c19654dec3c365fbaf450758b548cebbd"/>
    <w:p>
      <w:pPr>
        <w:pStyle w:val="Heading2"/>
      </w:pPr>
      <w:r>
        <w:t xml:space="preserve">9.5 Inserção internacional e defesa da soberania</w:t>
      </w:r>
    </w:p>
    <w:p>
      <w:pPr>
        <w:pStyle w:val="FirstParagraph"/>
      </w:pPr>
      <w:r>
        <w:rPr>
          <w:bCs/>
          <w:b/>
        </w:rPr>
        <w:t xml:space="preserve">A política externa do quarto mandato tem três objetivos: proteger a economia do choque externo, diversificar parceiros e preservar a autonomia de decisão.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Reduzir as tarifas da Seção 301 e evitar novas sanções, sem negociar instituições nem o Pix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Grupo de trabalho criado em setembro de 2026; coalizões com importadores e estados norte-americanos; interlocução com o Congresso dos EUA após as eleições de 3 de novembro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Ampliar e diversificar as exportações e atrair investimento industrial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Acordos de investimento com conteúdo local e transferência de tecnologia; presidência chinesa do BRICS em 2027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União Europeia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Consolidar o acordo Mercosul–UE e superar as barreiras sanitárias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Aplicação provisória desde maio de 2026; negociação técnica sobre carnes e padrões ambientais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América do Sul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Integração pragmática com governos de qualquer orientação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Infraestrutura, energia, segurança de fronteira e combate ao crime transnacional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Venezuela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Transição negociada com eleições e sem intervenção externa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Diálogo com o governo interino e a oposição; cooperação humanitária e de fronteira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Guerras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Paz negociada e direito internacional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Iniciativa de Brasil e China para a Ucrânia; defesa do direito humanitário no Oriente Médio; atuação na ONU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Minerais críticos e clima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Transformar terras raras e transição energética em indústria nacional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Política de minerais críticos; revisão de aquisições estratégicas; legado da COP30 e fundo de florestas</w:t>
            </w:r>
          </w:p>
        </w:tc>
      </w:tr>
    </w:tbl>
    <w:p>
      <w:pPr>
        <w:pStyle w:val="BodyText"/>
      </w:pPr>
      <w:r>
        <w:t xml:space="preserve">A soberania só convence o eleitor independente quando vem associada a resultados concretos: empregos preservados, preços contidos, investimentos novos. A defesa abstrata da autonomia mobiliza a base, mas não compensou a pauta de segurança e custo de vida no 1º turno de 2026.</w:t>
      </w:r>
    </w:p>
    <w:p>
      <w:r>
        <w:br w:type="page"/>
      </w:r>
    </w:p>
    <w:bookmarkEnd w:id="225"/>
    <w:bookmarkStart w:id="226" w:name="comunicação-de-governo-e-do-campo"/>
    <w:p>
      <w:pPr>
        <w:pStyle w:val="Heading2"/>
      </w:pPr>
      <w:r>
        <w:t xml:space="preserve">9.6 Comunicação de governo e do campo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Indicador-chave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Núcleo de narrativa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as mensagens-mãe e responde em até 1 hora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Equipe profissional pequena, com mandato próprio, separada da comunicação institucional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de resposta; adoção das mensagens pela rede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Comunicação de governo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Presta contas das entregas com assinatura reconhecível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Ministérios e Secom, com painel público de metas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Reconhecimento de autoria dos programas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Rede de criadores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Produz conteúdo nativo e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500 a 2.000 criadores (pastores progressistas, motoboys, professoras, artistas, comerciantes)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Alcance fora da bolha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Mídia própria e aliada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Profundidade e agenda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Canais de vídeo, podcasts, rádios comunitárias, mídia progressista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Audiência recorrente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Resposta rápida e</w:t>
            </w:r>
            <w:r>
              <w:t xml:space="preserve"> </w:t>
            </w:r>
            <w:r>
              <w:rPr>
                <w:iCs/>
                <w:i/>
              </w:rPr>
              <w:t xml:space="preserve">pre-bunking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Antecipa e neutraliza boatos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Monitoramento e produção de contraconteúdo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Boatos neutralizados antes de viralizar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Mede comunidades, pontes e narrativas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Análise de redes, grupos públicos de mensagens, pesquisas qualitativas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Alcance cruzado; mudança de percepção</w:t>
            </w:r>
          </w:p>
        </w:tc>
      </w:tr>
    </w:tbl>
    <w:p>
      <w:pPr>
        <w:pStyle w:val="BodyText"/>
      </w:pPr>
      <w:r>
        <w:t xml:space="preserve">Regras de operação: separar a comunicação de governo, que é institucional, da comunicação do campo, que é política; rosto antes de logotipo; vídeo vertical, áudio e humor; nunca repetir o enquadramento adversário no título; testar mensagens antes de escalar; respeitar a legislação eleitoral sobre impulsionamento e o uso de inteligência artificial, inclusive a proibição de</w:t>
      </w:r>
      <w:r>
        <w:t xml:space="preserve"> </w:t>
      </w:r>
      <w:r>
        <w:rPr>
          <w:iCs/>
          <w:i/>
        </w:rPr>
        <w:t xml:space="preserve">deepfakes</w:t>
      </w:r>
      <w:r>
        <w:t xml:space="preserve">. A legitimidade da eleição de 2026 deve ser tratada com fatos simples e repetidos (a margem de 4,4 milhões de votos, a totalização e o reconhecimento pelos presidentes das Casas), sem amplificar a contestação.</w:t>
      </w:r>
    </w:p>
    <w:p>
      <w:r>
        <w:br w:type="page"/>
      </w:r>
    </w:p>
    <w:bookmarkEnd w:id="226"/>
    <w:bookmarkStart w:id="227" w:name="mobilização-territorial"/>
    <w:p>
      <w:pPr>
        <w:pStyle w:val="Heading2"/>
      </w:pPr>
      <w:r>
        <w:t xml:space="preserve">9.7 Mobilização territorial</w:t>
      </w:r>
    </w:p>
    <w:p>
      <w:pPr>
        <w:pStyle w:val="FirstParagraph"/>
      </w:pPr>
      <w:r>
        <w:t xml:space="preserve">O modelo é o</w:t>
      </w:r>
      <w:r>
        <w:t xml:space="preserve"> </w:t>
      </w:r>
      <w:r>
        <w:rPr>
          <w:bCs/>
          <w:b/>
        </w:rPr>
        <w:t xml:space="preserve">comitê permanente com serviços</w:t>
      </w:r>
      <w:r>
        <w:t xml:space="preserve">, inspirado nas igrejas e nas cozinhas solidárias: presença cotidiana antes de pedir voto.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Desenho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Unidade básica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Comitê de bairro com cerca de 30 ativistas e um coordenador formado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Serviços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Cozinha ou horta, cursinho, apoio a trabalhadores de aplicativo, orientação de direitos (inclusive sobre a jornada de 40 horas), mutirões, atividades culturais e esportivas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Rotina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Reunião mensal aberta; plantão semanal de serviços; escuta estruturada do bairro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Organização relacional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ativista mantém contato regular com cerca de 10 pessoas de sua rede (família, trabalho, igreja)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Cursos curtos de organização comunitária, comunicação e legislação eleitoral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de contatos e demandas com consentimento, conforme a LGPD</w:t>
            </w:r>
          </w:p>
        </w:tc>
      </w:tr>
    </w:tbl>
    <w:p>
      <w:pPr>
        <w:pStyle w:val="BodyText"/>
      </w:pPr>
      <w:r>
        <w:rPr>
          <w:bCs/>
          <w:b/>
        </w:rPr>
        <w:t xml:space="preserve">Escala.</w:t>
      </w:r>
      <w:r>
        <w:t xml:space="preserve"> </w:t>
      </w:r>
      <w:r>
        <w:t xml:space="preserve">Uma meta de 1.500 comitês até 2028 e 2.500 até 2030 significa cerca de 75 mil ativistas e 750 mil contatos diretos regulares em 2030; com as redes secundárias, a ordem de grandeza chega a alguns milhões de eleitores alcançados por contato pessoal. A literatura experimental (Gerber e Green, 2000) indica que esse tipo de contato aumenta o comparecimento, que foi o elo fraco no 1º turno e o fator decisivo no 2º de 2026. Os comitês são do campo político, não do governo: nenhum recurso público financia sua atividade.</w:t>
      </w:r>
    </w:p>
    <w:p>
      <w:r>
        <w:br w:type="page"/>
      </w:r>
    </w:p>
    <w:bookmarkEnd w:id="227"/>
    <w:bookmarkStart w:id="228" w:name="segmentos-prioritários"/>
    <w:p>
      <w:pPr>
        <w:pStyle w:val="Heading2"/>
      </w:pPr>
      <w:r>
        <w:t xml:space="preserve">9.8 Segmentos prioritários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Segmento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Situação em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Barreira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Canal e mensageiro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popular do Nordeste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cerca de 27% do eleitorado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Lula com 68%, mas com menos intensidade que em 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Abstenção; desgaste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Continuidade das conquistas e risco de perdê-las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Governos estaduais, prefeitos, rádios locais, comitês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Periferias metropolitanas do Sudeste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da virada nas capitais de São Paulo e do Rio; Lula vence, a esquerda local perde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Segurança; custo de vida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Proteção, transporte, emprego, combate ao crime organizado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Comitês, criadores locais, igrejas progressistas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Trabalhadores de 2 a 5 salários mínimos, informais e de aplicativo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segmento decisivo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Flávio à frente por 58% a 42%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Linguagem do emprego formal; antipetismo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Autonomia com proteção; 40 horas; renda, previdência e transparência do algoritmo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Criadores da categoria; associações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Evangélicos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cerca de 27%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Desvantagem de 27% a 73%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Pauta moral; desconfiança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Família, dependência química, violência, cuidado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Pastores e lideranças evangélicas progressistas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Católicos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cerca de 57%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Vantagem de 59% a 41%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Pouca mobilização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Fé, dignidade, solidariedade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Pastorais, paróquias, movimentos católicos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Mulheres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Vantagem de 53% a 47%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 de vida; segurança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Creche, renda, combate à violência, saúde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Redes de mulheres, mães, escolas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Homens jovens e de meia-idade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Desvantagem de 46% a 54%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Identidade masculina associada à direita; individualismo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Trabalho, renda, respeito, segurança, esporte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Criadores, esporte, games, motoristas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Pretos e pardos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cerca de 55% da população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Pretos com Lula (61% a 39%); pardos divididos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Distância entre a agenda racial e a vida cotidiana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Segurança sem violência policial, emprego, educação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Cultura periférica, coletivos, igrejas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Jovens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Divididos, com Lula perto de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Desencanto; alta abstenção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Oportunidade, cultura, primeiro emprego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Cultura periférica, esporte, games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Classe média do Sul, Sudeste e Centro-Oeste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Desvantagem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Antipetismo; corrupção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Estabilidade, integridade, segurança, serviços públicos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Lideranças locais não petistas; aliados de centro</w:t>
            </w:r>
          </w:p>
        </w:tc>
      </w:tr>
    </w:tbl>
    <w:p>
      <w:r>
        <w:br w:type="page"/>
      </w:r>
    </w:p>
    <w:bookmarkEnd w:id="228"/>
    <w:bookmarkEnd w:id="229"/>
    <w:bookmarkStart w:id="264" w:name="Xdea82cf91d0241624c836165b7655e7b069463c"/>
    <w:p>
      <w:pPr>
        <w:pStyle w:val="Heading1"/>
      </w:pPr>
      <w:r>
        <w:t xml:space="preserve">Parte 10 · As políticas públicas em detalhe</w:t>
      </w:r>
    </w:p>
    <w:p>
      <w:r>
        <w:br w:type="page"/>
      </w:r>
    </w:p>
    <w:bookmarkStart w:id="236" w:name="X40312a8187de145871ddb2d2a86e9068e936f16"/>
    <w:p>
      <w:pPr>
        <w:pStyle w:val="Heading2"/>
      </w:pPr>
      <w:r>
        <w:t xml:space="preserve">10.1 Segurança pública e combate ao crime organizado</w:t>
      </w:r>
    </w:p>
    <w:p>
      <w:pPr>
        <w:pStyle w:val="FirstParagraph"/>
      </w:pPr>
      <w:r>
        <w:rPr>
          <w:bCs/>
          <w:b/>
        </w:rPr>
        <w:t xml:space="preserve">Objetivo: devolver ao trabalhador a segurança no bairro e no celular e tirar do crime organizado o dinheiro e o território.</w:t>
      </w:r>
      <w:r>
        <w:t xml:space="preserve"> </w:t>
      </w:r>
      <w:r>
        <w:t xml:space="preserve">É a política com maior efeito eleitoral potencial, porque a segurança é um dos temas mais eficazes da extrema direita junto ao eleitor popular (Seções 2.6 e 5.7).</w:t>
      </w:r>
    </w:p>
    <w:p>
      <w:pPr>
        <w:pStyle w:val="CaptionedFigure"/>
      </w:pPr>
      <w:r>
        <w:drawing>
          <wp:inline>
            <wp:extent cx="5334000" cy="2444750"/>
            <wp:effectExtent b="0" l="0" r="0" t="0"/>
            <wp:docPr descr="Figura 49. Fonte: Anuário Brasileiro de Segurança Pública 2026 (dados de 2025), via Revista Segurança." title="" id="231" name="Picture"/>
            <a:graphic>
              <a:graphicData uri="http://schemas.openxmlformats.org/drawingml/2006/picture">
                <pic:pic>
                  <pic:nvPicPr>
                    <pic:cNvPr descr="/home/claude/man/figs/new/g_seguranca_numeros.png" id="232" name="Picture"/>
                    <pic:cNvPicPr>
                      <a:picLocks noChangeArrowheads="1" noChangeAspect="1"/>
                    </pic:cNvPicPr>
                  </pic:nvPicPr>
                  <pic:blipFill>
                    <a:blip r:embed="rId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4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Figura 49.</w:t>
      </w:r>
      <w:r>
        <w:t xml:space="preserve"> </w:t>
      </w:r>
      <w:r>
        <w:t xml:space="preserve">Fonte: Anuário Brasileiro de Segurança Pública 2026 (dados de 2025), via Revista Segurança.</w:t>
      </w:r>
    </w:p>
    <w:p>
      <w:pPr>
        <w:pStyle w:val="BodyText"/>
      </w:pPr>
      <w:r>
        <w:rPr>
          <w:bCs/>
          <w:b/>
        </w:rPr>
        <w:t xml:space="preserve">Diagnóstico.</w:t>
      </w:r>
      <w:r>
        <w:t xml:space="preserve"> </w:t>
      </w:r>
      <w:r>
        <w:t xml:space="preserve">As mortes violentas intencionais caíram para 19,1 por 100 mil em 2025, a menor taxa desde 2012, mas os crimes que o trabalhador sente seguem altos: cerca de 814 mil roubos e furtos de celular e 2,26 milhões de estelionatos por ano. O crime organizado avançou sobre o sistema financeiro, os combustíveis e a política local, e as prisões, com quase 965 mil presos, são um dos seus centros de recrutamento e de comando (Manso e Dias, 2018).</w:t>
      </w:r>
    </w:p>
    <w:p>
      <w:pPr>
        <w:pStyle w:val="CaptionedFigure"/>
      </w:pPr>
      <w:r>
        <w:drawing>
          <wp:inline>
            <wp:extent cx="5334000" cy="2378675"/>
            <wp:effectExtent b="0" l="0" r="0" t="0"/>
            <wp:docPr descr="Figura 50. Fonte: Modelo lógico proposto neste manual." title="" id="234" name="Picture"/>
            <a:graphic>
              <a:graphicData uri="http://schemas.openxmlformats.org/drawingml/2006/picture">
                <pic:pic>
                  <pic:nvPicPr>
                    <pic:cNvPr descr="/home/claude/man/figs/new/g_lm_seguranca.png" id="235" name="Picture"/>
                    <pic:cNvPicPr>
                      <a:picLocks noChangeArrowheads="1" noChangeAspect="1"/>
                    </pic:cNvPicPr>
                  </pic:nvPicPr>
                  <pic:blipFill>
                    <a:blip r:embed="rId2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8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Figura 50.</w:t>
      </w:r>
      <w:r>
        <w:t xml:space="preserve"> </w:t>
      </w:r>
      <w:r>
        <w:t xml:space="preserve">Fonte: Modelo lógico proposto neste manual.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Responsáveis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Dinheiro do crime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Força integrada de PF, Receita, Coaf, Banco Central e ministérios públicos; regulação das fintechs e dos fundos; rastreamento do setor de combustíveis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Ministério da Justiça, Fazenda, Banco 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Bloqueio e confisco de ativos crescentes a cada 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Prisões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Controle das comunicações; separação de lideranças; vagas e trabalho prisional; alternativas penais para crimes sem violência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Ministério da Justiça e estados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Redução do comando das facções a partir das prisões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Território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Policiamento de proximidade nas periferias, com metas pactuadas no SUSP; serviços públicos nas áreas retomadas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Estados com financiamento federal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Áreas dominadas por grupos armados em queda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Celular e golpes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Bloqueio nacional de aparelhos roubados; responsabilização de bancos e plataformas por fraudes no Pix; delegacias digitais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Ministério da Justiça, Anatel, Banco 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Queda de 30% nos roubos e furtos de celular e nos estelionatos até 2030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Juventude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Programas de emprego, cultura e esporte nos territórios mais violentos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Ministérios sociais e prefeituras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Menos jovens recrutados pelo crime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Controle da força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Câmeras corporais, protocolos de uso da força, corregedorias independentes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Estados e Ministério da Justiça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Queda das mortes em intervenções policiais (6.602 em 2025)</w:t>
            </w:r>
          </w:p>
        </w:tc>
      </w:tr>
    </w:tbl>
    <w:p>
      <w:pPr>
        <w:pStyle w:val="BodyText"/>
      </w:pPr>
      <w:r>
        <w:rPr>
          <w:bCs/>
          <w:b/>
        </w:rPr>
        <w:t xml:space="preserve">Tramitação e atores.</w:t>
      </w:r>
      <w:r>
        <w:t xml:space="preserve"> </w:t>
      </w:r>
      <w:r>
        <w:t xml:space="preserve">A integração depende dos governadores, que comandam as polícias: a maioria é de oposição (Seção 9.4). O instrumento é o SUSP com metas por estado e repasses condicionados, que transforma a segurança num jogo de cooperação (Jogo 4, Seção 6.3). No Congresso, a pauta de combate às finanças do crime divide a oposição e pode reunir maioria ampla.</w:t>
      </w:r>
    </w:p>
    <w:p>
      <w:pPr>
        <w:pStyle w:val="BodyText"/>
      </w:pPr>
      <w:r>
        <w:rPr>
          <w:bCs/>
          <w:b/>
        </w:rPr>
        <w:t xml:space="preserve">Financiamento.</w:t>
      </w:r>
      <w:r>
        <w:t xml:space="preserve"> </w:t>
      </w:r>
      <w:r>
        <w:t xml:space="preserve">Fundo Nacional de Segurança Pública, ativos confiscados do crime organizado e receita da regularização do setor de combustíveis.</w:t>
      </w:r>
    </w:p>
    <w:p>
      <w:pPr>
        <w:pStyle w:val="BodyText"/>
      </w:pPr>
      <w:r>
        <w:rPr>
          <w:bCs/>
          <w:b/>
        </w:rPr>
        <w:t xml:space="preserve">Riscos.</w:t>
      </w:r>
      <w:r>
        <w:t xml:space="preserve"> </w:t>
      </w:r>
      <w:r>
        <w:t xml:space="preserve">Captura da agenda pelo punitivismo da bancada de policiais e militares; resistência de governadores; violência policial que deslegitime a política.</w:t>
      </w:r>
      <w:r>
        <w:t xml:space="preserve"> </w:t>
      </w:r>
      <w:r>
        <w:rPr>
          <w:bCs/>
          <w:b/>
        </w:rPr>
        <w:t xml:space="preserve">Comunicação:</w:t>
      </w:r>
      <w:r>
        <w:t xml:space="preserve"> </w:t>
      </w:r>
      <w:r>
        <w:t xml:space="preserve">“</w:t>
      </w:r>
      <w:r>
        <w:t xml:space="preserve">quem manda no bairro é o trabalhador, não a facção</w:t>
      </w:r>
      <w:r>
        <w:t xml:space="preserve">”</w:t>
      </w:r>
      <w:r>
        <w:t xml:space="preserve">, com resultados por cidade.</w:t>
      </w:r>
    </w:p>
    <w:p>
      <w:r>
        <w:br w:type="page"/>
      </w:r>
    </w:p>
    <w:bookmarkEnd w:id="236"/>
    <w:bookmarkStart w:id="240" w:name="custo-de-vida-e-choque-de-energia"/>
    <w:p>
      <w:pPr>
        <w:pStyle w:val="Heading2"/>
      </w:pPr>
      <w:r>
        <w:t xml:space="preserve">10.2 Custo de vida e choque de energia</w:t>
      </w:r>
    </w:p>
    <w:p>
      <w:pPr>
        <w:pStyle w:val="FirstParagraph"/>
      </w:pPr>
      <w:r>
        <w:rPr>
          <w:bCs/>
          <w:b/>
        </w:rPr>
        <w:t xml:space="preserve">Objetivo: impedir que a guerra no Golfo chegue à mesa e ao tanque do trabalhador.</w:t>
      </w:r>
      <w:r>
        <w:t xml:space="preserve"> </w:t>
      </w:r>
      <w:r>
        <w:t xml:space="preserve">Com o Brent perto de US$ 116 e o Estreito de Ormuz fechado, combustíveis, fertilizantes e alimentos são o principal risco econômico e eleitoral do mandato (Seção 1.6).</w:t>
      </w:r>
    </w:p>
    <w:p>
      <w:pPr>
        <w:pStyle w:val="CaptionedFigure"/>
      </w:pPr>
      <w:r>
        <w:drawing>
          <wp:inline>
            <wp:extent cx="5334000" cy="2378675"/>
            <wp:effectExtent b="0" l="0" r="0" t="0"/>
            <wp:docPr descr="Figura 51. Fonte: Modelo lógico proposto neste manual." title="" id="238" name="Picture"/>
            <a:graphic>
              <a:graphicData uri="http://schemas.openxmlformats.org/drawingml/2006/picture">
                <pic:pic>
                  <pic:nvPicPr>
                    <pic:cNvPr descr="/home/claude/man/figs/new/g_lm_custo.png" id="239" name="Picture"/>
                    <pic:cNvPicPr>
                      <a:picLocks noChangeArrowheads="1" noChangeAspect="1"/>
                    </pic:cNvPicPr>
                  </pic:nvPicPr>
                  <pic:blipFill>
                    <a:blip r:embed="rId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8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Figura 51.</w:t>
      </w:r>
      <w:r>
        <w:t xml:space="preserve"> </w:t>
      </w:r>
      <w:r>
        <w:t xml:space="preserve">Fonte: Modelo lógico proposto neste manual.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Combustíveis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Mecanismo de amortecimento do diesel e do gás de cozinha, financiado pela receita extraordinária do petróleo (royalties, participações especiais e dividendos), com regra de saída quando o preço normalizar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Diesel e gás de cozinha sem picos repassados ao consumidor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Fertilizantes e alimentos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Estoques reguladores; contratos de longo prazo com fornecedores fora do Golfo; estímulo à produção nacional de fertilizantes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Inflação de alimentos no domicílio abaixo da inflação geral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Energia elétrica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Tarifa social de energia; revisão de subsídios cruzados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 de luz das famílias de baixa renda estável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Consolidação da isenção do IR até R$ 5 mil, sancionada em novembro de 2025; Bolsa Família com reajuste; salário mínimo com ganho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Renda real em alta para quem ganha até 5 salários mínimos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Crédito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Renegociação de dívidas das famílias e juros menores no consignado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Endividamento das famílias em queda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Restrição.</w:t>
      </w:r>
      <w:r>
        <w:t xml:space="preserve"> </w:t>
      </w:r>
      <w:r>
        <w:t xml:space="preserve">O mecanismo de combustíveis só é sustentável se for temporário e financiado pela receita que o próprio choque gera.</w:t>
      </w:r>
      <w:r>
        <w:t xml:space="preserve"> </w:t>
      </w:r>
      <w:r>
        <w:rPr>
          <w:bCs/>
          <w:b/>
        </w:rPr>
        <w:t xml:space="preserve">Risco:</w:t>
      </w:r>
      <w:r>
        <w:t xml:space="preserve"> </w:t>
      </w:r>
      <w:r>
        <w:t xml:space="preserve">virar subsídio permanente e pressionar o fiscal, o câmbio e os juros.</w:t>
      </w:r>
      <w:r>
        <w:t xml:space="preserve"> </w:t>
      </w:r>
      <w:r>
        <w:rPr>
          <w:bCs/>
          <w:b/>
        </w:rPr>
        <w:t xml:space="preserve">Comunicação:</w:t>
      </w:r>
      <w:r>
        <w:t xml:space="preserve"> </w:t>
      </w:r>
      <w:r>
        <w:t xml:space="preserve">“</w:t>
      </w:r>
      <w:r>
        <w:t xml:space="preserve">a guerra é lá fora; aqui, quem trabalha está protegido</w:t>
      </w:r>
      <w:r>
        <w:t xml:space="preserve">”</w:t>
      </w:r>
      <w:r>
        <w:t xml:space="preserve">.</w:t>
      </w:r>
    </w:p>
    <w:p>
      <w:r>
        <w:br w:type="page"/>
      </w:r>
    </w:p>
    <w:bookmarkEnd w:id="240"/>
    <w:bookmarkStart w:id="247" w:name="X0f28343bdf4f404fda98d79f0eb2c827ea0f8bb"/>
    <w:p>
      <w:pPr>
        <w:pStyle w:val="Heading2"/>
      </w:pPr>
      <w:r>
        <w:t xml:space="preserve">10.3 Trabalho: 40 horas e proteção ao trabalhador de plataforma</w:t>
      </w:r>
    </w:p>
    <w:p>
      <w:pPr>
        <w:pStyle w:val="FirstParagraph"/>
      </w:pPr>
      <w:r>
        <w:rPr>
          <w:bCs/>
          <w:b/>
        </w:rPr>
        <w:t xml:space="preserve">Objetivo: transformar o fim da escala 6x1 na principal conquista do mandato e estender proteção a quem trabalha por aplicativo.</w:t>
      </w:r>
    </w:p>
    <w:p>
      <w:pPr>
        <w:pStyle w:val="CaptionedFigure"/>
      </w:pPr>
      <w:r>
        <w:drawing>
          <wp:inline>
            <wp:extent cx="5334000" cy="2148416"/>
            <wp:effectExtent b="0" l="0" r="0" t="0"/>
            <wp:docPr descr="Figura 52. Fonte: Emenda constitucional promulgada em outubro de 2026, segundo o Poder360; datas aproximadas a partir da publicação." title="" id="242" name="Picture"/>
            <a:graphic>
              <a:graphicData uri="http://schemas.openxmlformats.org/drawingml/2006/picture">
                <pic:pic>
                  <pic:nvPicPr>
                    <pic:cNvPr descr="/home/claude/man/figs/new/g_40h.png" id="243" name="Picture"/>
                    <pic:cNvPicPr>
                      <a:picLocks noChangeArrowheads="1" noChangeAspect="1"/>
                    </pic:cNvPicPr>
                  </pic:nvPicPr>
                  <pic:blipFill>
                    <a:blip r:embed="rId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48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Figura 52.</w:t>
      </w:r>
      <w:r>
        <w:t xml:space="preserve"> </w:t>
      </w:r>
      <w:r>
        <w:t xml:space="preserve">Fonte: Emenda constitucional promulgada em outubro de 2026, segundo o Poder360; datas aproximadas a partir da publicação.</w:t>
      </w:r>
    </w:p>
    <w:p>
      <w:pPr>
        <w:pStyle w:val="BodyText"/>
      </w:pPr>
      <w:r>
        <w:rPr>
          <w:bCs/>
          <w:b/>
        </w:rPr>
        <w:t xml:space="preserve">Diagnóstico.</w:t>
      </w:r>
      <w:r>
        <w:t xml:space="preserve"> </w:t>
      </w:r>
      <w:r>
        <w:t xml:space="preserve">A emenda promulgada em 16 de outubro de 2026 reduz a jornada máxima de 44 para 42 horas 60 dias após a publicação e para 40 horas em 14 meses, com dois dias de descanso semanal remunerado e limite diário de 8 horas. É uma conquista que fala diretamente ao trabalhador de serviços e do comércio, concentrado na faixa de 2 a 5 salários mínimos, em que Lula perdeu por 42% a 58%. Ao mesmo tempo, os trabalhadores de plataforma seguem sem previdência, sem renda mínima e sem transparência sobre as regras do algoritmo (Seção 2.3).</w:t>
      </w:r>
    </w:p>
    <w:p>
      <w:pPr>
        <w:pStyle w:val="CaptionedFigure"/>
      </w:pPr>
      <w:r>
        <w:drawing>
          <wp:inline>
            <wp:extent cx="5334000" cy="2378675"/>
            <wp:effectExtent b="0" l="0" r="0" t="0"/>
            <wp:docPr descr="Figura 53. Fonte: Modelo lógico proposto neste manual." title="" id="245" name="Picture"/>
            <a:graphic>
              <a:graphicData uri="http://schemas.openxmlformats.org/drawingml/2006/picture">
                <pic:pic>
                  <pic:nvPicPr>
                    <pic:cNvPr descr="/home/claude/man/figs/new/g_lm_trabalho.png" id="246" name="Picture"/>
                    <pic:cNvPicPr>
                      <a:picLocks noChangeArrowheads="1" noChangeAspect="1"/>
                    </pic:cNvPicPr>
                  </pic:nvPicPr>
                  <pic:blipFill>
                    <a:blip r:embed="rId2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8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Figura 53.</w:t>
      </w:r>
      <w:r>
        <w:t xml:space="preserve"> </w:t>
      </w:r>
      <w:r>
        <w:t xml:space="preserve">Fonte: Modelo lógico proposto neste manual.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Transição das 40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Regulamentação, fiscalização e mesas de negociação por setor; apoio técnico e crédito a pequenas empresas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horas em vigor no prazo, sem perda de emprego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Plataformas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Marco do trabalho por plataforma: remuneração mínima por hora trabalhada, contribuição previdenciária, seguro contra acidentes e transparência das regras de bloqueio e de tarifa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Trabalhador de aplicativo com proteção social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Formação técnica ligada à reindustrialização e aos serviços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Mais trabalhadores em ocupações de maior renda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Apoio a associações de trabalhadores de aplicativo e a novas formas de representação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Representação reconhecida nas negociações</w:t>
            </w:r>
          </w:p>
        </w:tc>
      </w:tr>
    </w:tbl>
    <w:p>
      <w:pPr>
        <w:pStyle w:val="BodyText"/>
      </w:pPr>
      <w:r>
        <w:rPr>
          <w:bCs/>
          <w:b/>
        </w:rPr>
        <w:t xml:space="preserve">Atores.</w:t>
      </w:r>
      <w:r>
        <w:t xml:space="preserve"> </w:t>
      </w:r>
      <w:r>
        <w:t xml:space="preserve">Centrais sindicais, associações de entregadores e motoristas, confederações empresariais e plataformas.</w:t>
      </w:r>
      <w:r>
        <w:t xml:space="preserve"> </w:t>
      </w:r>
      <w:r>
        <w:rPr>
          <w:bCs/>
          <w:b/>
        </w:rPr>
        <w:t xml:space="preserve">Risco:</w:t>
      </w:r>
      <w:r>
        <w:t xml:space="preserve"> </w:t>
      </w:r>
      <w:r>
        <w:t xml:space="preserve">resistência empresarial e narrativa de perda de empregos.</w:t>
      </w:r>
      <w:r>
        <w:t xml:space="preserve"> </w:t>
      </w:r>
      <w:r>
        <w:rPr>
          <w:bCs/>
          <w:b/>
        </w:rPr>
        <w:t xml:space="preserve">Comunicação:</w:t>
      </w:r>
      <w:r>
        <w:t xml:space="preserve"> </w:t>
      </w:r>
      <w:r>
        <w:t xml:space="preserve">“</w:t>
      </w:r>
      <w:r>
        <w:t xml:space="preserve">mais tempo com a família</w:t>
      </w:r>
      <w:r>
        <w:t xml:space="preserve">”</w:t>
      </w:r>
      <w:r>
        <w:t xml:space="preserve">, contada por trabalhadores que ganharam o segundo dia de folga.</w:t>
      </w:r>
    </w:p>
    <w:p>
      <w:r>
        <w:br w:type="page"/>
      </w:r>
    </w:p>
    <w:bookmarkEnd w:id="247"/>
    <w:bookmarkStart w:id="251" w:name="saúde-e-cuidado"/>
    <w:p>
      <w:pPr>
        <w:pStyle w:val="Heading2"/>
      </w:pPr>
      <w:r>
        <w:t xml:space="preserve">10.4 Saúde e cuidado</w:t>
      </w:r>
    </w:p>
    <w:p>
      <w:pPr>
        <w:pStyle w:val="FirstParagraph"/>
      </w:pPr>
      <w:r>
        <w:rPr>
          <w:bCs/>
          <w:b/>
        </w:rPr>
        <w:t xml:space="preserve">Objetivo: reduzir a fila do especialista, do exame e da cirurgia e criar uma rede de cuidado para quem cuida.</w:t>
      </w:r>
      <w:r>
        <w:t xml:space="preserve"> </w:t>
      </w:r>
      <w:r>
        <w:t xml:space="preserve">A fila é a experiência mais concreta do SUS para o eleitor, e o cuidado de crianças, idosos e pessoas com deficiência recai sobretudo sobre as mulheres, segmento em que a vantagem do campo é moderada (53% a 47%).</w:t>
      </w:r>
    </w:p>
    <w:p>
      <w:pPr>
        <w:pStyle w:val="CaptionedFigure"/>
      </w:pPr>
      <w:r>
        <w:drawing>
          <wp:inline>
            <wp:extent cx="5334000" cy="2378675"/>
            <wp:effectExtent b="0" l="0" r="0" t="0"/>
            <wp:docPr descr="Figura 54. Fonte: Modelo lógico proposto neste manual." title="" id="249" name="Picture"/>
            <a:graphic>
              <a:graphicData uri="http://schemas.openxmlformats.org/drawingml/2006/picture">
                <pic:pic>
                  <pic:nvPicPr>
                    <pic:cNvPr descr="/home/claude/man/figs/new/g_lm_saude.png" id="250" name="Picture"/>
                    <pic:cNvPicPr>
                      <a:picLocks noChangeArrowheads="1" noChangeAspect="1"/>
                    </pic:cNvPicPr>
                  </pic:nvPicPr>
                  <pic:blipFill>
                    <a:blip r:embed="rId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8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Figura 54.</w:t>
      </w:r>
      <w:r>
        <w:t xml:space="preserve"> </w:t>
      </w:r>
      <w:r>
        <w:t xml:space="preserve">Fonte: Modelo lógico proposto neste manual.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Fila 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Fila única e transparente por município e especialidade, consultável pelo cidadão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de espera publicado em todos os municípios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Especialistas e exames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Contratação regionalizada, telessaúde e mutirões com prioridade para câncer, cardiologia e ortopedia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de espera em queda em todas as regiões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Cuidado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Política nacional de cuidados: creches, centros-dia para idosos, apoio a cuidadoras e cuidadores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Mais vagas em creche e cuidado diário nas periferias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Saúde mental e dependência química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Rede de atenção psicossocial com participação de comunidades religiosas e organizações locais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Tratamento acessível nas periferias</w:t>
            </w:r>
          </w:p>
        </w:tc>
      </w:tr>
    </w:tbl>
    <w:p>
      <w:pPr>
        <w:pStyle w:val="BodyText"/>
      </w:pPr>
      <w:r>
        <w:rPr>
          <w:bCs/>
          <w:b/>
        </w:rPr>
        <w:t xml:space="preserve">Atores.</w:t>
      </w:r>
      <w:r>
        <w:t xml:space="preserve"> </w:t>
      </w:r>
      <w:r>
        <w:t xml:space="preserve">Estados e municípios (gestores do SUS), conselhos de saúde, filantrópicas e comunidades religiosas.</w:t>
      </w:r>
      <w:r>
        <w:t xml:space="preserve"> </w:t>
      </w:r>
      <w:r>
        <w:rPr>
          <w:bCs/>
          <w:b/>
        </w:rPr>
        <w:t xml:space="preserve">Risco:</w:t>
      </w:r>
      <w:r>
        <w:t xml:space="preserve"> </w:t>
      </w:r>
      <w:r>
        <w:t xml:space="preserve">promessa de fila zero sem capacidade de oferta.</w:t>
      </w:r>
      <w:r>
        <w:t xml:space="preserve"> </w:t>
      </w:r>
      <w:r>
        <w:rPr>
          <w:bCs/>
          <w:b/>
        </w:rPr>
        <w:t xml:space="preserve">Comunicação:</w:t>
      </w:r>
      <w:r>
        <w:t xml:space="preserve"> </w:t>
      </w:r>
      <w:r>
        <w:t xml:space="preserve">“</w:t>
      </w:r>
      <w:r>
        <w:t xml:space="preserve">a sua vez chegou</w:t>
      </w:r>
      <w:r>
        <w:t xml:space="preserve">”</w:t>
      </w:r>
      <w:r>
        <w:t xml:space="preserve">, com a fila visível no celular.</w:t>
      </w:r>
    </w:p>
    <w:p>
      <w:r>
        <w:br w:type="page"/>
      </w:r>
    </w:p>
    <w:bookmarkEnd w:id="251"/>
    <w:bookmarkStart w:id="255" w:name="X851ab233687218a7fd3e46546aa13b9abff9b83"/>
    <w:p>
      <w:pPr>
        <w:pStyle w:val="Heading2"/>
      </w:pPr>
      <w:r>
        <w:t xml:space="preserve">10.5 Desenvolvimento, indústria e minerais críticos</w:t>
      </w:r>
    </w:p>
    <w:p>
      <w:pPr>
        <w:pStyle w:val="FirstParagraph"/>
      </w:pPr>
      <w:r>
        <w:rPr>
          <w:bCs/>
          <w:b/>
        </w:rPr>
        <w:t xml:space="preserve">Objetivo: sair da semiperiferia estagnada pela reindustrialização ligada à transição energética e aos minerais críticos.</w:t>
      </w:r>
      <w:r>
        <w:t xml:space="preserve"> </w:t>
      </w:r>
      <w:r>
        <w:t xml:space="preserve">O Brasil tem a segunda maior reserva de terras raras do mundo, mas a indústria de transformação caiu para 10% a 12% do PIB na década de 2020 (11,8% no dado mais recente), e os manufaturados para 23% das exportações (Seção 1.2).</w:t>
      </w:r>
    </w:p>
    <w:p>
      <w:pPr>
        <w:pStyle w:val="CaptionedFigure"/>
      </w:pPr>
      <w:r>
        <w:drawing>
          <wp:inline>
            <wp:extent cx="5334000" cy="2378675"/>
            <wp:effectExtent b="0" l="0" r="0" t="0"/>
            <wp:docPr descr="Figura 55. Fonte: Modelo lógico proposto neste manual." title="" id="253" name="Picture"/>
            <a:graphic>
              <a:graphicData uri="http://schemas.openxmlformats.org/drawingml/2006/picture">
                <pic:pic>
                  <pic:nvPicPr>
                    <pic:cNvPr descr="/home/claude/man/figs/new/g_lm_industria.png" id="254" name="Picture"/>
                    <pic:cNvPicPr>
                      <a:picLocks noChangeArrowheads="1" noChangeAspect="1"/>
                    </pic:cNvPicPr>
                  </pic:nvPicPr>
                  <pic:blipFill>
                    <a:blip r:embed="rId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8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Figura 55.</w:t>
      </w:r>
      <w:r>
        <w:t xml:space="preserve"> </w:t>
      </w:r>
      <w:r>
        <w:t xml:space="preserve">Fonte: Modelo lógico proposto neste manual.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Minerais críticos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Política nacional com beneficiamento no país, conteúdo local e revisão de aquisições estratégicas por estrangeiros, como a compra da Serra Verde (GO), sob revisão do CADE desde maio de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Cadeias de terras raras, lítio e níquel com etapas industriais no Brasil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Transição energética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Hidrogênio verde, eólica, solar, biocombustíveis e redes de transmissão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Investimento em energia limpa crescente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Indústria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Crédito do BNDES, compras públicas, inovação e infraestrutura logística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Indústria de transformação acima de 12% do PIB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Inserção externa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Acordo Mercosul–UE; investimentos chineses com transferência de tecnologia; negociação das tarifas com os EUA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Exportações de manufaturados em 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Território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Polos regionais em cidades médias do Sul, Sudeste e Centro-Oeste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Emprego industrial fora das capitais</w:t>
            </w:r>
          </w:p>
        </w:tc>
      </w:tr>
    </w:tbl>
    <w:p>
      <w:pPr>
        <w:pStyle w:val="BodyText"/>
      </w:pPr>
      <w:r>
        <w:rPr>
          <w:bCs/>
          <w:b/>
        </w:rPr>
        <w:t xml:space="preserve">Atores.</w:t>
      </w:r>
      <w:r>
        <w:t xml:space="preserve"> </w:t>
      </w:r>
      <w:r>
        <w:t xml:space="preserve">Indústria, agro exportador, mineradoras, governos estaduais, BNDES, investidores estrangeiros.</w:t>
      </w:r>
      <w:r>
        <w:t xml:space="preserve"> </w:t>
      </w:r>
      <w:r>
        <w:rPr>
          <w:bCs/>
          <w:b/>
        </w:rPr>
        <w:t xml:space="preserve">Risco:</w:t>
      </w:r>
      <w:r>
        <w:t xml:space="preserve"> </w:t>
      </w:r>
      <w:r>
        <w:t xml:space="preserve">captura por interesses setoriais e disputa geopolítica entre EUA e China pelos minerais.</w:t>
      </w:r>
      <w:r>
        <w:t xml:space="preserve"> </w:t>
      </w:r>
      <w:r>
        <w:rPr>
          <w:bCs/>
          <w:b/>
        </w:rPr>
        <w:t xml:space="preserve">Comunicação:</w:t>
      </w:r>
      <w:r>
        <w:t xml:space="preserve"> </w:t>
      </w:r>
      <w:r>
        <w:t xml:space="preserve">“</w:t>
      </w:r>
      <w:r>
        <w:t xml:space="preserve">o Brasil que produz e exporta tecnologia, e não só matéria-prima</w:t>
      </w:r>
      <w:r>
        <w:t xml:space="preserve">”</w:t>
      </w:r>
      <w:r>
        <w:t xml:space="preserve">.</w:t>
      </w:r>
    </w:p>
    <w:p>
      <w:r>
        <w:br w:type="page"/>
      </w:r>
    </w:p>
    <w:bookmarkEnd w:id="255"/>
    <w:bookmarkStart w:id="259" w:name="soberania-digital-e-inovação"/>
    <w:p>
      <w:pPr>
        <w:pStyle w:val="Heading2"/>
      </w:pPr>
      <w:r>
        <w:t xml:space="preserve">10.6 Soberania digital e inovação</w:t>
      </w:r>
    </w:p>
    <w:p>
      <w:pPr>
        <w:pStyle w:val="FirstParagraph"/>
      </w:pPr>
      <w:r>
        <w:rPr>
          <w:bCs/>
          <w:b/>
        </w:rPr>
        <w:t xml:space="preserve">Objetivo: proteger famílias, crianças e pequenos negócios no ambiente digital e reduzir a dependência de plataformas estrangeiras.</w:t>
      </w:r>
      <w:r>
        <w:t xml:space="preserve"> </w:t>
      </w:r>
      <w:r>
        <w:t xml:space="preserve">As plataformas organizam a esfera pública, os estelionatos somaram 2,26 milhões de registros em 2025, em grande parte por meios digitais, e a desinformação é o principal instrumento da hiper-realidade da extrema direita (Seções 4.4 e 5.6).</w:t>
      </w:r>
    </w:p>
    <w:p>
      <w:pPr>
        <w:pStyle w:val="CaptionedFigure"/>
      </w:pPr>
      <w:r>
        <w:drawing>
          <wp:inline>
            <wp:extent cx="5334000" cy="2378675"/>
            <wp:effectExtent b="0" l="0" r="0" t="0"/>
            <wp:docPr descr="Figura 56. Fonte: Modelo lógico proposto neste manual." title="" id="257" name="Picture"/>
            <a:graphic>
              <a:graphicData uri="http://schemas.openxmlformats.org/drawingml/2006/picture">
                <pic:pic>
                  <pic:nvPicPr>
                    <pic:cNvPr descr="/home/claude/man/figs/new/g_lm_digital.png" id="258" name="Picture"/>
                    <pic:cNvPicPr>
                      <a:picLocks noChangeArrowheads="1" noChangeAspect="1"/>
                    </pic:cNvPicPr>
                  </pic:nvPicPr>
                  <pic:blipFill>
                    <a:blip r:embed="rId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8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Figura 56.</w:t>
      </w:r>
      <w:r>
        <w:t xml:space="preserve"> </w:t>
      </w:r>
      <w:r>
        <w:t xml:space="preserve">Fonte: Modelo lógico proposto neste manual.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Plataformas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 de responsabilidade das plataformas por conteúdo impulsionado e monetizado, com dever de cuidado e transparência dos algoritmos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 em vigor e aplicada por órgão regulador independente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Crianças on-line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Aplicação do Estatuto Digital da Criança e do Adolescente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Verificação de idade e controles parentais efetivos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Responsabilidade compartilhada de bancos, operadoras e plataformas por fraudes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Queda dos estelionatos digitais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Pix e infraestrutura 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Defesa do Pix diante da pressão dos EUA; infraestrutura pública de 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Pix preservado como bem público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Inteligência artificial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Regras para IA e data centers, com uso de energia limpa e proteção de 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Investimento com regras nacionais</w:t>
            </w:r>
          </w:p>
        </w:tc>
      </w:tr>
    </w:tbl>
    <w:p>
      <w:pPr>
        <w:pStyle w:val="BodyText"/>
      </w:pPr>
      <w:r>
        <w:rPr>
          <w:bCs/>
          <w:b/>
        </w:rPr>
        <w:t xml:space="preserve">Atores.</w:t>
      </w:r>
      <w:r>
        <w:t xml:space="preserve"> </w:t>
      </w:r>
      <w:r>
        <w:t xml:space="preserve">Big techs (atores dominantes na rede, Seção 6.2), governo dos EUA, Congresso, STF, organizações da sociedade civil.</w:t>
      </w:r>
      <w:r>
        <w:t xml:space="preserve"> </w:t>
      </w:r>
      <w:r>
        <w:rPr>
          <w:bCs/>
          <w:b/>
        </w:rPr>
        <w:t xml:space="preserve">Risco:</w:t>
      </w:r>
      <w:r>
        <w:t xml:space="preserve"> </w:t>
      </w:r>
      <w:r>
        <w:t xml:space="preserve">narrativa de</w:t>
      </w:r>
      <w:r>
        <w:t xml:space="preserve"> </w:t>
      </w:r>
      <w:r>
        <w:t xml:space="preserve">“</w:t>
      </w:r>
      <w:r>
        <w:t xml:space="preserve">censura</w:t>
      </w:r>
      <w:r>
        <w:t xml:space="preserve">”</w:t>
      </w:r>
      <w:r>
        <w:t xml:space="preserve"> </w:t>
      </w:r>
      <w:r>
        <w:t xml:space="preserve">e pressão externa.</w:t>
      </w:r>
      <w:r>
        <w:t xml:space="preserve"> </w:t>
      </w:r>
      <w:r>
        <w:rPr>
          <w:bCs/>
          <w:b/>
        </w:rPr>
        <w:t xml:space="preserve">Comunicação:</w:t>
      </w:r>
      <w:r>
        <w:t xml:space="preserve"> </w:t>
      </w:r>
      <w:r>
        <w:t xml:space="preserve">proteção das crianças e combate aos golpes, e não controle do debate político.</w:t>
      </w:r>
    </w:p>
    <w:p>
      <w:r>
        <w:br w:type="page"/>
      </w:r>
    </w:p>
    <w:bookmarkEnd w:id="259"/>
    <w:bookmarkStart w:id="263" w:name="integridade-e-eficiência"/>
    <w:p>
      <w:pPr>
        <w:pStyle w:val="Heading2"/>
      </w:pPr>
      <w:r>
        <w:t xml:space="preserve">10.7 Integridade e eficiência</w:t>
      </w:r>
    </w:p>
    <w:p>
      <w:pPr>
        <w:pStyle w:val="FirstParagraph"/>
      </w:pPr>
      <w:r>
        <w:rPr>
          <w:bCs/>
          <w:b/>
        </w:rPr>
        <w:t xml:space="preserve">Objetivo: tirar da extrema direita o monopólio do tema da corrupção.</w:t>
      </w:r>
      <w:r>
        <w:t xml:space="preserve"> </w:t>
      </w:r>
      <w:r>
        <w:t xml:space="preserve">O antipetismo se consolidou a partir da associação entre o PT e a corrupção (Seção 4.1), e as fraudes no INSS mostraram o custo de reagir tarde.</w:t>
      </w:r>
    </w:p>
    <w:p>
      <w:pPr>
        <w:pStyle w:val="CaptionedFigure"/>
      </w:pPr>
      <w:r>
        <w:drawing>
          <wp:inline>
            <wp:extent cx="5334000" cy="2378675"/>
            <wp:effectExtent b="0" l="0" r="0" t="0"/>
            <wp:docPr descr="Figura 57. Fonte: Modelo lógico proposto neste manual." title="" id="261" name="Picture"/>
            <a:graphic>
              <a:graphicData uri="http://schemas.openxmlformats.org/drawingml/2006/picture">
                <pic:pic>
                  <pic:nvPicPr>
                    <pic:cNvPr descr="/home/claude/man/figs/new/g_lm_integridade.png" id="262" name="Picture"/>
                    <pic:cNvPicPr>
                      <a:picLocks noChangeArrowheads="1" noChangeAspect="1"/>
                    </pic:cNvPicPr>
                  </pic:nvPicPr>
                  <pic:blipFill>
                    <a:blip r:embed="rId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8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Figura 57.</w:t>
      </w:r>
      <w:r>
        <w:t xml:space="preserve"> </w:t>
      </w:r>
      <w:r>
        <w:t xml:space="preserve">Fonte: Modelo lógico proposto neste manual.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Emendas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Painel público por parlamentar, município e obra; rastreabilidade total das transferências especiais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 emenda rastreável em tempo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Fraudes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Ressarcimento integral das vítimas das fraudes no INSS; auditoria contínua de descontos e benefícios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Nenhuma vítima sem ressarcimento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Resposta a escândalos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Protocolo de resposta em até 30 dias: afastamento, investigação, ressarcimento e prestação de contas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 escândalo sem resposta pública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Metas por ministério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Painel de metas e entregas, com revisão semestral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Ministérios avaliados por resultados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Compras públicas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Dados abertos e inteligência artificial para detectar sobrepreço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Economia mensurável nas compras</w:t>
            </w:r>
          </w:p>
        </w:tc>
      </w:tr>
    </w:tbl>
    <w:p>
      <w:pPr>
        <w:pStyle w:val="BodyText"/>
      </w:pPr>
      <w:r>
        <w:rPr>
          <w:bCs/>
          <w:b/>
        </w:rPr>
        <w:t xml:space="preserve">Atores.</w:t>
      </w:r>
      <w:r>
        <w:t xml:space="preserve"> </w:t>
      </w:r>
      <w:r>
        <w:t xml:space="preserve">CGU, TCU, Polícia Federal, ministérios públicos, imprensa e sociedade civil.</w:t>
      </w:r>
      <w:r>
        <w:t xml:space="preserve"> </w:t>
      </w:r>
      <w:r>
        <w:rPr>
          <w:bCs/>
          <w:b/>
        </w:rPr>
        <w:t xml:space="preserve">Risco:</w:t>
      </w:r>
      <w:r>
        <w:t xml:space="preserve"> </w:t>
      </w:r>
      <w:r>
        <w:t xml:space="preserve">a transparência expor aliados do próprio governo. Esse risco é o preço da credibilidade.</w:t>
      </w:r>
      <w:r>
        <w:t xml:space="preserve"> </w:t>
      </w:r>
      <w:r>
        <w:rPr>
          <w:bCs/>
          <w:b/>
        </w:rPr>
        <w:t xml:space="preserve">Comunicação:</w:t>
      </w:r>
      <w:r>
        <w:t xml:space="preserve"> </w:t>
      </w:r>
      <w:r>
        <w:t xml:space="preserve">“</w:t>
      </w:r>
      <w:r>
        <w:t xml:space="preserve">quem rouba aposentado é punido e devolve</w:t>
      </w:r>
      <w:r>
        <w:t xml:space="preserve">”</w:t>
      </w:r>
      <w:r>
        <w:t xml:space="preserve">.</w:t>
      </w:r>
    </w:p>
    <w:p>
      <w:r>
        <w:br w:type="page"/>
      </w:r>
    </w:p>
    <w:bookmarkEnd w:id="263"/>
    <w:bookmarkEnd w:id="264"/>
    <w:bookmarkStart w:id="274" w:name="X4d2a985308a02cca96c535347eb20b99d55b554"/>
    <w:p>
      <w:pPr>
        <w:pStyle w:val="Heading1"/>
      </w:pPr>
      <w:r>
        <w:t xml:space="preserve">Parte 11 · Eleições de 2028 e sucessão de 2030</w:t>
      </w:r>
    </w:p>
    <w:p>
      <w:r>
        <w:br w:type="page"/>
      </w:r>
    </w:p>
    <w:bookmarkStart w:id="265" w:name="Xe672984c36c7a1accd7cd23bb2fd1141e800aec"/>
    <w:p>
      <w:pPr>
        <w:pStyle w:val="Heading2"/>
      </w:pPr>
      <w:r>
        <w:t xml:space="preserve">11.1 A base municipal: onde o campo parte em 2028</w:t>
      </w:r>
    </w:p>
    <w:p>
      <w:pPr>
        <w:pStyle w:val="FirstParagraph"/>
      </w:pPr>
      <w:r>
        <w:rPr>
          <w:bCs/>
          <w:b/>
        </w:rPr>
        <w:t xml:space="preserve">O PT governa 252 municípios e uma capital; o centro governa a maior parte do país.</w:t>
      </w:r>
      <w:r>
        <w:t xml:space="preserve"> </w:t>
      </w:r>
      <w:r>
        <w:t xml:space="preserve">Em 2024, o PSD elegeu 887 prefeitos, o MDB 854, o PP 747, o União 584, o PL 516, o Republicanos 435, o PSB 309, o PSDB 274 e o PT 252, em nono lugar. Entre as capitais, o PT venceu só Fortaleza, por 50,38% a 49,62%; PSD e MDB venceram cinco cada, e o PL, quatro.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Prefeitos eleitos em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Capitais em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5: São Luís, Florianópolis, Rio de Janeiro, Belo Horizonte, Curitiba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5: Macapá, Boa Vista, São Paulo, Porto Alegre, Belém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2: Campo Grande, João Pessoa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4: Teresina, Salvador, Goiânia, Natal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4: Rio Branco, Maceió, Cuiabá, Aracaju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Republicanos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 Vitória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 Recife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 Fortaleza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1: Manaus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Podemos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2: Porto Velho, Palmas</w:t>
            </w:r>
          </w:p>
        </w:tc>
      </w:tr>
    </w:tbl>
    <w:p>
      <w:pPr>
        <w:pStyle w:val="BodyText"/>
      </w:pPr>
      <w:r>
        <w:t xml:space="preserve">O contraste com a eleição presidencial é o principal dado estratégico. Lula venceu em 2.875 municípios no 2º turno de 2026, mais de dez vezes o número de prefeituras do PT. Venceu em 13 capitais, entre elas São Paulo, Rio de Janeiro, Porto Alegre, Salvador, Belém e Recife, nenhuma governada pelo PT. Essa distância entre o voto em Lula e a força local é o principal desperdício político do campo, e 2028 é a primeira oportunidade de reduzi-la.</w:t>
      </w:r>
    </w:p>
    <w:p>
      <w:r>
        <w:br w:type="page"/>
      </w:r>
    </w:p>
    <w:bookmarkEnd w:id="265"/>
    <w:bookmarkStart w:id="266" w:name="estratégia-para-2028"/>
    <w:p>
      <w:pPr>
        <w:pStyle w:val="Heading2"/>
      </w:pPr>
      <w:r>
        <w:t xml:space="preserve">11.2 Estratégia para 2028</w:t>
      </w:r>
    </w:p>
    <w:p>
      <w:pPr>
        <w:pStyle w:val="FirstParagraph"/>
      </w:pPr>
      <w:r>
        <w:rPr>
          <w:bCs/>
          <w:b/>
        </w:rPr>
        <w:t xml:space="preserve">Meta.</w:t>
      </w:r>
      <w:r>
        <w:t xml:space="preserve"> </w:t>
      </w:r>
      <w:r>
        <w:t xml:space="preserve">Voltar ao patamar de 2008 (cerca de 560 prefeituras do PT), ampliar o número de vereadores e governar ao menos cinco capitais com o campo (PT, PSB, PSOL, PCdoB, PDT e aliados). A eleição municipal de 2028 é a eleição-ponte: define os cabos eleitorais, as máquinas e as lideranças de 2030.</w:t>
      </w:r>
    </w:p>
    <w:p>
      <w:pPr>
        <w:pStyle w:val="BodyText"/>
      </w:pPr>
      <w:r>
        <w:rPr>
          <w:bCs/>
          <w:b/>
        </w:rPr>
        <w:t xml:space="preserve">Tipologia de municípios.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Estratégia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Redutos do voto Lula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Nordeste, interior do Pará e do Amazonas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Lula venceu com folga; o PT governa poucos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Converter voto presidencial em prefeituras com governos estaduais aliados; candidaturas próprias ou de aliados do PSD e do MDB onde o PT não tem nome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Capitais e grandes cidades em que Lula venceu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Paulo, Rio, Porto Alegre, Belém, Salvador, Recife, Fortaleza, Teresina, São Luís, Natal, João Pessoa, Aracaju, Macapá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Voto presidencial à esquerda; a maioria das prefeituras com o centro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Candidatura única do campo, escolhida até o fim de 2027 por pesquisa e consenso; frente com o centro no 2º turno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Periferias metropolitanas do Sudeste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Grande São Paulo e Baixada Fluminense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Metrópoles onde Lula virou ou ampliou a votação em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Vereadores ligados aos comitês; prefeituras de cidades médias da Grande São Paulo e da Baixada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Cidades médias do Sul, Sudeste e Centro-Oeste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Interior de SP, MG, PR, SC, RS, GO e MT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Desvantagem estrutural; antipetismo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Lideranças locais não petistas; alianças com o centro; agenda de serviços e integridade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Municípios pequenos que mudaram para a direita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 municípios que trocaram Lula por Flávio desde 2022, quase todos com menos de 10 mil votos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Perda de intensidade e de mediadores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Prefeitos aliados, programas federais com assinatura e presença de comitês nos polos regionais</w:t>
            </w:r>
          </w:p>
        </w:tc>
      </w:tr>
    </w:tbl>
    <w:p>
      <w:pPr>
        <w:pStyle w:val="BodyText"/>
      </w:pPr>
      <w:r>
        <w:rPr>
          <w:bCs/>
          <w:b/>
        </w:rPr>
        <w:t xml:space="preserve">Regras para 2028.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Unidade nas capitais.</w:t>
      </w:r>
      <w:r>
        <w:t xml:space="preserve"> </w:t>
      </w:r>
      <w:r>
        <w:t xml:space="preserve">Uma candidatura do campo por capital, decidida por critério público (pesquisa, rejeição, capacidade de aliança), evita a dispersão que custou capitais em 2024.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Alianças com o anel de governo.</w:t>
      </w:r>
      <w:r>
        <w:t xml:space="preserve"> </w:t>
      </w:r>
      <w:r>
        <w:t xml:space="preserve">O MDB e o PSD governam 1.741 prefeituras; uma parte delas pode apoiar candidatos do campo em troca de apoio recíproco em cidades onde o centro é mais competitivo.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Federação ampla.</w:t>
      </w:r>
      <w:r>
        <w:t xml:space="preserve"> </w:t>
      </w:r>
      <w:r>
        <w:t xml:space="preserve">Com a cláusula de desempenho de 3% em 2030, PSOL-Rede, PDT e demais partidos do campo têm de decidir até 2029 se formam uma federação com PT-PCdoB-PV e PSB. As listas de 2028 são o teste dessa federação.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Comitês como base das candidaturas.</w:t>
      </w:r>
      <w:r>
        <w:t xml:space="preserve"> </w:t>
      </w:r>
      <w:r>
        <w:t xml:space="preserve">Os candidatos a vereador saem das lideranças territoriais formadas nos comitês, e não apenas dos mandatos existentes.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Programa municipal comum.</w:t>
      </w:r>
      <w:r>
        <w:t xml:space="preserve"> </w:t>
      </w:r>
      <w:r>
        <w:t xml:space="preserve">Segurança de bairro, transporte, creche, saúde e emprego, com o vínculo explícito entre o programa municipal e as entregas federais.</w:t>
      </w:r>
    </w:p>
    <w:p>
      <w:r>
        <w:br w:type="page"/>
      </w:r>
    </w:p>
    <w:bookmarkEnd w:id="266"/>
    <w:bookmarkStart w:id="267" w:name="o-caminho-para-2030"/>
    <w:p>
      <w:pPr>
        <w:pStyle w:val="Heading2"/>
      </w:pPr>
      <w:r>
        <w:t xml:space="preserve">11.3 O caminho para 2030</w:t>
      </w:r>
    </w:p>
    <w:p>
      <w:pPr>
        <w:pStyle w:val="FirstParagraph"/>
      </w:pPr>
      <w:r>
        <w:rPr>
          <w:bCs/>
          <w:b/>
        </w:rPr>
        <w:t xml:space="preserve">Lula não pode disputar 2030.</w:t>
      </w:r>
      <w:r>
        <w:t xml:space="preserve"> </w:t>
      </w:r>
      <w:r>
        <w:t xml:space="preserve">A Constituição permite uma única reeleição consecutiva, e Lula completa em 2030 o segundo mandato seguido. O campo disputará a Presidência pela primeira vez desde 1989 sem Lula como candidato e sem a mobilização que ele produz por si.</w:t>
      </w:r>
    </w:p>
    <w:p>
      <w:pPr>
        <w:pStyle w:val="BodyText"/>
      </w:pPr>
      <w:r>
        <w:rPr>
          <w:bCs/>
          <w:b/>
        </w:rPr>
        <w:t xml:space="preserve">O que se sabe sobre 2030.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Implicação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Candidato do 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Indefinido; o voto da esquerda é, em grande parte, voto em Lula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Formar e testar uma lista curta até 2028 e decidir até meados de 2029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Oposição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família Bolsonaro perdeu duas eleições seguidas; governadores do Sul e do Sudeste reeleitos ou eleitos em 2026 ganham força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adversário provável terá menos rejeição que Flávio e mais experiência administrativa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Eleitorado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Clivagens de renda, região e religião estáveis desde 2006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candidato do campo precisa de presença no Sudeste e diálogo com o eleitor evangélico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Instituições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Cláusula de 3% e Congresso eleito junto com o presidente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federação e as listas para o Congresso são tão importantes quanto a candidatura presidencial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Economia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Crescimento projetado abaixo de 2% em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julgamento do governo pesará mais que a campanha</w:t>
            </w:r>
          </w:p>
        </w:tc>
      </w:tr>
    </w:tbl>
    <w:p>
      <w:pPr>
        <w:pStyle w:val="BodyText"/>
      </w:pPr>
      <w:r>
        <w:rPr>
          <w:bCs/>
          <w:b/>
        </w:rPr>
        <w:t xml:space="preserve">Critérios para o sucessor.</w:t>
      </w:r>
      <w:r>
        <w:t xml:space="preserve"> </w:t>
      </w:r>
      <w:r>
        <w:t xml:space="preserve">Entrega própria reconhecível (de governo estadual, ministério ou prefeitura); capacidade de diálogo com o centro e com o eleitor evangélico; presença no Sudeste; baixa rejeição entre independentes; e legitimidade dentro do campo. O grupo inicial inclui governadores reeleitos com votações expressivas, como Rafael Fonteles (Piauí, 70,9%), ministros com projeção nacional e lideranças de partidos aliados. Não é preciso que o sucessor seja do PT, mas é preciso que o PT e os aliados o escolham juntos.</w:t>
      </w:r>
    </w:p>
    <w:p>
      <w:pPr>
        <w:pStyle w:val="BodyText"/>
      </w:pPr>
      <w:r>
        <w:rPr>
          <w:bCs/>
          <w:b/>
        </w:rPr>
        <w:t xml:space="preserve">Sequência.</w:t>
      </w:r>
      <w:r>
        <w:t xml:space="preserve"> </w:t>
      </w:r>
      <w:r>
        <w:t xml:space="preserve">2027: dar a cada nome da lista uma entrega e uma agenda nacional. 2028: testar os nomes nas eleições municipais e em pesquisas qualitativas. Primeiro semestre de 2029: definir o candidato e o arco de alianças. Segundo semestre de 2029 e 2030: transferir ao candidato a autoria das entregas e a infraestrutura permanente construída desde 2026.</w:t>
      </w:r>
    </w:p>
    <w:p>
      <w:r>
        <w:br w:type="page"/>
      </w:r>
    </w:p>
    <w:bookmarkEnd w:id="267"/>
    <w:bookmarkStart w:id="271" w:name="plano-operacional-e-cronograma"/>
    <w:p>
      <w:pPr>
        <w:pStyle w:val="Heading2"/>
      </w:pPr>
      <w:r>
        <w:t xml:space="preserve">11.4 Plano operacional e cronograma</w:t>
      </w:r>
    </w:p>
    <w:p>
      <w:pPr>
        <w:pStyle w:val="CaptionedFigure"/>
      </w:pPr>
      <w:r>
        <w:drawing>
          <wp:inline>
            <wp:extent cx="5334000" cy="3459891"/>
            <wp:effectExtent b="0" l="0" r="0" t="0"/>
            <wp:docPr descr="Figura 58. Fonte: Cronograma proposto; prazos a revisar semestralmente." title="" id="269" name="Picture"/>
            <a:graphic>
              <a:graphicData uri="http://schemas.openxmlformats.org/drawingml/2006/picture">
                <pic:pic>
                  <pic:nvPicPr>
                    <pic:cNvPr descr="/home/claude/man/figs/new/g_cronograma.png" id="270" name="Picture"/>
                    <pic:cNvPicPr>
                      <a:picLocks noChangeArrowheads="1" noChangeAspect="1"/>
                    </pic:cNvPicPr>
                  </pic:nvPicPr>
                  <pic:blipFill>
                    <a:blip r:embed="rId2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98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Figura 58.</w:t>
      </w:r>
      <w:r>
        <w:t xml:space="preserve"> </w:t>
      </w:r>
      <w:r>
        <w:t xml:space="preserve">Fonte: Cronograma proposto; prazos a revisar semestralmente.</w:t>
      </w:r>
    </w:p>
    <w:p>
      <w:pPr>
        <w:pStyle w:val="BodyText"/>
      </w:pPr>
      <w:r>
        <w:rPr>
          <w:bCs/>
          <w:b/>
        </w:rPr>
        <w:t xml:space="preserve">Fase 1 · Transição (26 de outubro de 2026 a 5 de janeiro de 2027).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Linha de 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Legitimidade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Responder à contestação com fatos simples; diplomação; agenda com os presidentes das Casas e governadores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reconhecido por todas as instituições até a diplomação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Decisões do TSE; adesão de governadores à agenda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Coalizão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Negociar ministérios com metas e o calendário legislativo de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Acordo com MDB e PSD antes da posse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Votos comprometidos para as Mesas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Apoiar os candidatos de centro viáveis contra os do 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Nenhuma Mesa presidida pelo 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de 1º de fevereiro de 2027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Choque de energia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Desenhar o mecanismo de preços de combustíveis e fertilizantes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Medida pronta para a primeira semana de governo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Preço do diesel e do gás de cozinha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Diagnóstico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 por zona eleitoral, município e segmento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Atlas eleitoral de 2026 concluído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 do atlas</w:t>
            </w:r>
          </w:p>
        </w:tc>
      </w:tr>
    </w:tbl>
    <w:p>
      <w:pPr>
        <w:pStyle w:val="BodyText"/>
      </w:pPr>
      <w:r>
        <w:rPr>
          <w:bCs/>
          <w:b/>
        </w:rPr>
        <w:t xml:space="preserve">Fase 2 · Os 100 dias (janeiro a abril de 2027).</w:t>
      </w:r>
      <w:r>
        <w:t xml:space="preserve"> </w:t>
      </w:r>
      <w:r>
        <w:t xml:space="preserve">Plano nacional de segurança com os governadores; calendário da jornada de 40 horas; mecanismo de preços; regulação das plataformas; painel de emendas; programa de minerais críticos; constituição do núcleo de narrativa e convite aos primeiros 500 criadores; escolha de cidades-piloto para os comitês.</w:t>
      </w:r>
    </w:p>
    <w:p>
      <w:pPr>
        <w:pStyle w:val="BodyText"/>
      </w:pPr>
      <w:r>
        <w:rPr>
          <w:bCs/>
          <w:b/>
        </w:rPr>
        <w:t xml:space="preserve">Fase 3 · 2027.</w:t>
      </w:r>
      <w:r>
        <w:t xml:space="preserve"> </w:t>
      </w:r>
      <w:r>
        <w:t xml:space="preserve">Primeiros 300 comitês em funcionamento; programa de formação de organizadores e de novas lideranças; rede de 1.000 criadores ativos; observatório em operação contínua; núcleos evangélicos progressistas em todas as capitais; lista curta da sucessão com agenda nacional; escolha das candidaturas do campo nas capitais.</w:t>
      </w:r>
    </w:p>
    <w:p>
      <w:pPr>
        <w:pStyle w:val="BodyText"/>
      </w:pPr>
      <w:r>
        <w:rPr>
          <w:bCs/>
          <w:b/>
        </w:rPr>
        <w:t xml:space="preserve">Fase 4 · 2028 (eleições municipais).</w:t>
      </w:r>
      <w:r>
        <w:t xml:space="preserve"> </w:t>
      </w:r>
      <w:r>
        <w:t xml:space="preserve">1.500 comitês; listas e alianças municipais coordenadas; candidaturas de lideranças territoriais; reforma ministerial após o 1º semestre; meta de 560 prefeituras do PT e cinco capitais do campo.</w:t>
      </w:r>
    </w:p>
    <w:p>
      <w:pPr>
        <w:pStyle w:val="BodyText"/>
      </w:pPr>
      <w:r>
        <w:rPr>
          <w:bCs/>
          <w:b/>
        </w:rPr>
        <w:t xml:space="preserve">Fase 5 · 2029–2030.</w:t>
      </w:r>
      <w:r>
        <w:t xml:space="preserve"> </w:t>
      </w:r>
      <w:r>
        <w:t xml:space="preserve">Definição da candidatura presidencial e do arco de alianças; federação ampla do campo registrada; listas competitivas para a Câmara e o Senado; campanha nacional apoiada pela infraestrutura permanente.</w:t>
      </w:r>
    </w:p>
    <w:p>
      <w:r>
        <w:br w:type="page"/>
      </w:r>
    </w:p>
    <w:bookmarkEnd w:id="271"/>
    <w:bookmarkStart w:id="272" w:name="indicadores-e-governança"/>
    <w:p>
      <w:pPr>
        <w:pStyle w:val="Heading2"/>
      </w:pPr>
      <w:r>
        <w:t xml:space="preserve">11.5 Indicadores e governança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Linha de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 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 2030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Taxa de vitória do governo em votações nominais na Câmara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medir em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acima de 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acima de 75%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Deputados federais de esquerda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124 (2026)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cerca de 170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Senadores do campo e aliados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cerca de 16 (2026)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Prefeituras do 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252 (2024)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cerca de 560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Capitais governadas pelo 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(2024: Fortaleza e Recife)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Comitês permanentes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mapear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Criadores ativos na rede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mapear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Diferença entre evangélicos (candidato do campo − adversário)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−46 pontos (Datafolha, 2º turno de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−35 pontos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−30 pontos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Diferença entre quem ganha de 2 a 5 salários mínimos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−16 pontos (Datafolha, 2º turno de 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−8 pontos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Abstenção no 2º turno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19,22% (2026)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abaixo de 19%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Roubos e furtos de celular e estelionatos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série do FBSP de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 médio de resposta a boatos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medir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menos de 2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menos de 1 hora</w:t>
            </w:r>
          </w:p>
        </w:tc>
      </w:tr>
    </w:tbl>
    <w:p>
      <w:pPr>
        <w:pStyle w:val="BodyText"/>
      </w:pPr>
      <w:r>
        <w:t xml:space="preserve">A governança exige uma coordenação estratégica pequena, com mandato para decidir, separada da coordenação de governo; conselhos territoriais com autonomia de execução; e revisão semestral do plano. O observatório deve publicar relatórios mensais internos com indicadores, e cada linha de ação precisa de responsável, orçamento e prazo. A coordenação do campo é financiada por partidos e militância, e não pelo Estado.</w:t>
      </w:r>
    </w:p>
    <w:p>
      <w:r>
        <w:br w:type="page"/>
      </w:r>
    </w:p>
    <w:bookmarkEnd w:id="272"/>
    <w:bookmarkStart w:id="273" w:name="riscos-e-mitigação"/>
    <w:p>
      <w:pPr>
        <w:pStyle w:val="Heading2"/>
      </w:pPr>
      <w:r>
        <w:t xml:space="preserve">11.6 Riscos e mitigação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Contestação do resultado e mobilização contra a legitimidade do governo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Fatos simples e repetidos; reconhecimento institucional; nenhuma amplificação da contestação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Choque de energia e inflação de alimentos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Mecanismo de preços financiado pela receita do petróleo; estoques de fertilizantes; diversificação de fornecedores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Coalizão instável e chantagem do centrão diante da alternativa do 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Ministérios com metas; emendas rastreáveis; agenda de consenso primeiro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Senado conservador pauta impeachment de ministros do STF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Mesa do Senado fora do PL; diálogo com PP e Republicanos; defesa institucional sem confronto pessoal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Pressão externa (tarifas, sanções, interferência)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Negociação técnica com os EUA; diversificação de parceiros; narrativa de soberania com resultados concretos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Escândalo no governo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Agenda de integridade própria; resposta em até 30 dias; ressarcimento rápido das vítimas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Ausência de sucessor competitivo em 2030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curta em 2027, teste em 2028, decisão em 2029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Fragmentação do campo e partidos abaixo da cláusula de 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Federação ampla registrada antes de 2030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Desmobilização depois da vitória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Infraestrutura permanente com orçamento plurianual; serviços que justificam a presença contínua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Uso de desinformação pela própria rede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de conduta; verificação; responsabilização</w:t>
            </w:r>
          </w:p>
        </w:tc>
      </w:tr>
    </w:tbl>
    <w:p>
      <w:r>
        <w:br w:type="page"/>
      </w:r>
    </w:p>
    <w:bookmarkEnd w:id="273"/>
    <w:bookmarkEnd w:id="274"/>
    <w:bookmarkStart w:id="333" w:name="Xaac0d8e4515bcfaffb9d76de8880509c127f416"/>
    <w:p>
      <w:pPr>
        <w:pStyle w:val="Heading1"/>
      </w:pPr>
      <w:r>
        <w:t xml:space="preserve">Parte 12 · Sistema de inteligência e referências</w:t>
      </w:r>
    </w:p>
    <w:p>
      <w:r>
        <w:br w:type="page"/>
      </w:r>
    </w:p>
    <w:bookmarkStart w:id="275" w:name="X234f0f4079e2584a35811eceb2785182f7a88bb"/>
    <w:p>
      <w:pPr>
        <w:pStyle w:val="Heading2"/>
      </w:pPr>
      <w:r>
        <w:t xml:space="preserve">12.1 Sistema permanente de inteligência estratégica</w:t>
      </w:r>
    </w:p>
    <w:p>
      <w:pPr>
        <w:pStyle w:val="FirstParagraph"/>
      </w:pPr>
      <w:r>
        <w:t xml:space="preserve">A execução da estratégia depende de um sistema de inteligência contínuo, com oito frentes: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Fontes e métodos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Geografia do voto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Mapear resultados por seção e zona eleitoral e cruzá-los com renda, religião e cor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TSE (resultados por seção), Censo 2022, modelos espaciais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Atlas eleitoral de 2026 por município e bairro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Opinião 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Acompanhar a avaliação do governo e o voto por segmento e região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Painéis longitudinais, estimação por pós-estratificação (MRP), ESEB, institutos de pesquisa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Estimativas mensais por segmento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Teste de mensagens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mensagens antes de escalar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Experimentos de survey e conjoint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Banco de mensagens testadas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Ecossistema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Medir comunidades, pontes e narrativas emergentes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Redes de compartilhamento, grupos públicos de mensagens, Gephi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Mapa periódico de comunidades e alertas de boatos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Território e igrejas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Conhecer mediadores, demandas e lideranças locais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Escuta estruturada nos comitês, entrevistas, etnografia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Diagnóstico de mediadores e demandas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Orçamento e emendas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Rastrear emendas por município e seus efeitos eleitorais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 da Transparência, Siop, TSE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Mapa da captura orçamentária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Congresso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Acompanhar votações, bancadas temáticas e fidelidade da coalizão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Votações nominais da Câmara e do Senado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Placar mensal da coalizão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Ambiente externo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Monitorar guerras, petróleo, juros, tarifas e sanções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FMI, Banco Central, Secex, ANP, centros de análise internacional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Alerta trimestral de cenários</w:t>
            </w:r>
          </w:p>
        </w:tc>
      </w:tr>
    </w:tbl>
    <w:p>
      <w:pPr>
        <w:pStyle w:val="BodyText"/>
      </w:pPr>
      <w:r>
        <w:t xml:space="preserve">Séries de acompanhamento obrigatório: roubos, furtos e estelionatos (FBSP), endividamento das famílias (Banco Central), sindicalização e trabalho por plataformas (IBGE), preço do diesel e do gás de cozinha (ANP), além das séries deste manual. A matriz de poder e os cenários são atualizados semestralmente por um painel de especialistas (método Delphi).</w:t>
      </w:r>
    </w:p>
    <w:p>
      <w:r>
        <w:br w:type="page"/>
      </w:r>
    </w:p>
    <w:bookmarkEnd w:id="275"/>
    <w:bookmarkStart w:id="276" w:name="notas-metodológicas"/>
    <w:p>
      <w:pPr>
        <w:pStyle w:val="Heading2"/>
      </w:pPr>
      <w:r>
        <w:t xml:space="preserve">12.2 Notas metodológicas</w:t>
      </w:r>
    </w:p>
    <w:p>
      <w:pPr>
        <w:pStyle w:val="FirstParagraph"/>
      </w:pPr>
      <w:r>
        <w:t xml:space="preserve">As séries socioeconômicas foram obtidas no IPEAdata, no IBGE, no Banco Mundial e na FAO; os índices de democracia, no V-Dem (via Our World in Data) e no Latinobarómetro (rodadas de 1995 a 2018 e de 2026); os resultados eleitorais, no TSE e na cobertura oficial e jornalística de outubro de 2026. Os resultados do 2º turno por unidade da Federação vêm da totalização do TSE divulgada pela imprensa em 25 e 26 de outubro de 2026; pequenas diferenças entre veículos (centésimos de ponto) não alteram nenhuma conclusão. Não houve pesquisa de boca de urna no 2º turno de 2026, e as últimas pesquisas davam 49% a Lula, que teve 51,8%; o perfil do voto por segmento usa a Datafolha de 20 a 22 de outubro e deve ser lido como direção, e não como tamanho exato. As contagens da bancada do Senado diferem em uma cadeira entre a Agência Senado e outros veículos. Há quebras de série entre a PNAD e a PNAD Contínua (2012) e entre Censos e PNAD na educação. As classes de renda usam a paridade de poder de compra de 2017, e as linhas de pobreza do IPEA, a de 2021. As matrizes de poder e de redes são o modelo analítico deste manual, a ser atualizado pela frente de inteligência correspondente.</w:t>
      </w:r>
    </w:p>
    <w:p>
      <w:r>
        <w:br w:type="page"/>
      </w:r>
    </w:p>
    <w:bookmarkEnd w:id="276"/>
    <w:bookmarkStart w:id="332" w:name="referências"/>
    <w:p>
      <w:pPr>
        <w:pStyle w:val="Heading2"/>
      </w:pPr>
      <w:r>
        <w:t xml:space="preserve">12.3 Referências</w:t>
      </w:r>
    </w:p>
    <w:bookmarkStart w:id="277" w:name="teoria-sistema-mundo-e-economia-política"/>
    <w:p>
      <w:pPr>
        <w:pStyle w:val="Heading3"/>
      </w:pPr>
      <w:r>
        <w:t xml:space="preserve">Teoria, sistema-mundo e economia política</w:t>
      </w:r>
    </w:p>
    <w:p>
      <w:pPr>
        <w:numPr>
          <w:ilvl w:val="0"/>
          <w:numId w:val="1014"/>
        </w:numPr>
        <w:pStyle w:val="Compact"/>
      </w:pPr>
      <w:r>
        <w:t xml:space="preserve">Arrighi, G.</w:t>
      </w:r>
      <w:r>
        <w:t xml:space="preserve"> </w:t>
      </w:r>
      <w:r>
        <w:rPr>
          <w:iCs/>
          <w:i/>
        </w:rPr>
        <w:t xml:space="preserve">O longo século XX: dinheiro, poder e as origens de nosso tempo</w:t>
      </w:r>
      <w:r>
        <w:t xml:space="preserve">. Rio de Janeiro: Contraponto; São Paulo: Unesp, 1996 [1994].</w:t>
      </w:r>
    </w:p>
    <w:p>
      <w:pPr>
        <w:numPr>
          <w:ilvl w:val="0"/>
          <w:numId w:val="1014"/>
        </w:numPr>
        <w:pStyle w:val="Compact"/>
      </w:pPr>
      <w:r>
        <w:t xml:space="preserve">Babones, S. Position and mobility in the contemporary world-economy. In:</w:t>
      </w:r>
      <w:r>
        <w:t xml:space="preserve"> </w:t>
      </w:r>
      <w:r>
        <w:rPr>
          <w:iCs/>
          <w:i/>
        </w:rPr>
        <w:t xml:space="preserve">Routledge Handbook of World-Systems Analysis</w:t>
      </w:r>
      <w:r>
        <w:t xml:space="preserve">. Londres: Routledge, 2012.</w:t>
      </w:r>
    </w:p>
    <w:p>
      <w:pPr>
        <w:numPr>
          <w:ilvl w:val="0"/>
          <w:numId w:val="1014"/>
        </w:numPr>
        <w:pStyle w:val="Compact"/>
      </w:pPr>
      <w:r>
        <w:t xml:space="preserve">Campello, D.; Zucco, C. Presidential success and the world economy.</w:t>
      </w:r>
      <w:r>
        <w:t xml:space="preserve"> </w:t>
      </w:r>
      <w:r>
        <w:rPr>
          <w:iCs/>
          <w:i/>
        </w:rPr>
        <w:t xml:space="preserve">The Journal of Politics</w:t>
      </w:r>
      <w:r>
        <w:t xml:space="preserve">, 78(2), 2016. doi:10.1086/684749.</w:t>
      </w:r>
    </w:p>
    <w:p>
      <w:pPr>
        <w:numPr>
          <w:ilvl w:val="0"/>
          <w:numId w:val="1014"/>
        </w:numPr>
        <w:pStyle w:val="Compact"/>
      </w:pPr>
      <w:r>
        <w:t xml:space="preserve">Campello, D.; Zucco, C.</w:t>
      </w:r>
      <w:r>
        <w:t xml:space="preserve"> </w:t>
      </w:r>
      <w:r>
        <w:rPr>
          <w:iCs/>
          <w:i/>
        </w:rPr>
        <w:t xml:space="preserve">The Volatility Curse: Exogenous Shocks and Representation in Resource-Rich Democracies</w:t>
      </w:r>
      <w:r>
        <w:t xml:space="preserve">. Cambridge University Press, 2020. doi:10.1017/9781108894975.</w:t>
      </w:r>
    </w:p>
    <w:p>
      <w:pPr>
        <w:numPr>
          <w:ilvl w:val="0"/>
          <w:numId w:val="1014"/>
        </w:numPr>
        <w:pStyle w:val="Compact"/>
      </w:pPr>
      <w:r>
        <w:t xml:space="preserve">Cardoso, F. H.; Faletto, E.</w:t>
      </w:r>
      <w:r>
        <w:t xml:space="preserve"> </w:t>
      </w:r>
      <w:r>
        <w:rPr>
          <w:iCs/>
          <w:i/>
        </w:rPr>
        <w:t xml:space="preserve">Dependency and Development in Latin America</w:t>
      </w:r>
      <w:r>
        <w:t xml:space="preserve">. University of California Press, 1979. doi:10.1525/9780520342118.</w:t>
      </w:r>
    </w:p>
    <w:p>
      <w:pPr>
        <w:numPr>
          <w:ilvl w:val="0"/>
          <w:numId w:val="1014"/>
        </w:numPr>
        <w:pStyle w:val="Compact"/>
      </w:pPr>
      <w:r>
        <w:t xml:space="preserve">Marini, R. M. Dialética da dependência [1973].</w:t>
      </w:r>
      <w:r>
        <w:t xml:space="preserve"> </w:t>
      </w:r>
      <w:r>
        <w:rPr>
          <w:iCs/>
          <w:i/>
        </w:rPr>
        <w:t xml:space="preserve">Germinal</w:t>
      </w:r>
      <w:r>
        <w:t xml:space="preserve">, 9(3), 2017. doi:10.9771/gmed.v9i3.24648.</w:t>
      </w:r>
    </w:p>
    <w:p>
      <w:pPr>
        <w:numPr>
          <w:ilvl w:val="0"/>
          <w:numId w:val="1014"/>
        </w:numPr>
        <w:pStyle w:val="Compact"/>
      </w:pPr>
      <w:r>
        <w:t xml:space="preserve">Rodrik, D. Premature deindustrialization.</w:t>
      </w:r>
      <w:r>
        <w:t xml:space="preserve"> </w:t>
      </w:r>
      <w:r>
        <w:rPr>
          <w:iCs/>
          <w:i/>
        </w:rPr>
        <w:t xml:space="preserve">Journal of Economic Growth</w:t>
      </w:r>
      <w:r>
        <w:t xml:space="preserve">, 21, 2016. doi:10.1007/s10887-015-9122-3.</w:t>
      </w:r>
    </w:p>
    <w:p>
      <w:pPr>
        <w:numPr>
          <w:ilvl w:val="0"/>
          <w:numId w:val="1014"/>
        </w:numPr>
        <w:pStyle w:val="Compact"/>
      </w:pPr>
      <w:r>
        <w:t xml:space="preserve">Rodrik, D. Populism and the economics of globalization. NBER Working Paper 23559, 2017. doi:10.3386/w23559.</w:t>
      </w:r>
    </w:p>
    <w:p>
      <w:pPr>
        <w:numPr>
          <w:ilvl w:val="0"/>
          <w:numId w:val="1014"/>
        </w:numPr>
        <w:pStyle w:val="Compact"/>
      </w:pPr>
      <w:r>
        <w:t xml:space="preserve">Wallerstein, I.</w:t>
      </w:r>
      <w:r>
        <w:t xml:space="preserve"> </w:t>
      </w:r>
      <w:r>
        <w:rPr>
          <w:iCs/>
          <w:i/>
        </w:rPr>
        <w:t xml:space="preserve">World-Systems Analysis: An Introduction</w:t>
      </w:r>
      <w:r>
        <w:t xml:space="preserve">. Duke University Press, 2004. doi:10.1215/9780822399018.</w:t>
      </w:r>
    </w:p>
    <w:bookmarkEnd w:id="277"/>
    <w:bookmarkStart w:id="278" w:name="Xebb8aee3c1e3e3bf8e0bf99b706ecd11d04d782"/>
    <w:p>
      <w:pPr>
        <w:pStyle w:val="Heading3"/>
      </w:pPr>
      <w:r>
        <w:t xml:space="preserve">Direita radical, democracia e política comparada</w:t>
      </w:r>
    </w:p>
    <w:p>
      <w:pPr>
        <w:numPr>
          <w:ilvl w:val="0"/>
          <w:numId w:val="1015"/>
        </w:numPr>
        <w:pStyle w:val="Compact"/>
      </w:pPr>
      <w:r>
        <w:t xml:space="preserve">Autor, D.; Dorn, D.; Hanson, G. Importing political polarization? NBER Working Paper 22637, 2016. doi:10.3386/w22637.</w:t>
      </w:r>
    </w:p>
    <w:p>
      <w:pPr>
        <w:numPr>
          <w:ilvl w:val="0"/>
          <w:numId w:val="1015"/>
        </w:numPr>
        <w:pStyle w:val="Compact"/>
      </w:pPr>
      <w:r>
        <w:t xml:space="preserve">Colantone, I.; Stanig, P. Global competition and Brexit.</w:t>
      </w:r>
      <w:r>
        <w:t xml:space="preserve"> </w:t>
      </w:r>
      <w:r>
        <w:rPr>
          <w:iCs/>
          <w:i/>
        </w:rPr>
        <w:t xml:space="preserve">American Political Science Review</w:t>
      </w:r>
      <w:r>
        <w:t xml:space="preserve">, 112(2), 2018. doi:10.1017/s0003055417000685.</w:t>
      </w:r>
    </w:p>
    <w:p>
      <w:pPr>
        <w:numPr>
          <w:ilvl w:val="0"/>
          <w:numId w:val="1015"/>
        </w:numPr>
        <w:pStyle w:val="Compact"/>
      </w:pPr>
      <w:r>
        <w:t xml:space="preserve">Funke, M.; Schularick, M.; Trebesch, C. Going to extremes: politics after financial crises, 1870–2014.</w:t>
      </w:r>
      <w:r>
        <w:t xml:space="preserve"> </w:t>
      </w:r>
      <w:r>
        <w:rPr>
          <w:iCs/>
          <w:i/>
        </w:rPr>
        <w:t xml:space="preserve">European Economic Review</w:t>
      </w:r>
      <w:r>
        <w:t xml:space="preserve">, 88, 2016. doi:10.1016/j.euroecorev.2016.03.006.</w:t>
      </w:r>
    </w:p>
    <w:p>
      <w:pPr>
        <w:numPr>
          <w:ilvl w:val="0"/>
          <w:numId w:val="1015"/>
        </w:numPr>
        <w:pStyle w:val="Compact"/>
      </w:pPr>
      <w:r>
        <w:t xml:space="preserve">Gethin, A.; Martínez-Toledano, C.; Piketty, T. Brahmin left versus merchant right.</w:t>
      </w:r>
      <w:r>
        <w:t xml:space="preserve"> </w:t>
      </w:r>
      <w:r>
        <w:rPr>
          <w:iCs/>
          <w:i/>
        </w:rPr>
        <w:t xml:space="preserve">The Quarterly Journal of Economics</w:t>
      </w:r>
      <w:r>
        <w:t xml:space="preserve">, 137(1), 2022 (online 2021). doi:10.1093/qje/qjab036.</w:t>
      </w:r>
    </w:p>
    <w:p>
      <w:pPr>
        <w:numPr>
          <w:ilvl w:val="0"/>
          <w:numId w:val="1015"/>
        </w:numPr>
        <w:pStyle w:val="Compact"/>
      </w:pPr>
      <w:r>
        <w:t xml:space="preserve">Levitsky, S.; Roberts, K. (orgs.).</w:t>
      </w:r>
      <w:r>
        <w:t xml:space="preserve"> </w:t>
      </w:r>
      <w:r>
        <w:rPr>
          <w:iCs/>
          <w:i/>
        </w:rPr>
        <w:t xml:space="preserve">The Resurgence of the Latin American Left</w:t>
      </w:r>
      <w:r>
        <w:t xml:space="preserve">. Johns Hopkins University Press, 2011. doi:10.1353/book.1866.</w:t>
      </w:r>
    </w:p>
    <w:p>
      <w:pPr>
        <w:numPr>
          <w:ilvl w:val="0"/>
          <w:numId w:val="1015"/>
        </w:numPr>
        <w:pStyle w:val="Compact"/>
      </w:pPr>
      <w:r>
        <w:t xml:space="preserve">Mudde, C. The populist zeitgeist.</w:t>
      </w:r>
      <w:r>
        <w:t xml:space="preserve"> </w:t>
      </w:r>
      <w:r>
        <w:rPr>
          <w:iCs/>
          <w:i/>
        </w:rPr>
        <w:t xml:space="preserve">Government and Opposition</w:t>
      </w:r>
      <w:r>
        <w:t xml:space="preserve">, 39(4), 2004. doi:10.1111/j.1477-7053.2004.00135.x.</w:t>
      </w:r>
    </w:p>
    <w:p>
      <w:pPr>
        <w:numPr>
          <w:ilvl w:val="0"/>
          <w:numId w:val="1015"/>
        </w:numPr>
        <w:pStyle w:val="Compact"/>
      </w:pPr>
      <w:r>
        <w:t xml:space="preserve">Norris, P.; Inglehart, R.</w:t>
      </w:r>
      <w:r>
        <w:t xml:space="preserve"> </w:t>
      </w:r>
      <w:r>
        <w:rPr>
          <w:iCs/>
          <w:i/>
        </w:rPr>
        <w:t xml:space="preserve">Cultural Backlash: Trump, Brexit, and Authoritarian Populism</w:t>
      </w:r>
      <w:r>
        <w:t xml:space="preserve">. Cambridge University Press, 2019. doi:10.1017/9781108595841.</w:t>
      </w:r>
    </w:p>
    <w:p>
      <w:pPr>
        <w:numPr>
          <w:ilvl w:val="0"/>
          <w:numId w:val="1015"/>
        </w:numPr>
        <w:pStyle w:val="Compact"/>
      </w:pPr>
      <w:r>
        <w:t xml:space="preserve">Rovira Kaltwasser, C. Rethinking the right in Latin America.</w:t>
      </w:r>
      <w:r>
        <w:t xml:space="preserve"> </w:t>
      </w:r>
      <w:r>
        <w:rPr>
          <w:iCs/>
          <w:i/>
        </w:rPr>
        <w:t xml:space="preserve">Latin American Politics and Society</w:t>
      </w:r>
      <w:r>
        <w:t xml:space="preserve">, 2022. doi:10.1017/lap.2022.36.</w:t>
      </w:r>
    </w:p>
    <w:p>
      <w:pPr>
        <w:numPr>
          <w:ilvl w:val="0"/>
          <w:numId w:val="1015"/>
        </w:numPr>
        <w:pStyle w:val="Compact"/>
      </w:pPr>
      <w:r>
        <w:t xml:space="preserve">Latinobarómetro.</w:t>
      </w:r>
      <w:r>
        <w:t xml:space="preserve"> </w:t>
      </w:r>
      <w:r>
        <w:rPr>
          <w:iCs/>
          <w:i/>
        </w:rPr>
        <w:t xml:space="preserve">Informe 2018</w:t>
      </w:r>
      <w:r>
        <w:t xml:space="preserve"> </w:t>
      </w:r>
      <w:r>
        <w:t xml:space="preserve">e</w:t>
      </w:r>
      <w:r>
        <w:t xml:space="preserve"> </w:t>
      </w:r>
      <w:r>
        <w:rPr>
          <w:iCs/>
          <w:i/>
        </w:rPr>
        <w:t xml:space="preserve">Informe 2026</w:t>
      </w:r>
      <w:r>
        <w:t xml:space="preserve">. Santiago: Corporación Latinobarómetro.</w:t>
      </w:r>
    </w:p>
    <w:p>
      <w:pPr>
        <w:numPr>
          <w:ilvl w:val="0"/>
          <w:numId w:val="1015"/>
        </w:numPr>
        <w:pStyle w:val="Compact"/>
      </w:pPr>
      <w:r>
        <w:t xml:space="preserve">V-Dem Institute.</w:t>
      </w:r>
      <w:r>
        <w:t xml:space="preserve"> </w:t>
      </w:r>
      <w:r>
        <w:rPr>
          <w:iCs/>
          <w:i/>
        </w:rPr>
        <w:t xml:space="preserve">Democracy Report 2026</w:t>
      </w:r>
      <w:r>
        <w:t xml:space="preserve"> </w:t>
      </w:r>
      <w:r>
        <w:t xml:space="preserve">e</w:t>
      </w:r>
      <w:r>
        <w:t xml:space="preserve"> </w:t>
      </w:r>
      <w:r>
        <w:rPr>
          <w:iCs/>
          <w:i/>
        </w:rPr>
        <w:t xml:space="preserve">Liberal Democracy Index</w:t>
      </w:r>
      <w:r>
        <w:t xml:space="preserve">, via Our World in Data (consulta em outubro de 2026).</w:t>
      </w:r>
    </w:p>
    <w:bookmarkEnd w:id="278"/>
    <w:bookmarkStart w:id="279" w:name="X54640b10ba65918729a8f0338bf9a80ef7e4cb6"/>
    <w:p>
      <w:pPr>
        <w:pStyle w:val="Heading3"/>
      </w:pPr>
      <w:r>
        <w:t xml:space="preserve">Brasil: eleições, partidos e comportamento político</w:t>
      </w:r>
    </w:p>
    <w:p>
      <w:pPr>
        <w:numPr>
          <w:ilvl w:val="0"/>
          <w:numId w:val="1016"/>
        </w:numPr>
        <w:pStyle w:val="Compact"/>
      </w:pPr>
      <w:r>
        <w:t xml:space="preserve">Abranches, S. Presidencialismo de coalizão: o dilema institucional brasileiro.</w:t>
      </w:r>
      <w:r>
        <w:t xml:space="preserve"> </w:t>
      </w:r>
      <w:r>
        <w:rPr>
          <w:iCs/>
          <w:i/>
        </w:rPr>
        <w:t xml:space="preserve">Dados</w:t>
      </w:r>
      <w:r>
        <w:t xml:space="preserve">, 31(1), 1988.</w:t>
      </w:r>
    </w:p>
    <w:p>
      <w:pPr>
        <w:numPr>
          <w:ilvl w:val="0"/>
          <w:numId w:val="1016"/>
        </w:numPr>
        <w:pStyle w:val="Compact"/>
      </w:pPr>
      <w:r>
        <w:t xml:space="preserve">Borges, A.; Vidigal, R. Do lulismo ao antipetismo?</w:t>
      </w:r>
      <w:r>
        <w:t xml:space="preserve"> </w:t>
      </w:r>
      <w:r>
        <w:rPr>
          <w:iCs/>
          <w:i/>
        </w:rPr>
        <w:t xml:space="preserve">Opinião Pública</w:t>
      </w:r>
      <w:r>
        <w:t xml:space="preserve">, 24(1), 2018. doi:10.1590/1807-0191201824153.</w:t>
      </w:r>
    </w:p>
    <w:p>
      <w:pPr>
        <w:numPr>
          <w:ilvl w:val="0"/>
          <w:numId w:val="1016"/>
        </w:numPr>
        <w:pStyle w:val="Compact"/>
      </w:pPr>
      <w:r>
        <w:t xml:space="preserve">Carreirão, Y. Identificação ideológica e voto para presidente.</w:t>
      </w:r>
      <w:r>
        <w:t xml:space="preserve"> </w:t>
      </w:r>
      <w:r>
        <w:rPr>
          <w:iCs/>
          <w:i/>
        </w:rPr>
        <w:t xml:space="preserve">Opinião Pública</w:t>
      </w:r>
      <w:r>
        <w:t xml:space="preserve">, 8(1), 2002. doi:10.1590/s0104-62762002000100004.</w:t>
      </w:r>
    </w:p>
    <w:p>
      <w:pPr>
        <w:numPr>
          <w:ilvl w:val="0"/>
          <w:numId w:val="1016"/>
        </w:numPr>
        <w:pStyle w:val="Compact"/>
      </w:pPr>
      <w:r>
        <w:t xml:space="preserve">Fuks, M.; Marques, P. H. Polarização e contexto.</w:t>
      </w:r>
      <w:r>
        <w:t xml:space="preserve"> </w:t>
      </w:r>
      <w:r>
        <w:rPr>
          <w:iCs/>
          <w:i/>
        </w:rPr>
        <w:t xml:space="preserve">Opinião Pública</w:t>
      </w:r>
      <w:r>
        <w:t xml:space="preserve">, 28(3), 2022. doi:10.1590/1807-01912022283560.</w:t>
      </w:r>
    </w:p>
    <w:p>
      <w:pPr>
        <w:numPr>
          <w:ilvl w:val="0"/>
          <w:numId w:val="1016"/>
        </w:numPr>
        <w:pStyle w:val="Compact"/>
      </w:pPr>
      <w:r>
        <w:t xml:space="preserve">Fuks, M.; Ribeiro, E.; Borba, J. From antipetismo to generalized antipartisanship.</w:t>
      </w:r>
      <w:r>
        <w:t xml:space="preserve"> </w:t>
      </w:r>
      <w:r>
        <w:rPr>
          <w:iCs/>
          <w:i/>
        </w:rPr>
        <w:t xml:space="preserve">Brazilian Political Science Review</w:t>
      </w:r>
      <w:r>
        <w:t xml:space="preserve">, 15(1), 2021. doi:10.1590/1981-3821202100010003.</w:t>
      </w:r>
    </w:p>
    <w:p>
      <w:pPr>
        <w:numPr>
          <w:ilvl w:val="0"/>
          <w:numId w:val="1016"/>
        </w:numPr>
        <w:pStyle w:val="Compact"/>
      </w:pPr>
      <w:r>
        <w:t xml:space="preserve">Hunter, W.; Power, T. Rewarding Lula.</w:t>
      </w:r>
      <w:r>
        <w:t xml:space="preserve"> </w:t>
      </w:r>
      <w:r>
        <w:rPr>
          <w:iCs/>
          <w:i/>
        </w:rPr>
        <w:t xml:space="preserve">Latin American Politics and Society</w:t>
      </w:r>
      <w:r>
        <w:t xml:space="preserve">, 49(1), 2007. doi:10.1111/j.1548-2456.2007.tb00372.x.</w:t>
      </w:r>
    </w:p>
    <w:p>
      <w:pPr>
        <w:numPr>
          <w:ilvl w:val="0"/>
          <w:numId w:val="1016"/>
        </w:numPr>
        <w:pStyle w:val="Compact"/>
      </w:pPr>
      <w:r>
        <w:t xml:space="preserve">Hunter, W.; Power, T. Bolsonaro and Brazil’s illiberal backlash.</w:t>
      </w:r>
      <w:r>
        <w:t xml:space="preserve"> </w:t>
      </w:r>
      <w:r>
        <w:rPr>
          <w:iCs/>
          <w:i/>
        </w:rPr>
        <w:t xml:space="preserve">Journal of Democracy</w:t>
      </w:r>
      <w:r>
        <w:t xml:space="preserve">, 30(1), 2019. doi:10.1353/jod.2019.0005.</w:t>
      </w:r>
    </w:p>
    <w:p>
      <w:pPr>
        <w:numPr>
          <w:ilvl w:val="0"/>
          <w:numId w:val="1016"/>
        </w:numPr>
        <w:pStyle w:val="Compact"/>
      </w:pPr>
      <w:r>
        <w:t xml:space="preserve">Layton, M.; Smith, A. E.; Moseley, M. Demographic polarization and the rise of the far right: Brazil’s 2018 presidential election.</w:t>
      </w:r>
      <w:r>
        <w:t xml:space="preserve"> </w:t>
      </w:r>
      <w:r>
        <w:rPr>
          <w:iCs/>
          <w:i/>
        </w:rPr>
        <w:t xml:space="preserve">Research &amp; Politics</w:t>
      </w:r>
      <w:r>
        <w:t xml:space="preserve">, 2021. doi:10.1177/2053168021990204.</w:t>
      </w:r>
    </w:p>
    <w:p>
      <w:pPr>
        <w:numPr>
          <w:ilvl w:val="0"/>
          <w:numId w:val="1016"/>
        </w:numPr>
        <w:pStyle w:val="Compact"/>
      </w:pPr>
      <w:r>
        <w:t xml:space="preserve">Pereira, C.; Rennó, L. Successful re-election strategies in Brazil.</w:t>
      </w:r>
      <w:r>
        <w:t xml:space="preserve"> </w:t>
      </w:r>
      <w:r>
        <w:rPr>
          <w:iCs/>
          <w:i/>
        </w:rPr>
        <w:t xml:space="preserve">Electoral Studies</w:t>
      </w:r>
      <w:r>
        <w:t xml:space="preserve">, 22(3), 2003. doi:10.1016/s0261-3794(01)00057-9.</w:t>
      </w:r>
    </w:p>
    <w:p>
      <w:pPr>
        <w:numPr>
          <w:ilvl w:val="0"/>
          <w:numId w:val="1016"/>
        </w:numPr>
        <w:pStyle w:val="Compact"/>
      </w:pPr>
      <w:r>
        <w:t xml:space="preserve">Power, T.; Rodrigues-Silveira, R. Mapping ideological preferences in Brazilian elections, 1994–2018.</w:t>
      </w:r>
      <w:r>
        <w:t xml:space="preserve"> </w:t>
      </w:r>
      <w:r>
        <w:rPr>
          <w:iCs/>
          <w:i/>
        </w:rPr>
        <w:t xml:space="preserve">Brazilian Political Science Review</w:t>
      </w:r>
      <w:r>
        <w:t xml:space="preserve">, 13(1), 2019. doi:10.1590/1981-3821201900010001.</w:t>
      </w:r>
    </w:p>
    <w:p>
      <w:pPr>
        <w:numPr>
          <w:ilvl w:val="0"/>
          <w:numId w:val="1016"/>
        </w:numPr>
        <w:pStyle w:val="Compact"/>
      </w:pPr>
      <w:r>
        <w:t xml:space="preserve">Power, T.; Zucco, C. Estimating ideology of Brazilian legislative parties.</w:t>
      </w:r>
      <w:r>
        <w:t xml:space="preserve"> </w:t>
      </w:r>
      <w:r>
        <w:rPr>
          <w:iCs/>
          <w:i/>
        </w:rPr>
        <w:t xml:space="preserve">Latin American Research Review</w:t>
      </w:r>
      <w:r>
        <w:t xml:space="preserve">, 44(1), 2009. doi:10.1353/lar.0.0072.</w:t>
      </w:r>
    </w:p>
    <w:p>
      <w:pPr>
        <w:numPr>
          <w:ilvl w:val="0"/>
          <w:numId w:val="1016"/>
        </w:numPr>
        <w:pStyle w:val="Compact"/>
      </w:pPr>
      <w:r>
        <w:t xml:space="preserve">Rennó, L. The Bolsonaro voter.</w:t>
      </w:r>
      <w:r>
        <w:t xml:space="preserve"> </w:t>
      </w:r>
      <w:r>
        <w:rPr>
          <w:iCs/>
          <w:i/>
        </w:rPr>
        <w:t xml:space="preserve">Latin American Politics and Society</w:t>
      </w:r>
      <w:r>
        <w:t xml:space="preserve">, 62(4), 2020. doi:10.1017/lap.2020.13.</w:t>
      </w:r>
    </w:p>
    <w:p>
      <w:pPr>
        <w:numPr>
          <w:ilvl w:val="0"/>
          <w:numId w:val="1016"/>
        </w:numPr>
        <w:pStyle w:val="Compact"/>
      </w:pPr>
      <w:r>
        <w:t xml:space="preserve">Ricci, P.; Borba, J.; Simoni Jr., S. Apoio à democracia e desconfiança eleitoral: evidências do Brasil (2006–2022).</w:t>
      </w:r>
      <w:r>
        <w:t xml:space="preserve"> </w:t>
      </w:r>
      <w:r>
        <w:rPr>
          <w:iCs/>
          <w:i/>
        </w:rPr>
        <w:t xml:space="preserve">Opinião Pública</w:t>
      </w:r>
      <w:r>
        <w:t xml:space="preserve">, 2026. doi:10.1590/1807-0191202632107.</w:t>
      </w:r>
    </w:p>
    <w:p>
      <w:pPr>
        <w:numPr>
          <w:ilvl w:val="0"/>
          <w:numId w:val="1016"/>
        </w:numPr>
        <w:pStyle w:val="Compact"/>
      </w:pPr>
      <w:r>
        <w:t xml:space="preserve">Samuels, D.; Zucco, C. The power of partisanship in Brazil.</w:t>
      </w:r>
      <w:r>
        <w:t xml:space="preserve"> </w:t>
      </w:r>
      <w:r>
        <w:rPr>
          <w:iCs/>
          <w:i/>
        </w:rPr>
        <w:t xml:space="preserve">American Journal of Political Science</w:t>
      </w:r>
      <w:r>
        <w:t xml:space="preserve">, 58(1), 2014. doi:10.1111/ajps.12050.</w:t>
      </w:r>
    </w:p>
    <w:p>
      <w:pPr>
        <w:numPr>
          <w:ilvl w:val="0"/>
          <w:numId w:val="1016"/>
        </w:numPr>
        <w:pStyle w:val="Compact"/>
      </w:pPr>
      <w:r>
        <w:t xml:space="preserve">Samuels, D.; Zucco, C.</w:t>
      </w:r>
      <w:r>
        <w:t xml:space="preserve"> </w:t>
      </w:r>
      <w:r>
        <w:rPr>
          <w:iCs/>
          <w:i/>
        </w:rPr>
        <w:t xml:space="preserve">Partisans, Antipartisans, and Nonpartisans</w:t>
      </w:r>
      <w:r>
        <w:t xml:space="preserve">. Cambridge University Press, 2018.</w:t>
      </w:r>
    </w:p>
    <w:p>
      <w:pPr>
        <w:numPr>
          <w:ilvl w:val="0"/>
          <w:numId w:val="1016"/>
        </w:numPr>
        <w:pStyle w:val="Compact"/>
      </w:pPr>
      <w:r>
        <w:t xml:space="preserve">Singer, A. Raízes sociais e ideológicas do lulismo.</w:t>
      </w:r>
      <w:r>
        <w:t xml:space="preserve"> </w:t>
      </w:r>
      <w:r>
        <w:rPr>
          <w:iCs/>
          <w:i/>
        </w:rPr>
        <w:t xml:space="preserve">Novos Estudos CEBRAP</w:t>
      </w:r>
      <w:r>
        <w:t xml:space="preserve">, 85, 2009. doi:10.1590/s0101-33002009000300004.</w:t>
      </w:r>
    </w:p>
    <w:p>
      <w:pPr>
        <w:numPr>
          <w:ilvl w:val="0"/>
          <w:numId w:val="1016"/>
        </w:numPr>
        <w:pStyle w:val="Compact"/>
      </w:pPr>
      <w:r>
        <w:t xml:space="preserve">Singer, A.</w:t>
      </w:r>
      <w:r>
        <w:t xml:space="preserve"> </w:t>
      </w:r>
      <w:r>
        <w:rPr>
          <w:iCs/>
          <w:i/>
        </w:rPr>
        <w:t xml:space="preserve">Os sentidos do lulismo</w:t>
      </w:r>
      <w:r>
        <w:t xml:space="preserve">. São Paulo: Companhia das Letras, 2012.</w:t>
      </w:r>
    </w:p>
    <w:p>
      <w:pPr>
        <w:numPr>
          <w:ilvl w:val="0"/>
          <w:numId w:val="1016"/>
        </w:numPr>
        <w:pStyle w:val="Compact"/>
      </w:pPr>
      <w:r>
        <w:t xml:space="preserve">Singer, A. A reativação da direita no Brasil.</w:t>
      </w:r>
      <w:r>
        <w:t xml:space="preserve"> </w:t>
      </w:r>
      <w:r>
        <w:rPr>
          <w:iCs/>
          <w:i/>
        </w:rPr>
        <w:t xml:space="preserve">Opinião Pública</w:t>
      </w:r>
      <w:r>
        <w:t xml:space="preserve">, 27(3), 2021. doi:10.1590/1807-01912021273705.</w:t>
      </w:r>
    </w:p>
    <w:p>
      <w:pPr>
        <w:numPr>
          <w:ilvl w:val="0"/>
          <w:numId w:val="1016"/>
        </w:numPr>
        <w:pStyle w:val="Compact"/>
      </w:pPr>
      <w:r>
        <w:t xml:space="preserve">Smith, A. E.</w:t>
      </w:r>
      <w:r>
        <w:t xml:space="preserve"> </w:t>
      </w:r>
      <w:r>
        <w:rPr>
          <w:iCs/>
          <w:i/>
        </w:rPr>
        <w:t xml:space="preserve">Religion and Brazilian Democracy</w:t>
      </w:r>
      <w:r>
        <w:t xml:space="preserve">. Cambridge University Press, 2019. doi:10.1017/9781108699655.</w:t>
      </w:r>
    </w:p>
    <w:p>
      <w:pPr>
        <w:numPr>
          <w:ilvl w:val="0"/>
          <w:numId w:val="1016"/>
        </w:numPr>
        <w:pStyle w:val="Compact"/>
      </w:pPr>
      <w:r>
        <w:t xml:space="preserve">Tatagiba, L.; Galvão, A. Os protestos no Brasil em tempos de crise (2011–2016).</w:t>
      </w:r>
      <w:r>
        <w:t xml:space="preserve"> </w:t>
      </w:r>
      <w:r>
        <w:rPr>
          <w:iCs/>
          <w:i/>
        </w:rPr>
        <w:t xml:space="preserve">Opinião Pública</w:t>
      </w:r>
      <w:r>
        <w:t xml:space="preserve">, 25(1), 2019. doi:10.1590/1807-0191201925163.</w:t>
      </w:r>
    </w:p>
    <w:p>
      <w:pPr>
        <w:numPr>
          <w:ilvl w:val="0"/>
          <w:numId w:val="1016"/>
        </w:numPr>
        <w:pStyle w:val="Compact"/>
      </w:pPr>
      <w:r>
        <w:t xml:space="preserve">Vidigal, R. Authoritarianism and right-wing voting in Brazil.</w:t>
      </w:r>
      <w:r>
        <w:t xml:space="preserve"> </w:t>
      </w:r>
      <w:r>
        <w:rPr>
          <w:iCs/>
          <w:i/>
        </w:rPr>
        <w:t xml:space="preserve">Latin American Research Review</w:t>
      </w:r>
      <w:r>
        <w:t xml:space="preserve">, 57(3), 2022. doi:10.1017/lar.2022.32.</w:t>
      </w:r>
    </w:p>
    <w:p>
      <w:pPr>
        <w:numPr>
          <w:ilvl w:val="0"/>
          <w:numId w:val="1016"/>
        </w:numPr>
        <w:pStyle w:val="Compact"/>
      </w:pPr>
      <w:r>
        <w:t xml:space="preserve">Zucco, C. The president’s</w:t>
      </w:r>
      <w:r>
        <w:t xml:space="preserve"> </w:t>
      </w:r>
      <w:r>
        <w:t xml:space="preserve">“</w:t>
      </w:r>
      <w:r>
        <w:t xml:space="preserve">new</w:t>
      </w:r>
      <w:r>
        <w:t xml:space="preserve">”</w:t>
      </w:r>
      <w:r>
        <w:t xml:space="preserve"> </w:t>
      </w:r>
      <w:r>
        <w:t xml:space="preserve">constituency.</w:t>
      </w:r>
      <w:r>
        <w:t xml:space="preserve"> </w:t>
      </w:r>
      <w:r>
        <w:rPr>
          <w:iCs/>
          <w:i/>
        </w:rPr>
        <w:t xml:space="preserve">Journal of Latin American Studies</w:t>
      </w:r>
      <w:r>
        <w:t xml:space="preserve">, 40(1), 2008. doi:10.1017/s0022216x07003628.</w:t>
      </w:r>
    </w:p>
    <w:p>
      <w:pPr>
        <w:numPr>
          <w:ilvl w:val="0"/>
          <w:numId w:val="1016"/>
        </w:numPr>
        <w:pStyle w:val="Compact"/>
      </w:pPr>
      <w:r>
        <w:t xml:space="preserve">Zucco, C. When payouts pay off.</w:t>
      </w:r>
      <w:r>
        <w:t xml:space="preserve"> </w:t>
      </w:r>
      <w:r>
        <w:rPr>
          <w:iCs/>
          <w:i/>
        </w:rPr>
        <w:t xml:space="preserve">American Journal of Political Science</w:t>
      </w:r>
      <w:r>
        <w:t xml:space="preserve">, 57(4), 2013. doi:10.1111/ajps.12026.</w:t>
      </w:r>
    </w:p>
    <w:bookmarkEnd w:id="279"/>
    <w:bookmarkStart w:id="280" w:name="estrutura-social-trabalho-e-desigualdade"/>
    <w:p>
      <w:pPr>
        <w:pStyle w:val="Heading3"/>
      </w:pPr>
      <w:r>
        <w:t xml:space="preserve">Estrutura social, trabalho e desigualdade</w:t>
      </w:r>
    </w:p>
    <w:p>
      <w:pPr>
        <w:numPr>
          <w:ilvl w:val="0"/>
          <w:numId w:val="1017"/>
        </w:numPr>
        <w:pStyle w:val="Compact"/>
      </w:pPr>
      <w:r>
        <w:t xml:space="preserve">Abílio, L. Uberização: a era do trabalhador just-in-time?</w:t>
      </w:r>
      <w:r>
        <w:t xml:space="preserve"> </w:t>
      </w:r>
      <w:r>
        <w:rPr>
          <w:iCs/>
          <w:i/>
        </w:rPr>
        <w:t xml:space="preserve">Estudos Avançados</w:t>
      </w:r>
      <w:r>
        <w:t xml:space="preserve">, 34(98), 2020. doi:10.1590/s0103-4014.2020.3498.008.</w:t>
      </w:r>
    </w:p>
    <w:p>
      <w:pPr>
        <w:numPr>
          <w:ilvl w:val="0"/>
          <w:numId w:val="1017"/>
        </w:numPr>
        <w:pStyle w:val="Compact"/>
      </w:pPr>
      <w:r>
        <w:t xml:space="preserve">Barros, R. P.; Carvalho, M.; Franco, S.; Mendonça, R. Uma análise das principais causas da queda recente na desigualdade de renda brasileira.</w:t>
      </w:r>
      <w:r>
        <w:t xml:space="preserve"> </w:t>
      </w:r>
      <w:r>
        <w:rPr>
          <w:iCs/>
          <w:i/>
        </w:rPr>
        <w:t xml:space="preserve">Revista Econômica</w:t>
      </w:r>
      <w:r>
        <w:t xml:space="preserve">, 8(1), 2006. doi:10.22409/economica.8i1.p158.</w:t>
      </w:r>
    </w:p>
    <w:p>
      <w:pPr>
        <w:numPr>
          <w:ilvl w:val="0"/>
          <w:numId w:val="1017"/>
        </w:numPr>
        <w:pStyle w:val="Compact"/>
      </w:pPr>
      <w:r>
        <w:t xml:space="preserve">Feltran, G.</w:t>
      </w:r>
      <w:r>
        <w:t xml:space="preserve"> </w:t>
      </w:r>
      <w:r>
        <w:rPr>
          <w:iCs/>
          <w:i/>
        </w:rPr>
        <w:t xml:space="preserve">Irmãos: uma história do PCC</w:t>
      </w:r>
      <w:r>
        <w:t xml:space="preserve">. São Paulo: Companhia das Letras, 2018.</w:t>
      </w:r>
    </w:p>
    <w:p>
      <w:pPr>
        <w:numPr>
          <w:ilvl w:val="0"/>
          <w:numId w:val="1017"/>
        </w:numPr>
        <w:pStyle w:val="Compact"/>
      </w:pPr>
      <w:r>
        <w:t xml:space="preserve">Ferreira, F. et al. </w:t>
      </w:r>
      <w:r>
        <w:rPr>
          <w:iCs/>
          <w:i/>
        </w:rPr>
        <w:t xml:space="preserve">Economic Mobility and the Rise of the Latin American Middle Class</w:t>
      </w:r>
      <w:r>
        <w:t xml:space="preserve">. Washington: Banco Mundial, 2013.</w:t>
      </w:r>
    </w:p>
    <w:p>
      <w:pPr>
        <w:numPr>
          <w:ilvl w:val="0"/>
          <w:numId w:val="1017"/>
        </w:numPr>
        <w:pStyle w:val="Compact"/>
      </w:pPr>
      <w:r>
        <w:t xml:space="preserve">Medeiros, M.; Souza, P.; Castro, F. O topo da distribuição de renda no Brasil.</w:t>
      </w:r>
      <w:r>
        <w:t xml:space="preserve"> </w:t>
      </w:r>
      <w:r>
        <w:rPr>
          <w:iCs/>
          <w:i/>
        </w:rPr>
        <w:t xml:space="preserve">Dados</w:t>
      </w:r>
      <w:r>
        <w:t xml:space="preserve">, 58(1), 2015. doi:10.1590/00115258201537.</w:t>
      </w:r>
    </w:p>
    <w:p>
      <w:pPr>
        <w:numPr>
          <w:ilvl w:val="0"/>
          <w:numId w:val="1017"/>
        </w:numPr>
        <w:pStyle w:val="Compact"/>
      </w:pPr>
      <w:r>
        <w:t xml:space="preserve">Pochmann, M.</w:t>
      </w:r>
      <w:r>
        <w:t xml:space="preserve"> </w:t>
      </w:r>
      <w:r>
        <w:rPr>
          <w:iCs/>
          <w:i/>
        </w:rPr>
        <w:t xml:space="preserve">O mito da grande classe média</w:t>
      </w:r>
      <w:r>
        <w:t xml:space="preserve">. São Paulo: Boitempo, 2014.</w:t>
      </w:r>
    </w:p>
    <w:p>
      <w:pPr>
        <w:numPr>
          <w:ilvl w:val="0"/>
          <w:numId w:val="1017"/>
        </w:numPr>
        <w:pStyle w:val="Compact"/>
      </w:pPr>
      <w:r>
        <w:t xml:space="preserve">Souza, J.</w:t>
      </w:r>
      <w:r>
        <w:t xml:space="preserve"> </w:t>
      </w:r>
      <w:r>
        <w:rPr>
          <w:iCs/>
          <w:i/>
        </w:rPr>
        <w:t xml:space="preserve">Os batalhadores brasileiros</w:t>
      </w:r>
      <w:r>
        <w:t xml:space="preserve">. Belo Horizonte: Editora UFMG, 2010.</w:t>
      </w:r>
    </w:p>
    <w:bookmarkEnd w:id="280"/>
    <w:bookmarkStart w:id="281" w:name="comunicação-redes-e-mobilização"/>
    <w:p>
      <w:pPr>
        <w:pStyle w:val="Heading3"/>
      </w:pPr>
      <w:r>
        <w:t xml:space="preserve">Comunicação, redes e mobilização</w:t>
      </w:r>
    </w:p>
    <w:p>
      <w:pPr>
        <w:numPr>
          <w:ilvl w:val="0"/>
          <w:numId w:val="1018"/>
        </w:numPr>
        <w:pStyle w:val="Compact"/>
      </w:pPr>
      <w:r>
        <w:t xml:space="preserve">Brady, W. et al. Emotion shapes the diffusion of moralized content in social networks.</w:t>
      </w:r>
      <w:r>
        <w:t xml:space="preserve"> </w:t>
      </w:r>
      <w:r>
        <w:rPr>
          <w:iCs/>
          <w:i/>
        </w:rPr>
        <w:t xml:space="preserve">PNAS</w:t>
      </w:r>
      <w:r>
        <w:t xml:space="preserve">, 114(28), 2017. doi:10.1073/pnas.1618923114.</w:t>
      </w:r>
    </w:p>
    <w:p>
      <w:pPr>
        <w:numPr>
          <w:ilvl w:val="0"/>
          <w:numId w:val="1018"/>
        </w:numPr>
        <w:pStyle w:val="Compact"/>
      </w:pPr>
      <w:r>
        <w:t xml:space="preserve">Evangelista, R.; Bruno, F. WhatsApp and political instability in Brazil.</w:t>
      </w:r>
      <w:r>
        <w:t xml:space="preserve"> </w:t>
      </w:r>
      <w:r>
        <w:rPr>
          <w:iCs/>
          <w:i/>
        </w:rPr>
        <w:t xml:space="preserve">Internet Policy Review</w:t>
      </w:r>
      <w:r>
        <w:t xml:space="preserve">, 8(4), 2019. doi:10.14763/2019.4.1434.</w:t>
      </w:r>
    </w:p>
    <w:p>
      <w:pPr>
        <w:numPr>
          <w:ilvl w:val="0"/>
          <w:numId w:val="1018"/>
        </w:numPr>
        <w:pStyle w:val="Compact"/>
      </w:pPr>
      <w:r>
        <w:t xml:space="preserve">Gerber, A.; Green, D. The effects of canvassing, telephone calls, and direct mail on voter turnout.</w:t>
      </w:r>
      <w:r>
        <w:t xml:space="preserve"> </w:t>
      </w:r>
      <w:r>
        <w:rPr>
          <w:iCs/>
          <w:i/>
        </w:rPr>
        <w:t xml:space="preserve">American Political Science Review</w:t>
      </w:r>
      <w:r>
        <w:t xml:space="preserve">, 94(3), 2000. doi:10.2307/2585837.</w:t>
      </w:r>
    </w:p>
    <w:p>
      <w:pPr>
        <w:numPr>
          <w:ilvl w:val="0"/>
          <w:numId w:val="1018"/>
        </w:numPr>
        <w:pStyle w:val="Compact"/>
      </w:pPr>
      <w:r>
        <w:t xml:space="preserve">Guess, A. et al. How do social media feed algorithms affect attitudes and behavior in an election campaign?</w:t>
      </w:r>
      <w:r>
        <w:t xml:space="preserve"> </w:t>
      </w:r>
      <w:r>
        <w:rPr>
          <w:iCs/>
          <w:i/>
        </w:rPr>
        <w:t xml:space="preserve">Science</w:t>
      </w:r>
      <w:r>
        <w:t xml:space="preserve">, 381, 2023. doi:10.1126/science.abp9364.</w:t>
      </w:r>
    </w:p>
    <w:p>
      <w:pPr>
        <w:numPr>
          <w:ilvl w:val="0"/>
          <w:numId w:val="1018"/>
        </w:numPr>
        <w:pStyle w:val="Compact"/>
      </w:pPr>
      <w:r>
        <w:t xml:space="preserve">Kalla, J.; Broockman, D. The minimal persuasive effects of campaign contact in general elections.</w:t>
      </w:r>
      <w:r>
        <w:t xml:space="preserve"> </w:t>
      </w:r>
      <w:r>
        <w:rPr>
          <w:iCs/>
          <w:i/>
        </w:rPr>
        <w:t xml:space="preserve">American Political Science Review</w:t>
      </w:r>
      <w:r>
        <w:t xml:space="preserve">, 112(1), 2018. doi:10.1017/s0003055417000363.</w:t>
      </w:r>
    </w:p>
    <w:p>
      <w:pPr>
        <w:numPr>
          <w:ilvl w:val="0"/>
          <w:numId w:val="1018"/>
        </w:numPr>
        <w:pStyle w:val="Compact"/>
      </w:pPr>
      <w:r>
        <w:t xml:space="preserve">Roozenbeek, J. et al. Psychological inoculation improves resilience against misinformation on social media.</w:t>
      </w:r>
      <w:r>
        <w:t xml:space="preserve"> </w:t>
      </w:r>
      <w:r>
        <w:rPr>
          <w:iCs/>
          <w:i/>
        </w:rPr>
        <w:t xml:space="preserve">Science Advances</w:t>
      </w:r>
      <w:r>
        <w:t xml:space="preserve">, 8(34), 2022. doi:10.1126/sciadv.abo6254.</w:t>
      </w:r>
    </w:p>
    <w:p>
      <w:pPr>
        <w:numPr>
          <w:ilvl w:val="0"/>
          <w:numId w:val="1018"/>
        </w:numPr>
        <w:pStyle w:val="Compact"/>
      </w:pPr>
      <w:r>
        <w:t xml:space="preserve">Vosoughi, S.; Roy, D.; Aral, S. The spread of true and false news online.</w:t>
      </w:r>
      <w:r>
        <w:t xml:space="preserve"> </w:t>
      </w:r>
      <w:r>
        <w:rPr>
          <w:iCs/>
          <w:i/>
        </w:rPr>
        <w:t xml:space="preserve">Science</w:t>
      </w:r>
      <w:r>
        <w:t xml:space="preserve">, 359, 2018. doi:10.1126/science.aap9559.</w:t>
      </w:r>
    </w:p>
    <w:bookmarkEnd w:id="281"/>
    <w:bookmarkStart w:id="282" w:name="sociologia-da-religião"/>
    <w:p>
      <w:pPr>
        <w:pStyle w:val="Heading3"/>
      </w:pPr>
      <w:r>
        <w:t xml:space="preserve">Sociologia da religião</w:t>
      </w:r>
    </w:p>
    <w:p>
      <w:pPr>
        <w:numPr>
          <w:ilvl w:val="0"/>
          <w:numId w:val="1019"/>
        </w:numPr>
        <w:pStyle w:val="Compact"/>
      </w:pPr>
      <w:r>
        <w:t xml:space="preserve">Almeida, R. Bolsonaro presidente: conservadorismo, evangelismo e a crise brasileira.</w:t>
      </w:r>
      <w:r>
        <w:t xml:space="preserve"> </w:t>
      </w:r>
      <w:r>
        <w:rPr>
          <w:iCs/>
          <w:i/>
        </w:rPr>
        <w:t xml:space="preserve">Novos Estudos CEBRAP</w:t>
      </w:r>
      <w:r>
        <w:t xml:space="preserve">, 38(1), 2019.</w:t>
      </w:r>
    </w:p>
    <w:p>
      <w:pPr>
        <w:numPr>
          <w:ilvl w:val="0"/>
          <w:numId w:val="1019"/>
        </w:numPr>
        <w:pStyle w:val="Compact"/>
      </w:pPr>
      <w:r>
        <w:t xml:space="preserve">Berger, P.</w:t>
      </w:r>
      <w:r>
        <w:t xml:space="preserve"> </w:t>
      </w:r>
      <w:r>
        <w:rPr>
          <w:iCs/>
          <w:i/>
        </w:rPr>
        <w:t xml:space="preserve">O dossel sagrado: elementos para uma teoria sociológica da religião</w:t>
      </w:r>
      <w:r>
        <w:t xml:space="preserve">. São Paulo: Paulus, 1985 [1967].</w:t>
      </w:r>
    </w:p>
    <w:p>
      <w:pPr>
        <w:numPr>
          <w:ilvl w:val="0"/>
          <w:numId w:val="1019"/>
        </w:numPr>
        <w:pStyle w:val="Compact"/>
      </w:pPr>
      <w:r>
        <w:t xml:space="preserve">Mariano, R.</w:t>
      </w:r>
      <w:r>
        <w:t xml:space="preserve"> </w:t>
      </w:r>
      <w:r>
        <w:rPr>
          <w:iCs/>
          <w:i/>
        </w:rPr>
        <w:t xml:space="preserve">Neopentecostais: sociologia do novo pentecostalismo no Brasil</w:t>
      </w:r>
      <w:r>
        <w:t xml:space="preserve">. São Paulo: Loyola, 1999.</w:t>
      </w:r>
    </w:p>
    <w:p>
      <w:pPr>
        <w:numPr>
          <w:ilvl w:val="0"/>
          <w:numId w:val="1019"/>
        </w:numPr>
        <w:pStyle w:val="Compact"/>
      </w:pPr>
      <w:r>
        <w:t xml:space="preserve">Pierucci, A. F.; Prandi, R.</w:t>
      </w:r>
      <w:r>
        <w:t xml:space="preserve"> </w:t>
      </w:r>
      <w:r>
        <w:rPr>
          <w:iCs/>
          <w:i/>
        </w:rPr>
        <w:t xml:space="preserve">A realidade social das religiões no Brasil</w:t>
      </w:r>
      <w:r>
        <w:t xml:space="preserve">. São Paulo: Hucitec, 1996.</w:t>
      </w:r>
    </w:p>
    <w:p>
      <w:pPr>
        <w:numPr>
          <w:ilvl w:val="0"/>
          <w:numId w:val="1019"/>
        </w:numPr>
        <w:pStyle w:val="Compact"/>
      </w:pPr>
      <w:r>
        <w:t xml:space="preserve">Stark, R.; Finke, R.</w:t>
      </w:r>
      <w:r>
        <w:t xml:space="preserve"> </w:t>
      </w:r>
      <w:r>
        <w:rPr>
          <w:iCs/>
          <w:i/>
        </w:rPr>
        <w:t xml:space="preserve">Acts of Faith: Explaining the Human Side of Religion</w:t>
      </w:r>
      <w:r>
        <w:t xml:space="preserve">. University of California Press, 2000.</w:t>
      </w:r>
    </w:p>
    <w:p>
      <w:pPr>
        <w:numPr>
          <w:ilvl w:val="0"/>
          <w:numId w:val="1019"/>
        </w:numPr>
        <w:pStyle w:val="Compact"/>
      </w:pPr>
      <w:r>
        <w:t xml:space="preserve">Spyer, J.</w:t>
      </w:r>
      <w:r>
        <w:t xml:space="preserve"> </w:t>
      </w:r>
      <w:r>
        <w:rPr>
          <w:iCs/>
          <w:i/>
        </w:rPr>
        <w:t xml:space="preserve">Povo de Deus: quem são os evangélicos e por que eles importam</w:t>
      </w:r>
      <w:r>
        <w:t xml:space="preserve">. São Paulo: Geração Editorial, 2020.</w:t>
      </w:r>
    </w:p>
    <w:p>
      <w:pPr>
        <w:numPr>
          <w:ilvl w:val="0"/>
          <w:numId w:val="1019"/>
        </w:numPr>
        <w:pStyle w:val="Compact"/>
      </w:pPr>
      <w:r>
        <w:t xml:space="preserve">Weber, M.</w:t>
      </w:r>
      <w:r>
        <w:t xml:space="preserve"> </w:t>
      </w:r>
      <w:r>
        <w:rPr>
          <w:iCs/>
          <w:i/>
        </w:rPr>
        <w:t xml:space="preserve">A ética protestante e o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espírito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do capitalismo</w:t>
      </w:r>
      <w:r>
        <w:t xml:space="preserve">. São Paulo: Companhia das Letras, 2004 [1904–1905].</w:t>
      </w:r>
    </w:p>
    <w:bookmarkEnd w:id="282"/>
    <w:bookmarkStart w:id="283" w:name="elites-revolução-movimentos-e-hegemonia"/>
    <w:p>
      <w:pPr>
        <w:pStyle w:val="Heading3"/>
      </w:pPr>
      <w:r>
        <w:t xml:space="preserve">Elites, revolução, movimentos e hegemonia</w:t>
      </w:r>
    </w:p>
    <w:p>
      <w:pPr>
        <w:numPr>
          <w:ilvl w:val="0"/>
          <w:numId w:val="1020"/>
        </w:numPr>
        <w:pStyle w:val="Compact"/>
      </w:pPr>
      <w:r>
        <w:t xml:space="preserve">Ganz, M.</w:t>
      </w:r>
      <w:r>
        <w:t xml:space="preserve"> </w:t>
      </w:r>
      <w:r>
        <w:rPr>
          <w:iCs/>
          <w:i/>
        </w:rPr>
        <w:t xml:space="preserve">Why David Sometimes Wins</w:t>
      </w:r>
      <w:r>
        <w:t xml:space="preserve">. Oxford University Press, 2009.</w:t>
      </w:r>
    </w:p>
    <w:p>
      <w:pPr>
        <w:numPr>
          <w:ilvl w:val="0"/>
          <w:numId w:val="1020"/>
        </w:numPr>
        <w:pStyle w:val="Compact"/>
      </w:pPr>
      <w:r>
        <w:t xml:space="preserve">Gramsci, A.</w:t>
      </w:r>
      <w:r>
        <w:t xml:space="preserve"> </w:t>
      </w:r>
      <w:r>
        <w:rPr>
          <w:iCs/>
          <w:i/>
        </w:rPr>
        <w:t xml:space="preserve">Cadernos do cárcere</w:t>
      </w:r>
      <w:r>
        <w:t xml:space="preserve">. Rio de Janeiro: Civilização Brasileira, 1999–2002.</w:t>
      </w:r>
    </w:p>
    <w:p>
      <w:pPr>
        <w:numPr>
          <w:ilvl w:val="0"/>
          <w:numId w:val="1020"/>
        </w:numPr>
        <w:pStyle w:val="Compact"/>
      </w:pPr>
      <w:r>
        <w:t xml:space="preserve">Han, H.</w:t>
      </w:r>
      <w:r>
        <w:t xml:space="preserve"> </w:t>
      </w:r>
      <w:r>
        <w:rPr>
          <w:iCs/>
          <w:i/>
        </w:rPr>
        <w:t xml:space="preserve">How Organizations Develop Activists</w:t>
      </w:r>
      <w:r>
        <w:t xml:space="preserve">. Oxford University Press, 2014.</w:t>
      </w:r>
    </w:p>
    <w:p>
      <w:pPr>
        <w:numPr>
          <w:ilvl w:val="0"/>
          <w:numId w:val="1020"/>
        </w:numPr>
        <w:pStyle w:val="Compact"/>
      </w:pPr>
      <w:r>
        <w:t xml:space="preserve">McAdam, D.; McCarthy, J.; Zald, M. (orgs.).</w:t>
      </w:r>
      <w:r>
        <w:t xml:space="preserve"> </w:t>
      </w:r>
      <w:r>
        <w:rPr>
          <w:iCs/>
          <w:i/>
        </w:rPr>
        <w:t xml:space="preserve">Comparative Perspectives on Social Movements</w:t>
      </w:r>
      <w:r>
        <w:t xml:space="preserve">. Cambridge University Press, 1996.</w:t>
      </w:r>
    </w:p>
    <w:p>
      <w:pPr>
        <w:numPr>
          <w:ilvl w:val="0"/>
          <w:numId w:val="1020"/>
        </w:numPr>
        <w:pStyle w:val="Compact"/>
      </w:pPr>
      <w:r>
        <w:t xml:space="preserve">McCarthy, J.; Zald, M. Resource mobilization and social movements: a partial theory.</w:t>
      </w:r>
      <w:r>
        <w:t xml:space="preserve"> </w:t>
      </w:r>
      <w:r>
        <w:rPr>
          <w:iCs/>
          <w:i/>
        </w:rPr>
        <w:t xml:space="preserve">American Journal of Sociology</w:t>
      </w:r>
      <w:r>
        <w:t xml:space="preserve">, 82(6), 1977.</w:t>
      </w:r>
    </w:p>
    <w:p>
      <w:pPr>
        <w:numPr>
          <w:ilvl w:val="0"/>
          <w:numId w:val="1020"/>
        </w:numPr>
        <w:pStyle w:val="Compact"/>
      </w:pPr>
      <w:r>
        <w:t xml:space="preserve">McAdam, D.</w:t>
      </w:r>
      <w:r>
        <w:t xml:space="preserve"> </w:t>
      </w:r>
      <w:r>
        <w:rPr>
          <w:iCs/>
          <w:i/>
        </w:rPr>
        <w:t xml:space="preserve">Political Process and the Development of Black Insurgency, 1930–1970</w:t>
      </w:r>
      <w:r>
        <w:t xml:space="preserve">. University of Chicago Press, 1982.</w:t>
      </w:r>
    </w:p>
    <w:p>
      <w:pPr>
        <w:numPr>
          <w:ilvl w:val="0"/>
          <w:numId w:val="1020"/>
        </w:numPr>
        <w:pStyle w:val="Compact"/>
      </w:pPr>
      <w:r>
        <w:t xml:space="preserve">Michels, R.</w:t>
      </w:r>
      <w:r>
        <w:t xml:space="preserve"> </w:t>
      </w:r>
      <w:r>
        <w:rPr>
          <w:iCs/>
          <w:i/>
        </w:rPr>
        <w:t xml:space="preserve">Sociologia dos partidos políticos</w:t>
      </w:r>
      <w:r>
        <w:t xml:space="preserve">. Brasília: UnB, 1982 [1911].</w:t>
      </w:r>
    </w:p>
    <w:p>
      <w:pPr>
        <w:numPr>
          <w:ilvl w:val="0"/>
          <w:numId w:val="1020"/>
        </w:numPr>
        <w:pStyle w:val="Compact"/>
      </w:pPr>
      <w:r>
        <w:t xml:space="preserve">Mills, C. W.</w:t>
      </w:r>
      <w:r>
        <w:t xml:space="preserve"> </w:t>
      </w:r>
      <w:r>
        <w:rPr>
          <w:iCs/>
          <w:i/>
        </w:rPr>
        <w:t xml:space="preserve">A elite do poder</w:t>
      </w:r>
      <w:r>
        <w:t xml:space="preserve">. Rio de Janeiro: Zahar, 1962 [1956].</w:t>
      </w:r>
    </w:p>
    <w:p>
      <w:pPr>
        <w:numPr>
          <w:ilvl w:val="0"/>
          <w:numId w:val="1020"/>
        </w:numPr>
        <w:pStyle w:val="Compact"/>
      </w:pPr>
      <w:r>
        <w:t xml:space="preserve">Skocpol, T.</w:t>
      </w:r>
      <w:r>
        <w:t xml:space="preserve"> </w:t>
      </w:r>
      <w:r>
        <w:rPr>
          <w:iCs/>
          <w:i/>
        </w:rPr>
        <w:t xml:space="preserve">States and Social Revolutions</w:t>
      </w:r>
      <w:r>
        <w:t xml:space="preserve">. Cambridge University Press, 1979.</w:t>
      </w:r>
    </w:p>
    <w:p>
      <w:pPr>
        <w:numPr>
          <w:ilvl w:val="0"/>
          <w:numId w:val="1020"/>
        </w:numPr>
        <w:pStyle w:val="Compact"/>
      </w:pPr>
      <w:r>
        <w:t xml:space="preserve">Tarrow, S.</w:t>
      </w:r>
      <w:r>
        <w:t xml:space="preserve"> </w:t>
      </w:r>
      <w:r>
        <w:rPr>
          <w:iCs/>
          <w:i/>
        </w:rPr>
        <w:t xml:space="preserve">O poder em movimento</w:t>
      </w:r>
      <w:r>
        <w:t xml:space="preserve">. Petrópolis: Vozes, 2009 [1998].</w:t>
      </w:r>
    </w:p>
    <w:p>
      <w:pPr>
        <w:numPr>
          <w:ilvl w:val="0"/>
          <w:numId w:val="1020"/>
        </w:numPr>
        <w:pStyle w:val="Compact"/>
      </w:pPr>
      <w:r>
        <w:t xml:space="preserve">Tilly, C.</w:t>
      </w:r>
      <w:r>
        <w:t xml:space="preserve"> </w:t>
      </w:r>
      <w:r>
        <w:rPr>
          <w:iCs/>
          <w:i/>
        </w:rPr>
        <w:t xml:space="preserve">From Mobilization to Revolution</w:t>
      </w:r>
      <w:r>
        <w:t xml:space="preserve">. Reading: Addison-Wesley, 1978.</w:t>
      </w:r>
    </w:p>
    <w:bookmarkEnd w:id="283"/>
    <w:bookmarkStart w:id="284" w:name="teoria-democrática"/>
    <w:p>
      <w:pPr>
        <w:pStyle w:val="Heading3"/>
      </w:pPr>
      <w:r>
        <w:t xml:space="preserve">Teoria democrática</w:t>
      </w:r>
    </w:p>
    <w:p>
      <w:pPr>
        <w:numPr>
          <w:ilvl w:val="0"/>
          <w:numId w:val="1021"/>
        </w:numPr>
        <w:pStyle w:val="Compact"/>
      </w:pPr>
      <w:r>
        <w:t xml:space="preserve">Avritzer, L.</w:t>
      </w:r>
      <w:r>
        <w:t xml:space="preserve"> </w:t>
      </w:r>
      <w:r>
        <w:rPr>
          <w:iCs/>
          <w:i/>
        </w:rPr>
        <w:t xml:space="preserve">O pêndulo da democracia</w:t>
      </w:r>
      <w:r>
        <w:t xml:space="preserve">. São Paulo: Todavia, 2019.</w:t>
      </w:r>
    </w:p>
    <w:p>
      <w:pPr>
        <w:numPr>
          <w:ilvl w:val="0"/>
          <w:numId w:val="1021"/>
        </w:numPr>
        <w:pStyle w:val="Compact"/>
      </w:pPr>
      <w:r>
        <w:t xml:space="preserve">Dahl, R.</w:t>
      </w:r>
      <w:r>
        <w:t xml:space="preserve"> </w:t>
      </w:r>
      <w:r>
        <w:rPr>
          <w:iCs/>
          <w:i/>
        </w:rPr>
        <w:t xml:space="preserve">Poliarquia</w:t>
      </w:r>
      <w:r>
        <w:t xml:space="preserve">. São Paulo: Edusp, 1997 [1971].</w:t>
      </w:r>
    </w:p>
    <w:p>
      <w:pPr>
        <w:numPr>
          <w:ilvl w:val="0"/>
          <w:numId w:val="1021"/>
        </w:numPr>
        <w:pStyle w:val="Compact"/>
      </w:pPr>
      <w:r>
        <w:t xml:space="preserve">Levitsky, S.; Ziblatt, D.</w:t>
      </w:r>
      <w:r>
        <w:t xml:space="preserve"> </w:t>
      </w:r>
      <w:r>
        <w:rPr>
          <w:iCs/>
          <w:i/>
        </w:rPr>
        <w:t xml:space="preserve">Como as democracias morrem</w:t>
      </w:r>
      <w:r>
        <w:t xml:space="preserve">. Rio de Janeiro: Zahar, 2018.</w:t>
      </w:r>
    </w:p>
    <w:p>
      <w:pPr>
        <w:numPr>
          <w:ilvl w:val="0"/>
          <w:numId w:val="1021"/>
        </w:numPr>
        <w:pStyle w:val="Compact"/>
      </w:pPr>
      <w:r>
        <w:t xml:space="preserve">Loewenstein, K. Militant democracy and fundamental rights.</w:t>
      </w:r>
      <w:r>
        <w:t xml:space="preserve"> </w:t>
      </w:r>
      <w:r>
        <w:rPr>
          <w:iCs/>
          <w:i/>
        </w:rPr>
        <w:t xml:space="preserve">American Political Science Review</w:t>
      </w:r>
      <w:r>
        <w:t xml:space="preserve">, 31(3), 1937.</w:t>
      </w:r>
    </w:p>
    <w:p>
      <w:pPr>
        <w:numPr>
          <w:ilvl w:val="0"/>
          <w:numId w:val="1021"/>
        </w:numPr>
        <w:pStyle w:val="Compact"/>
      </w:pPr>
      <w:r>
        <w:t xml:space="preserve">Mouffe, C.</w:t>
      </w:r>
      <w:r>
        <w:t xml:space="preserve"> </w:t>
      </w:r>
      <w:r>
        <w:rPr>
          <w:iCs/>
          <w:i/>
        </w:rPr>
        <w:t xml:space="preserve">Sobre o político</w:t>
      </w:r>
      <w:r>
        <w:t xml:space="preserve">. São Paulo: WMF Martins Fontes, 2015 [2005].</w:t>
      </w:r>
    </w:p>
    <w:p>
      <w:pPr>
        <w:numPr>
          <w:ilvl w:val="0"/>
          <w:numId w:val="1021"/>
        </w:numPr>
        <w:pStyle w:val="Compact"/>
      </w:pPr>
      <w:r>
        <w:t xml:space="preserve">Nicolau, J.</w:t>
      </w:r>
      <w:r>
        <w:t xml:space="preserve"> </w:t>
      </w:r>
      <w:r>
        <w:rPr>
          <w:iCs/>
          <w:i/>
        </w:rPr>
        <w:t xml:space="preserve">O Brasil dobrou à direita</w:t>
      </w:r>
      <w:r>
        <w:t xml:space="preserve">. Rio de Janeiro: Zahar, 2020.</w:t>
      </w:r>
    </w:p>
    <w:p>
      <w:pPr>
        <w:numPr>
          <w:ilvl w:val="0"/>
          <w:numId w:val="1021"/>
        </w:numPr>
        <w:pStyle w:val="Compact"/>
      </w:pPr>
      <w:r>
        <w:t xml:space="preserve">O’Donnell, G. Accountability horizontal e novas poliarquias.</w:t>
      </w:r>
      <w:r>
        <w:t xml:space="preserve"> </w:t>
      </w:r>
      <w:r>
        <w:rPr>
          <w:iCs/>
          <w:i/>
        </w:rPr>
        <w:t xml:space="preserve">Lua Nova</w:t>
      </w:r>
      <w:r>
        <w:t xml:space="preserve">, 44, 1998.</w:t>
      </w:r>
    </w:p>
    <w:p>
      <w:pPr>
        <w:numPr>
          <w:ilvl w:val="0"/>
          <w:numId w:val="1021"/>
        </w:numPr>
        <w:pStyle w:val="Compact"/>
      </w:pPr>
      <w:r>
        <w:t xml:space="preserve">Przeworski, A.</w:t>
      </w:r>
      <w:r>
        <w:t xml:space="preserve"> </w:t>
      </w:r>
      <w:r>
        <w:rPr>
          <w:iCs/>
          <w:i/>
        </w:rPr>
        <w:t xml:space="preserve">Crises da democracia</w:t>
      </w:r>
      <w:r>
        <w:t xml:space="preserve">. Rio de Janeiro: Zahar, 2020 [2019].</w:t>
      </w:r>
    </w:p>
    <w:bookmarkEnd w:id="284"/>
    <w:bookmarkStart w:id="285" w:name="Xf6efb8b05ceaff4b21dc455c1c830968c81c72b"/>
    <w:p>
      <w:pPr>
        <w:pStyle w:val="Heading3"/>
      </w:pPr>
      <w:r>
        <w:t xml:space="preserve">Ator-rede, enquadramentos e hiper-realidade</w:t>
      </w:r>
    </w:p>
    <w:p>
      <w:pPr>
        <w:numPr>
          <w:ilvl w:val="0"/>
          <w:numId w:val="1022"/>
        </w:numPr>
        <w:pStyle w:val="Compact"/>
      </w:pPr>
      <w:r>
        <w:t xml:space="preserve">Baudrillard, J.</w:t>
      </w:r>
      <w:r>
        <w:t xml:space="preserve"> </w:t>
      </w:r>
      <w:r>
        <w:rPr>
          <w:iCs/>
          <w:i/>
        </w:rPr>
        <w:t xml:space="preserve">Simulacros e simulação</w:t>
      </w:r>
      <w:r>
        <w:t xml:space="preserve">. Lisboa: Relógio d’Água, 1991 [1981].</w:t>
      </w:r>
    </w:p>
    <w:p>
      <w:pPr>
        <w:numPr>
          <w:ilvl w:val="0"/>
          <w:numId w:val="1022"/>
        </w:numPr>
        <w:pStyle w:val="Compact"/>
      </w:pPr>
      <w:r>
        <w:t xml:space="preserve">Callon, M. Some elements of a sociology of translation. In: Law, J. (org.).</w:t>
      </w:r>
      <w:r>
        <w:t xml:space="preserve"> </w:t>
      </w:r>
      <w:r>
        <w:rPr>
          <w:iCs/>
          <w:i/>
        </w:rPr>
        <w:t xml:space="preserve">Power, Action and Belief</w:t>
      </w:r>
      <w:r>
        <w:t xml:space="preserve">. Londres: Routledge, 1986.</w:t>
      </w:r>
    </w:p>
    <w:p>
      <w:pPr>
        <w:numPr>
          <w:ilvl w:val="0"/>
          <w:numId w:val="1022"/>
        </w:numPr>
        <w:pStyle w:val="Compact"/>
      </w:pPr>
      <w:r>
        <w:t xml:space="preserve">Cesarino, L.</w:t>
      </w:r>
      <w:r>
        <w:t xml:space="preserve"> </w:t>
      </w:r>
      <w:r>
        <w:rPr>
          <w:iCs/>
          <w:i/>
        </w:rPr>
        <w:t xml:space="preserve">O mundo do avesso: verdade e política na era digital</w:t>
      </w:r>
      <w:r>
        <w:t xml:space="preserve">. São Paulo: Ubu, 2022.</w:t>
      </w:r>
    </w:p>
    <w:p>
      <w:pPr>
        <w:numPr>
          <w:ilvl w:val="0"/>
          <w:numId w:val="1022"/>
        </w:numPr>
        <w:pStyle w:val="Compact"/>
      </w:pPr>
      <w:r>
        <w:t xml:space="preserve">Debord, G.</w:t>
      </w:r>
      <w:r>
        <w:t xml:space="preserve"> </w:t>
      </w:r>
      <w:r>
        <w:rPr>
          <w:iCs/>
          <w:i/>
        </w:rPr>
        <w:t xml:space="preserve">A sociedade do espetáculo</w:t>
      </w:r>
      <w:r>
        <w:t xml:space="preserve">. Rio de Janeiro: Contraponto, 1997 [1967].</w:t>
      </w:r>
    </w:p>
    <w:p>
      <w:pPr>
        <w:numPr>
          <w:ilvl w:val="0"/>
          <w:numId w:val="1022"/>
        </w:numPr>
        <w:pStyle w:val="Compact"/>
      </w:pPr>
      <w:r>
        <w:t xml:space="preserve">Empoli, G.</w:t>
      </w:r>
      <w:r>
        <w:t xml:space="preserve"> </w:t>
      </w:r>
      <w:r>
        <w:rPr>
          <w:iCs/>
          <w:i/>
        </w:rPr>
        <w:t xml:space="preserve">Os engenheiros do caos</w:t>
      </w:r>
      <w:r>
        <w:t xml:space="preserve">. São Paulo: Vestígio, 2019.</w:t>
      </w:r>
    </w:p>
    <w:p>
      <w:pPr>
        <w:numPr>
          <w:ilvl w:val="0"/>
          <w:numId w:val="1022"/>
        </w:numPr>
        <w:pStyle w:val="Compact"/>
      </w:pPr>
      <w:r>
        <w:t xml:space="preserve">Goffman, E.</w:t>
      </w:r>
      <w:r>
        <w:t xml:space="preserve"> </w:t>
      </w:r>
      <w:r>
        <w:rPr>
          <w:iCs/>
          <w:i/>
        </w:rPr>
        <w:t xml:space="preserve">Frame Analysis</w:t>
      </w:r>
      <w:r>
        <w:t xml:space="preserve">. Harvard University Press, 1974.</w:t>
      </w:r>
    </w:p>
    <w:p>
      <w:pPr>
        <w:numPr>
          <w:ilvl w:val="0"/>
          <w:numId w:val="1022"/>
        </w:numPr>
        <w:pStyle w:val="Compact"/>
      </w:pPr>
      <w:r>
        <w:t xml:space="preserve">Lakoff, G.</w:t>
      </w:r>
      <w:r>
        <w:t xml:space="preserve"> </w:t>
      </w:r>
      <w:r>
        <w:rPr>
          <w:iCs/>
          <w:i/>
        </w:rPr>
        <w:t xml:space="preserve">Don’t Think of an Elephant!</w:t>
      </w:r>
      <w:r>
        <w:t xml:space="preserve"> </w:t>
      </w:r>
      <w:r>
        <w:t xml:space="preserve">White River Junction: Chelsea Green, 2004.</w:t>
      </w:r>
    </w:p>
    <w:p>
      <w:pPr>
        <w:numPr>
          <w:ilvl w:val="0"/>
          <w:numId w:val="1022"/>
        </w:numPr>
        <w:pStyle w:val="Compact"/>
      </w:pPr>
      <w:r>
        <w:t xml:space="preserve">Latour, B.</w:t>
      </w:r>
      <w:r>
        <w:t xml:space="preserve"> </w:t>
      </w:r>
      <w:r>
        <w:rPr>
          <w:iCs/>
          <w:i/>
        </w:rPr>
        <w:t xml:space="preserve">Reagregando o social</w:t>
      </w:r>
      <w:r>
        <w:t xml:space="preserve">. Salvador: Edufba; Bauru: Edusc, 2012 [2005].</w:t>
      </w:r>
    </w:p>
    <w:p>
      <w:pPr>
        <w:numPr>
          <w:ilvl w:val="0"/>
          <w:numId w:val="1022"/>
        </w:numPr>
        <w:pStyle w:val="Compact"/>
      </w:pPr>
      <w:r>
        <w:t xml:space="preserve">Snow, D.; Benford, R. Ideology, frame resonance, and participant mobilization.</w:t>
      </w:r>
      <w:r>
        <w:t xml:space="preserve"> </w:t>
      </w:r>
      <w:r>
        <w:rPr>
          <w:iCs/>
          <w:i/>
        </w:rPr>
        <w:t xml:space="preserve">International Social Movement Research</w:t>
      </w:r>
      <w:r>
        <w:t xml:space="preserve">, 1, 1988.</w:t>
      </w:r>
    </w:p>
    <w:bookmarkEnd w:id="285"/>
    <w:bookmarkStart w:id="286" w:name="Xc771764f6b23802f691c2b6cd36064ca91ca162"/>
    <w:p>
      <w:pPr>
        <w:pStyle w:val="Heading3"/>
      </w:pPr>
      <w:r>
        <w:t xml:space="preserve">Sociologia da violência e crime organizado</w:t>
      </w:r>
    </w:p>
    <w:p>
      <w:pPr>
        <w:numPr>
          <w:ilvl w:val="0"/>
          <w:numId w:val="1023"/>
        </w:numPr>
        <w:pStyle w:val="Compact"/>
      </w:pPr>
      <w:r>
        <w:t xml:space="preserve">Elias, N.</w:t>
      </w:r>
      <w:r>
        <w:t xml:space="preserve"> </w:t>
      </w:r>
      <w:r>
        <w:rPr>
          <w:iCs/>
          <w:i/>
        </w:rPr>
        <w:t xml:space="preserve">O processo civilizador</w:t>
      </w:r>
      <w:r>
        <w:t xml:space="preserve">. Rio de Janeiro: Zahar, 1990–1993 [1939].</w:t>
      </w:r>
    </w:p>
    <w:p>
      <w:pPr>
        <w:numPr>
          <w:ilvl w:val="0"/>
          <w:numId w:val="1023"/>
        </w:numPr>
        <w:pStyle w:val="Compact"/>
      </w:pPr>
      <w:r>
        <w:t xml:space="preserve">Fórum Brasileiro de Segurança Pública.</w:t>
      </w:r>
      <w:r>
        <w:t xml:space="preserve"> </w:t>
      </w:r>
      <w:r>
        <w:rPr>
          <w:iCs/>
          <w:i/>
        </w:rPr>
        <w:t xml:space="preserve">Anuário Brasileiro de Segurança Pública 2026</w:t>
      </w:r>
      <w:r>
        <w:t xml:space="preserve">. São Paulo: FBSP, 2026.</w:t>
      </w:r>
    </w:p>
    <w:p>
      <w:pPr>
        <w:numPr>
          <w:ilvl w:val="0"/>
          <w:numId w:val="1023"/>
        </w:numPr>
        <w:pStyle w:val="Compact"/>
      </w:pPr>
      <w:r>
        <w:t xml:space="preserve">Instituto Fogo Cruzado; GENI/UFF.</w:t>
      </w:r>
      <w:r>
        <w:t xml:space="preserve"> </w:t>
      </w:r>
      <w:r>
        <w:rPr>
          <w:iCs/>
          <w:i/>
        </w:rPr>
        <w:t xml:space="preserve">Mapa dos Grupos Armados do Grande Rio</w:t>
      </w:r>
      <w:r>
        <w:t xml:space="preserve">. 2024.</w:t>
      </w:r>
    </w:p>
    <w:p>
      <w:pPr>
        <w:numPr>
          <w:ilvl w:val="0"/>
          <w:numId w:val="1023"/>
        </w:numPr>
        <w:pStyle w:val="Compact"/>
      </w:pPr>
      <w:r>
        <w:t xml:space="preserve">Manso, B. P.</w:t>
      </w:r>
      <w:r>
        <w:t xml:space="preserve"> </w:t>
      </w:r>
      <w:r>
        <w:rPr>
          <w:iCs/>
          <w:i/>
        </w:rPr>
        <w:t xml:space="preserve">A república das milícias</w:t>
      </w:r>
      <w:r>
        <w:t xml:space="preserve">. São Paulo: Todavia, 2020.</w:t>
      </w:r>
    </w:p>
    <w:p>
      <w:pPr>
        <w:numPr>
          <w:ilvl w:val="0"/>
          <w:numId w:val="1023"/>
        </w:numPr>
        <w:pStyle w:val="Compact"/>
      </w:pPr>
      <w:r>
        <w:t xml:space="preserve">Manso, B. P.; Dias, C. N.</w:t>
      </w:r>
      <w:r>
        <w:t xml:space="preserve"> </w:t>
      </w:r>
      <w:r>
        <w:rPr>
          <w:iCs/>
          <w:i/>
        </w:rPr>
        <w:t xml:space="preserve">A guerra: a ascensão do PCC e o mundo do crime no Brasil</w:t>
      </w:r>
      <w:r>
        <w:t xml:space="preserve">. São Paulo: Todavia, 2018.</w:t>
      </w:r>
    </w:p>
    <w:p>
      <w:pPr>
        <w:numPr>
          <w:ilvl w:val="0"/>
          <w:numId w:val="1023"/>
        </w:numPr>
        <w:pStyle w:val="Compact"/>
      </w:pPr>
      <w:r>
        <w:t xml:space="preserve">Misse, M.</w:t>
      </w:r>
      <w:r>
        <w:t xml:space="preserve"> </w:t>
      </w:r>
      <w:r>
        <w:rPr>
          <w:iCs/>
          <w:i/>
        </w:rPr>
        <w:t xml:space="preserve">Crime e violência no Brasil contemporâneo</w:t>
      </w:r>
      <w:r>
        <w:t xml:space="preserve">. Rio de Janeiro: Lumen Juris, 2006.</w:t>
      </w:r>
    </w:p>
    <w:p>
      <w:pPr>
        <w:numPr>
          <w:ilvl w:val="0"/>
          <w:numId w:val="1023"/>
        </w:numPr>
        <w:pStyle w:val="Compact"/>
      </w:pPr>
      <w:r>
        <w:t xml:space="preserve">Tilly, C. War making and state making as organized crime. In: Evans, P.; Rueschemeyer, D.; Skocpol, T. (orgs.).</w:t>
      </w:r>
      <w:r>
        <w:t xml:space="preserve"> </w:t>
      </w:r>
      <w:r>
        <w:rPr>
          <w:iCs/>
          <w:i/>
        </w:rPr>
        <w:t xml:space="preserve">Bringing the State Back In</w:t>
      </w:r>
      <w:r>
        <w:t xml:space="preserve">. Cambridge University Press, 1985.</w:t>
      </w:r>
    </w:p>
    <w:p>
      <w:pPr>
        <w:numPr>
          <w:ilvl w:val="0"/>
          <w:numId w:val="1023"/>
        </w:numPr>
        <w:pStyle w:val="Compact"/>
      </w:pPr>
      <w:r>
        <w:t xml:space="preserve">Wacquant, L.</w:t>
      </w:r>
      <w:r>
        <w:t xml:space="preserve"> </w:t>
      </w:r>
      <w:r>
        <w:rPr>
          <w:iCs/>
          <w:i/>
        </w:rPr>
        <w:t xml:space="preserve">As prisões da miséria</w:t>
      </w:r>
      <w:r>
        <w:t xml:space="preserve">. Rio de Janeiro: Zahar, 2001 [1999].</w:t>
      </w:r>
    </w:p>
    <w:p>
      <w:pPr>
        <w:numPr>
          <w:ilvl w:val="0"/>
          <w:numId w:val="1023"/>
        </w:numPr>
        <w:pStyle w:val="Compact"/>
      </w:pPr>
      <w:r>
        <w:t xml:space="preserve">Zaluar, A.</w:t>
      </w:r>
      <w:r>
        <w:t xml:space="preserve"> </w:t>
      </w:r>
      <w:r>
        <w:rPr>
          <w:iCs/>
          <w:i/>
        </w:rPr>
        <w:t xml:space="preserve">A máquina e a revolta</w:t>
      </w:r>
      <w:r>
        <w:t xml:space="preserve">. São Paulo: Brasiliense, 1985.</w:t>
      </w:r>
    </w:p>
    <w:p>
      <w:pPr>
        <w:numPr>
          <w:ilvl w:val="0"/>
          <w:numId w:val="1023"/>
        </w:numPr>
        <w:pStyle w:val="Compact"/>
      </w:pPr>
      <w:r>
        <w:t xml:space="preserve">Zaluar, A.</w:t>
      </w:r>
      <w:r>
        <w:t xml:space="preserve"> </w:t>
      </w:r>
      <w:r>
        <w:rPr>
          <w:iCs/>
          <w:i/>
        </w:rPr>
        <w:t xml:space="preserve">Condomínio do diabo</w:t>
      </w:r>
      <w:r>
        <w:t xml:space="preserve">. Rio de Janeiro: Revan; Editora UFRJ, 1994.</w:t>
      </w:r>
    </w:p>
    <w:bookmarkEnd w:id="286"/>
    <w:bookmarkStart w:id="287" w:name="análise-de-conjuntura-e-prospectiva"/>
    <w:p>
      <w:pPr>
        <w:pStyle w:val="Heading3"/>
      </w:pPr>
      <w:r>
        <w:t xml:space="preserve">Análise de conjuntura e prospectiva</w:t>
      </w:r>
    </w:p>
    <w:p>
      <w:pPr>
        <w:numPr>
          <w:ilvl w:val="0"/>
          <w:numId w:val="1024"/>
        </w:numPr>
        <w:pStyle w:val="Compact"/>
      </w:pPr>
      <w:r>
        <w:t xml:space="preserve">Godet, M.</w:t>
      </w:r>
      <w:r>
        <w:t xml:space="preserve"> </w:t>
      </w:r>
      <w:r>
        <w:rPr>
          <w:iCs/>
          <w:i/>
        </w:rPr>
        <w:t xml:space="preserve">Manual de prospectiva estratégica</w:t>
      </w:r>
      <w:r>
        <w:t xml:space="preserve">. Lisboa: Dom Quixote, 1993.</w:t>
      </w:r>
    </w:p>
    <w:p>
      <w:pPr>
        <w:numPr>
          <w:ilvl w:val="0"/>
          <w:numId w:val="1024"/>
        </w:numPr>
        <w:pStyle w:val="Compact"/>
      </w:pPr>
      <w:r>
        <w:t xml:space="preserve">Godet, M.; Durance, P.</w:t>
      </w:r>
      <w:r>
        <w:t xml:space="preserve"> </w:t>
      </w:r>
      <w:r>
        <w:rPr>
          <w:iCs/>
          <w:i/>
        </w:rPr>
        <w:t xml:space="preserve">A prospectiva estratégica para as empresas e os territórios</w:t>
      </w:r>
      <w:r>
        <w:t xml:space="preserve">. Paris: Dunod; Unesco, 2011.</w:t>
      </w:r>
    </w:p>
    <w:p>
      <w:pPr>
        <w:numPr>
          <w:ilvl w:val="0"/>
          <w:numId w:val="1024"/>
        </w:numPr>
        <w:pStyle w:val="Compact"/>
      </w:pPr>
      <w:r>
        <w:t xml:space="preserve">Sharpe, B.</w:t>
      </w:r>
      <w:r>
        <w:t xml:space="preserve"> </w:t>
      </w:r>
      <w:r>
        <w:rPr>
          <w:iCs/>
          <w:i/>
        </w:rPr>
        <w:t xml:space="preserve">Three Horizons: The Patterning of Hope</w:t>
      </w:r>
      <w:r>
        <w:t xml:space="preserve">. Axminster: Triarchy Press, 2013.</w:t>
      </w:r>
    </w:p>
    <w:p>
      <w:pPr>
        <w:numPr>
          <w:ilvl w:val="0"/>
          <w:numId w:val="1024"/>
        </w:numPr>
        <w:pStyle w:val="Compact"/>
      </w:pPr>
      <w:r>
        <w:t xml:space="preserve">Souza, H. de.</w:t>
      </w:r>
      <w:r>
        <w:t xml:space="preserve"> </w:t>
      </w:r>
      <w:r>
        <w:rPr>
          <w:iCs/>
          <w:i/>
        </w:rPr>
        <w:t xml:space="preserve">Como se faz análise de conjuntura</w:t>
      </w:r>
      <w:r>
        <w:t xml:space="preserve">. Petrópolis: Vozes, 1984.</w:t>
      </w:r>
    </w:p>
    <w:bookmarkEnd w:id="287"/>
    <w:bookmarkStart w:id="331" w:name="dados-e-fontes-de-outubro-de-2026"/>
    <w:p>
      <w:pPr>
        <w:pStyle w:val="Heading3"/>
      </w:pPr>
      <w:r>
        <w:t xml:space="preserve">Dados e fontes de outubro de 2026</w:t>
      </w:r>
    </w:p>
    <w:p>
      <w:pPr>
        <w:numPr>
          <w:ilvl w:val="0"/>
          <w:numId w:val="1025"/>
        </w:numPr>
        <w:pStyle w:val="Compact"/>
      </w:pPr>
      <w:r>
        <w:t xml:space="preserve">IBGE, PNAD Contínua: características adicionais do mercado de trabalho (sindicalização), 2025.</w:t>
      </w:r>
    </w:p>
    <w:p>
      <w:pPr>
        <w:numPr>
          <w:ilvl w:val="0"/>
          <w:numId w:val="1025"/>
        </w:numPr>
        <w:pStyle w:val="Compact"/>
      </w:pPr>
      <w:r>
        <w:t xml:space="preserve">IPEAdata (salário mínimo real, pobreza, renda, Gini, homicídios, educação); IBGE (Censos, PNAD Contínua, PNAD de Segurança Alimentar); Banco Mundial (World Development Indicators; Poverty and Inequality Platform); FAO (SOFI 2014, 2025, 2026).</w:t>
      </w:r>
    </w:p>
    <w:p>
      <w:pPr>
        <w:numPr>
          <w:ilvl w:val="0"/>
          <w:numId w:val="1025"/>
        </w:numPr>
        <w:pStyle w:val="Compact"/>
      </w:pPr>
      <w:r>
        <w:t xml:space="preserve">TSE, totalização do 2º turno, 25/10/2026, via</w:t>
      </w:r>
      <w:r>
        <w:t xml:space="preserve"> </w:t>
      </w:r>
      <w:hyperlink r:id="rId288">
        <w:r>
          <w:rPr>
            <w:rStyle w:val="Hyperlink"/>
          </w:rPr>
          <w:t xml:space="preserve">TRE-SP</w:t>
        </w:r>
      </w:hyperlink>
      <w:r>
        <w:t xml:space="preserve">,</w:t>
      </w:r>
      <w:r>
        <w:t xml:space="preserve"> </w:t>
      </w:r>
      <w:hyperlink r:id="rId289">
        <w:r>
          <w:rPr>
            <w:rStyle w:val="Hyperlink"/>
          </w:rPr>
          <w:t xml:space="preserve">ABC+</w:t>
        </w:r>
      </w:hyperlink>
      <w:r>
        <w:t xml:space="preserve"> </w:t>
      </w:r>
      <w:r>
        <w:t xml:space="preserve">e</w:t>
      </w:r>
      <w:r>
        <w:t xml:space="preserve"> </w:t>
      </w:r>
      <w:hyperlink r:id="rId290">
        <w:r>
          <w:rPr>
            <w:rStyle w:val="Hyperlink"/>
          </w:rPr>
          <w:t xml:space="preserve">Estado de Minas</w:t>
        </w:r>
      </w:hyperlink>
      <w:r>
        <w:t xml:space="preserve"> </w:t>
      </w:r>
      <w:r>
        <w:t xml:space="preserve">(abstenção).</w:t>
      </w:r>
    </w:p>
    <w:p>
      <w:pPr>
        <w:numPr>
          <w:ilvl w:val="0"/>
          <w:numId w:val="1025"/>
        </w:numPr>
        <w:pStyle w:val="Compact"/>
      </w:pPr>
      <w:r>
        <w:t xml:space="preserve">Resultados por estado, capital e município:</w:t>
      </w:r>
      <w:r>
        <w:t xml:space="preserve"> </w:t>
      </w:r>
      <w:hyperlink r:id="rId291">
        <w:r>
          <w:rPr>
            <w:rStyle w:val="Hyperlink"/>
          </w:rPr>
          <w:t xml:space="preserve">Correio 24 Horas</w:t>
        </w:r>
      </w:hyperlink>
      <w:r>
        <w:t xml:space="preserve">,</w:t>
      </w:r>
      <w:r>
        <w:t xml:space="preserve"> </w:t>
      </w:r>
      <w:hyperlink r:id="rId292">
        <w:r>
          <w:rPr>
            <w:rStyle w:val="Hyperlink"/>
          </w:rPr>
          <w:t xml:space="preserve">Gazeta do Povo</w:t>
        </w:r>
      </w:hyperlink>
      <w:r>
        <w:t xml:space="preserve">,</w:t>
      </w:r>
      <w:r>
        <w:t xml:space="preserve"> </w:t>
      </w:r>
      <w:hyperlink r:id="rId293">
        <w:r>
          <w:rPr>
            <w:rStyle w:val="Hyperlink"/>
          </w:rPr>
          <w:t xml:space="preserve">Exame</w:t>
        </w:r>
      </w:hyperlink>
      <w:r>
        <w:t xml:space="preserve">,</w:t>
      </w:r>
      <w:r>
        <w:t xml:space="preserve"> </w:t>
      </w:r>
      <w:hyperlink r:id="rId294">
        <w:r>
          <w:rPr>
            <w:rStyle w:val="Hyperlink"/>
          </w:rPr>
          <w:t xml:space="preserve">O Tempo</w:t>
        </w:r>
      </w:hyperlink>
      <w:r>
        <w:t xml:space="preserve">,</w:t>
      </w:r>
      <w:r>
        <w:t xml:space="preserve"> </w:t>
      </w:r>
      <w:hyperlink r:id="rId295">
        <w:r>
          <w:rPr>
            <w:rStyle w:val="Hyperlink"/>
          </w:rPr>
          <w:t xml:space="preserve">Poder360</w:t>
        </w:r>
      </w:hyperlink>
      <w:r>
        <w:t xml:space="preserve"> </w:t>
      </w:r>
      <w:r>
        <w:t xml:space="preserve">e</w:t>
      </w:r>
      <w:r>
        <w:t xml:space="preserve"> </w:t>
      </w:r>
      <w:hyperlink r:id="rId296">
        <w:r>
          <w:rPr>
            <w:rStyle w:val="Hyperlink"/>
          </w:rPr>
          <w:t xml:space="preserve">CNN Brasil</w:t>
        </w:r>
      </w:hyperlink>
      <w:r>
        <w:t xml:space="preserve">.</w:t>
      </w:r>
    </w:p>
    <w:p>
      <w:pPr>
        <w:numPr>
          <w:ilvl w:val="0"/>
          <w:numId w:val="1025"/>
        </w:numPr>
        <w:pStyle w:val="Compact"/>
      </w:pPr>
      <w:r>
        <w:t xml:space="preserve">Contestação e reações:</w:t>
      </w:r>
      <w:r>
        <w:t xml:space="preserve"> </w:t>
      </w:r>
      <w:hyperlink r:id="rId297">
        <w:r>
          <w:rPr>
            <w:rStyle w:val="Hyperlink"/>
          </w:rPr>
          <w:t xml:space="preserve">InfoMoney</w:t>
        </w:r>
      </w:hyperlink>
      <w:r>
        <w:t xml:space="preserve">,</w:t>
      </w:r>
      <w:r>
        <w:t xml:space="preserve"> </w:t>
      </w:r>
      <w:hyperlink r:id="rId298">
        <w:r>
          <w:rPr>
            <w:rStyle w:val="Hyperlink"/>
          </w:rPr>
          <w:t xml:space="preserve">Juruá em Tempo</w:t>
        </w:r>
      </w:hyperlink>
      <w:r>
        <w:t xml:space="preserve">,</w:t>
      </w:r>
      <w:r>
        <w:t xml:space="preserve"> </w:t>
      </w:r>
      <w:hyperlink r:id="rId299">
        <w:r>
          <w:rPr>
            <w:rStyle w:val="Hyperlink"/>
          </w:rPr>
          <w:t xml:space="preserve">Al Jazeera</w:t>
        </w:r>
      </w:hyperlink>
      <w:r>
        <w:t xml:space="preserve"> </w:t>
      </w:r>
      <w:r>
        <w:t xml:space="preserve">e</w:t>
      </w:r>
      <w:r>
        <w:t xml:space="preserve"> </w:t>
      </w:r>
      <w:hyperlink r:id="rId300">
        <w:r>
          <w:rPr>
            <w:rStyle w:val="Hyperlink"/>
          </w:rPr>
          <w:t xml:space="preserve">BPMoney</w:t>
        </w:r>
      </w:hyperlink>
      <w:r>
        <w:t xml:space="preserve">.</w:t>
      </w:r>
    </w:p>
    <w:p>
      <w:pPr>
        <w:numPr>
          <w:ilvl w:val="0"/>
          <w:numId w:val="1025"/>
        </w:numPr>
        <w:pStyle w:val="Compact"/>
      </w:pPr>
      <w:r>
        <w:t xml:space="preserve">Governadores:</w:t>
      </w:r>
      <w:r>
        <w:t xml:space="preserve"> </w:t>
      </w:r>
      <w:hyperlink r:id="rId301">
        <w:r>
          <w:rPr>
            <w:rStyle w:val="Hyperlink"/>
          </w:rPr>
          <w:t xml:space="preserve">Jovem Pan</w:t>
        </w:r>
      </w:hyperlink>
      <w:r>
        <w:t xml:space="preserve">,</w:t>
      </w:r>
      <w:r>
        <w:t xml:space="preserve"> </w:t>
      </w:r>
      <w:hyperlink r:id="rId302">
        <w:r>
          <w:rPr>
            <w:rStyle w:val="Hyperlink"/>
          </w:rPr>
          <w:t xml:space="preserve">Exame</w:t>
        </w:r>
      </w:hyperlink>
      <w:r>
        <w:t xml:space="preserve"> </w:t>
      </w:r>
      <w:r>
        <w:t xml:space="preserve">e</w:t>
      </w:r>
      <w:r>
        <w:t xml:space="preserve"> </w:t>
      </w:r>
      <w:hyperlink r:id="rId303">
        <w:r>
          <w:rPr>
            <w:rStyle w:val="Hyperlink"/>
          </w:rPr>
          <w:t xml:space="preserve">Metrópoles</w:t>
        </w:r>
      </w:hyperlink>
      <w:r>
        <w:t xml:space="preserve">.</w:t>
      </w:r>
    </w:p>
    <w:p>
      <w:pPr>
        <w:numPr>
          <w:ilvl w:val="0"/>
          <w:numId w:val="1025"/>
        </w:numPr>
        <w:pStyle w:val="Compact"/>
      </w:pPr>
      <w:r>
        <w:t xml:space="preserve">Congresso:</w:t>
      </w:r>
      <w:r>
        <w:t xml:space="preserve"> </w:t>
      </w:r>
      <w:hyperlink r:id="rId304">
        <w:r>
          <w:rPr>
            <w:rStyle w:val="Hyperlink"/>
          </w:rPr>
          <w:t xml:space="preserve">Agência Brasil</w:t>
        </w:r>
      </w:hyperlink>
      <w:r>
        <w:t xml:space="preserve">,</w:t>
      </w:r>
      <w:r>
        <w:t xml:space="preserve"> </w:t>
      </w:r>
      <w:hyperlink r:id="rId305">
        <w:r>
          <w:rPr>
            <w:rStyle w:val="Hyperlink"/>
          </w:rPr>
          <w:t xml:space="preserve">Agência Câmara</w:t>
        </w:r>
      </w:hyperlink>
      <w:r>
        <w:t xml:space="preserve">,</w:t>
      </w:r>
      <w:r>
        <w:t xml:space="preserve"> </w:t>
      </w:r>
      <w:hyperlink r:id="rId306">
        <w:r>
          <w:rPr>
            <w:rStyle w:val="Hyperlink"/>
          </w:rPr>
          <w:t xml:space="preserve">Senado Notícias</w:t>
        </w:r>
      </w:hyperlink>
      <w:r>
        <w:t xml:space="preserve">,</w:t>
      </w:r>
      <w:r>
        <w:t xml:space="preserve"> </w:t>
      </w:r>
      <w:hyperlink r:id="rId307">
        <w:r>
          <w:rPr>
            <w:rStyle w:val="Hyperlink"/>
          </w:rPr>
          <w:t xml:space="preserve">Intercept Brasil</w:t>
        </w:r>
      </w:hyperlink>
      <w:r>
        <w:t xml:space="preserve">,</w:t>
      </w:r>
      <w:r>
        <w:t xml:space="preserve"> </w:t>
      </w:r>
      <w:hyperlink r:id="rId308">
        <w:r>
          <w:rPr>
            <w:rStyle w:val="Hyperlink"/>
          </w:rPr>
          <w:t xml:space="preserve">Metrópoles</w:t>
        </w:r>
      </w:hyperlink>
      <w:r>
        <w:t xml:space="preserve">,</w:t>
      </w:r>
      <w:r>
        <w:t xml:space="preserve"> </w:t>
      </w:r>
      <w:hyperlink r:id="rId309">
        <w:r>
          <w:rPr>
            <w:rStyle w:val="Hyperlink"/>
          </w:rPr>
          <w:t xml:space="preserve">Rádio Pampa</w:t>
        </w:r>
      </w:hyperlink>
      <w:r>
        <w:t xml:space="preserve"> </w:t>
      </w:r>
      <w:r>
        <w:t xml:space="preserve">(Iser) e</w:t>
      </w:r>
      <w:r>
        <w:t xml:space="preserve"> </w:t>
      </w:r>
      <w:hyperlink r:id="rId310">
        <w:r>
          <w:rPr>
            <w:rStyle w:val="Hyperlink"/>
          </w:rPr>
          <w:t xml:space="preserve">Poder360</w:t>
        </w:r>
      </w:hyperlink>
      <w:r>
        <w:t xml:space="preserve"> </w:t>
      </w:r>
      <w:r>
        <w:t xml:space="preserve">(fim da escala 6x1).</w:t>
      </w:r>
    </w:p>
    <w:p>
      <w:pPr>
        <w:numPr>
          <w:ilvl w:val="0"/>
          <w:numId w:val="1025"/>
        </w:numPr>
        <w:pStyle w:val="Compact"/>
      </w:pPr>
      <w:r>
        <w:t xml:space="preserve">Pesquisas do 2º turno:</w:t>
      </w:r>
      <w:r>
        <w:t xml:space="preserve"> </w:t>
      </w:r>
      <w:hyperlink r:id="rId311">
        <w:r>
          <w:rPr>
            <w:rStyle w:val="Hyperlink"/>
          </w:rPr>
          <w:t xml:space="preserve">CNN Brasil</w:t>
        </w:r>
      </w:hyperlink>
      <w:r>
        <w:t xml:space="preserve"> </w:t>
      </w:r>
      <w:r>
        <w:t xml:space="preserve">(Datafolha, 20–22/10),</w:t>
      </w:r>
      <w:r>
        <w:t xml:space="preserve"> </w:t>
      </w:r>
      <w:hyperlink r:id="rId312">
        <w:r>
          <w:rPr>
            <w:rStyle w:val="Hyperlink"/>
          </w:rPr>
          <w:t xml:space="preserve">Band</w:t>
        </w:r>
      </w:hyperlink>
      <w:r>
        <w:t xml:space="preserve"> </w:t>
      </w:r>
      <w:r>
        <w:t xml:space="preserve">(AtlasIntel, 13–18/10) e</w:t>
      </w:r>
      <w:r>
        <w:t xml:space="preserve"> </w:t>
      </w:r>
      <w:hyperlink r:id="rId313">
        <w:r>
          <w:rPr>
            <w:rStyle w:val="Hyperlink"/>
          </w:rPr>
          <w:t xml:space="preserve">DGABC</w:t>
        </w:r>
      </w:hyperlink>
      <w:r>
        <w:t xml:space="preserve"> </w:t>
      </w:r>
      <w:r>
        <w:t xml:space="preserve">(Quaest, 10–13/10).</w:t>
      </w:r>
    </w:p>
    <w:p>
      <w:pPr>
        <w:numPr>
          <w:ilvl w:val="0"/>
          <w:numId w:val="1025"/>
        </w:numPr>
        <w:pStyle w:val="Compact"/>
      </w:pPr>
      <w:r>
        <w:t xml:space="preserve">Municípios em 2024:</w:t>
      </w:r>
      <w:r>
        <w:t xml:space="preserve"> </w:t>
      </w:r>
      <w:hyperlink r:id="rId314">
        <w:r>
          <w:rPr>
            <w:rStyle w:val="Hyperlink"/>
          </w:rPr>
          <w:t xml:space="preserve">NSC Total</w:t>
        </w:r>
      </w:hyperlink>
      <w:r>
        <w:t xml:space="preserve"> </w:t>
      </w:r>
      <w:r>
        <w:t xml:space="preserve">e</w:t>
      </w:r>
      <w:r>
        <w:t xml:space="preserve"> </w:t>
      </w:r>
      <w:hyperlink r:id="rId315">
        <w:r>
          <w:rPr>
            <w:rStyle w:val="Hyperlink"/>
          </w:rPr>
          <w:t xml:space="preserve">CNN Brasil</w:t>
        </w:r>
      </w:hyperlink>
      <w:r>
        <w:t xml:space="preserve">.</w:t>
      </w:r>
    </w:p>
    <w:p>
      <w:pPr>
        <w:numPr>
          <w:ilvl w:val="0"/>
          <w:numId w:val="1025"/>
        </w:numPr>
        <w:pStyle w:val="Compact"/>
      </w:pPr>
      <w:r>
        <w:t xml:space="preserve">Cenário internacional:</w:t>
      </w:r>
      <w:r>
        <w:t xml:space="preserve"> </w:t>
      </w:r>
      <w:hyperlink r:id="rId316">
        <w:r>
          <w:rPr>
            <w:rStyle w:val="Hyperlink"/>
          </w:rPr>
          <w:t xml:space="preserve">FMI, via Fortune</w:t>
        </w:r>
      </w:hyperlink>
      <w:r>
        <w:t xml:space="preserve"> </w:t>
      </w:r>
      <w:r>
        <w:t xml:space="preserve">e</w:t>
      </w:r>
      <w:r>
        <w:t xml:space="preserve"> </w:t>
      </w:r>
      <w:hyperlink r:id="rId317">
        <w:r>
          <w:rPr>
            <w:rStyle w:val="Hyperlink"/>
          </w:rPr>
          <w:t xml:space="preserve">Agência Brasil</w:t>
        </w:r>
      </w:hyperlink>
      <w:r>
        <w:t xml:space="preserve">;</w:t>
      </w:r>
      <w:r>
        <w:t xml:space="preserve"> </w:t>
      </w:r>
      <w:hyperlink r:id="rId318">
        <w:r>
          <w:rPr>
            <w:rStyle w:val="Hyperlink"/>
          </w:rPr>
          <w:t xml:space="preserve">Al Jazeera</w:t>
        </w:r>
      </w:hyperlink>
      <w:r>
        <w:t xml:space="preserve"> </w:t>
      </w:r>
      <w:r>
        <w:t xml:space="preserve">(Irã);</w:t>
      </w:r>
      <w:r>
        <w:t xml:space="preserve"> </w:t>
      </w:r>
      <w:hyperlink r:id="rId319">
        <w:r>
          <w:rPr>
            <w:rStyle w:val="Hyperlink"/>
          </w:rPr>
          <w:t xml:space="preserve">AP/MPR</w:t>
        </w:r>
      </w:hyperlink>
      <w:r>
        <w:t xml:space="preserve"> </w:t>
      </w:r>
      <w:r>
        <w:t xml:space="preserve">(Ucrânia);</w:t>
      </w:r>
      <w:r>
        <w:t xml:space="preserve"> </w:t>
      </w:r>
      <w:hyperlink r:id="rId320">
        <w:r>
          <w:rPr>
            <w:rStyle w:val="Hyperlink"/>
          </w:rPr>
          <w:t xml:space="preserve">House of Commons Library</w:t>
        </w:r>
      </w:hyperlink>
      <w:r>
        <w:t xml:space="preserve"> </w:t>
      </w:r>
      <w:r>
        <w:t xml:space="preserve">(Venezuela);</w:t>
      </w:r>
      <w:r>
        <w:t xml:space="preserve"> </w:t>
      </w:r>
      <w:hyperlink r:id="rId321">
        <w:r>
          <w:rPr>
            <w:rStyle w:val="Hyperlink"/>
          </w:rPr>
          <w:t xml:space="preserve">CSIS</w:t>
        </w:r>
      </w:hyperlink>
      <w:r>
        <w:t xml:space="preserve"> </w:t>
      </w:r>
      <w:r>
        <w:t xml:space="preserve">(EUA–China);</w:t>
      </w:r>
      <w:r>
        <w:t xml:space="preserve"> </w:t>
      </w:r>
      <w:hyperlink r:id="rId322">
        <w:r>
          <w:rPr>
            <w:rStyle w:val="Hyperlink"/>
          </w:rPr>
          <w:t xml:space="preserve">ST&amp;R</w:t>
        </w:r>
      </w:hyperlink>
      <w:r>
        <w:t xml:space="preserve"> </w:t>
      </w:r>
      <w:r>
        <w:t xml:space="preserve">e</w:t>
      </w:r>
      <w:r>
        <w:t xml:space="preserve"> </w:t>
      </w:r>
      <w:hyperlink r:id="rId323">
        <w:r>
          <w:rPr>
            <w:rStyle w:val="Hyperlink"/>
          </w:rPr>
          <w:t xml:space="preserve">Rio Times</w:t>
        </w:r>
      </w:hyperlink>
      <w:r>
        <w:t xml:space="preserve"> </w:t>
      </w:r>
      <w:r>
        <w:t xml:space="preserve">(tarifas);</w:t>
      </w:r>
      <w:r>
        <w:t xml:space="preserve"> </w:t>
      </w:r>
      <w:hyperlink r:id="rId324">
        <w:r>
          <w:rPr>
            <w:rStyle w:val="Hyperlink"/>
          </w:rPr>
          <w:t xml:space="preserve">Democracy Without Borders</w:t>
        </w:r>
      </w:hyperlink>
      <w:r>
        <w:t xml:space="preserve"> </w:t>
      </w:r>
      <w:r>
        <w:t xml:space="preserve">(V-Dem 2026);</w:t>
      </w:r>
      <w:r>
        <w:t xml:space="preserve"> </w:t>
      </w:r>
      <w:hyperlink r:id="rId325">
        <w:r>
          <w:rPr>
            <w:rStyle w:val="Hyperlink"/>
          </w:rPr>
          <w:t xml:space="preserve">Eurasia Group</w:t>
        </w:r>
      </w:hyperlink>
      <w:r>
        <w:t xml:space="preserve">;</w:t>
      </w:r>
      <w:r>
        <w:t xml:space="preserve"> </w:t>
      </w:r>
      <w:hyperlink r:id="rId326">
        <w:r>
          <w:rPr>
            <w:rStyle w:val="Hyperlink"/>
          </w:rPr>
          <w:t xml:space="preserve">Canal Rural</w:t>
        </w:r>
      </w:hyperlink>
      <w:r>
        <w:t xml:space="preserve"> </w:t>
      </w:r>
      <w:r>
        <w:t xml:space="preserve">e</w:t>
      </w:r>
      <w:r>
        <w:t xml:space="preserve"> </w:t>
      </w:r>
      <w:hyperlink r:id="rId327">
        <w:r>
          <w:rPr>
            <w:rStyle w:val="Hyperlink"/>
          </w:rPr>
          <w:t xml:space="preserve">B3 Bora Investir</w:t>
        </w:r>
      </w:hyperlink>
      <w:r>
        <w:t xml:space="preserve"> </w:t>
      </w:r>
      <w:r>
        <w:t xml:space="preserve">(comércio exterior).</w:t>
      </w:r>
    </w:p>
    <w:p>
      <w:pPr>
        <w:numPr>
          <w:ilvl w:val="0"/>
          <w:numId w:val="1025"/>
        </w:numPr>
        <w:pStyle w:val="Compact"/>
      </w:pPr>
      <w:r>
        <w:t xml:space="preserve">Crime organizado:</w:t>
      </w:r>
      <w:r>
        <w:t xml:space="preserve"> </w:t>
      </w:r>
      <w:hyperlink r:id="rId328">
        <w:r>
          <w:rPr>
            <w:rStyle w:val="Hyperlink"/>
          </w:rPr>
          <w:t xml:space="preserve">CNN Brasil</w:t>
        </w:r>
      </w:hyperlink>
      <w:r>
        <w:t xml:space="preserve"> </w:t>
      </w:r>
      <w:r>
        <w:t xml:space="preserve">(operações Carbono Oculto e Fluxo Oculto);</w:t>
      </w:r>
      <w:r>
        <w:t xml:space="preserve"> </w:t>
      </w:r>
      <w:hyperlink r:id="rId329">
        <w:r>
          <w:rPr>
            <w:rStyle w:val="Hyperlink"/>
          </w:rPr>
          <w:t xml:space="preserve">SBT News</w:t>
        </w:r>
      </w:hyperlink>
      <w:r>
        <w:t xml:space="preserve"> </w:t>
      </w:r>
      <w:r>
        <w:t xml:space="preserve">(Mapa dos Grupos Armados);</w:t>
      </w:r>
      <w:r>
        <w:t xml:space="preserve"> </w:t>
      </w:r>
      <w:hyperlink r:id="rId330">
        <w:r>
          <w:rPr>
            <w:rStyle w:val="Hyperlink"/>
          </w:rPr>
          <w:t xml:space="preserve">Revista Segurança</w:t>
        </w:r>
      </w:hyperlink>
      <w:r>
        <w:t xml:space="preserve"> </w:t>
      </w:r>
      <w:r>
        <w:t xml:space="preserve">(Anuário 2026).</w:t>
      </w:r>
    </w:p>
    <w:p>
      <w:pPr>
        <w:numPr>
          <w:ilvl w:val="0"/>
          <w:numId w:val="1025"/>
        </w:numPr>
        <w:pStyle w:val="Compact"/>
      </w:pPr>
      <w:r>
        <w:t xml:space="preserve">Séries e notícias consultadas entre 5 e 26 de outubro de 2026.</w:t>
      </w:r>
    </w:p>
    <w:p>
      <w:r>
        <w:br w:type="page"/>
      </w:r>
    </w:p>
    <w:bookmarkEnd w:id="331"/>
    <w:bookmarkEnd w:id="332"/>
    <w:bookmarkEnd w:id="333"/>
    <w:bookmarkStart w:id="362" w:name="Xf8761ad3a1bfdb29acebac47bc45579ca6c6143"/>
    <w:p>
      <w:pPr>
        <w:pStyle w:val="Heading1"/>
      </w:pPr>
      <w:r>
        <w:t xml:space="preserve">Anexo A · O CTIS e a PICAPS: inteligência cooperativa territorial a serviço do plano</w:t>
      </w:r>
    </w:p>
    <w:p>
      <w:r>
        <w:br w:type="page"/>
      </w:r>
    </w:p>
    <w:bookmarkStart w:id="337" w:name="a.1-o-que-são-o-ctis-e-a-picaps"/>
    <w:p>
      <w:pPr>
        <w:pStyle w:val="Heading2"/>
      </w:pPr>
      <w:r>
        <w:t xml:space="preserve">A.1 O que são o CTIS e a PICAPS</w:t>
      </w:r>
    </w:p>
    <w:p>
      <w:pPr>
        <w:pStyle w:val="FirstParagraph"/>
      </w:pPr>
      <w:r>
        <w:rPr>
          <w:bCs/>
          <w:b/>
        </w:rPr>
        <w:t xml:space="preserve">O CTIS e a PICAPS oferecem ao plano o que a esquerda mais perdeu desde 2013: presença qualificada no território, informação produzida com a comunidade e capacidade de transformar essa informação em decisão pública.</w:t>
      </w:r>
      <w:r>
        <w:t xml:space="preserve"> </w:t>
      </w:r>
      <w:r>
        <w:t xml:space="preserve">Este anexo descreve as duas iniciativas a partir de fontes públicas e avalia como e por que elas podem contribuir para a estratégia de governo, de políticas públicas e de democracia de 2027–2030.</w:t>
      </w:r>
    </w:p>
    <w:p>
      <w:pPr>
        <w:pStyle w:val="CaptionedFigure"/>
      </w:pPr>
      <w:r>
        <w:drawing>
          <wp:inline>
            <wp:extent cx="5334000" cy="3604054"/>
            <wp:effectExtent b="0" l="0" r="0" t="0"/>
            <wp:docPr descr="Figura 59. Fonte: Martins e coautores, Ciência &amp; Saúde Coletiva (2024); Microsoft News Center Brasil (24/6/2020); Arca Fiocruz, Boletim Radar de Territórios n. 1 (2020); Conselho de Saúde do DF, Ofício 68/2020; UnB Notícias (5/5/2022); Fiocruz Brasília, Portaria GEREB 030/2024; Radis n. 268 (2025); Fiocruz (2025); Protocolo de Inteligência Territorial (2026)." title="" id="335" name="Picture"/>
            <a:graphic>
              <a:graphicData uri="http://schemas.openxmlformats.org/drawingml/2006/picture">
                <pic:pic>
                  <pic:nvPicPr>
                    <pic:cNvPr descr="/home/claude/man/figs/new/g_ctis_linha.png" id="336" name="Picture"/>
                    <pic:cNvPicPr>
                      <a:picLocks noChangeArrowheads="1" noChangeAspect="1"/>
                    </pic:cNvPicPr>
                  </pic:nvPicPr>
                  <pic:blipFill>
                    <a:blip r:embed="rId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4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Figura 59.</w:t>
      </w:r>
      <w:r>
        <w:t xml:space="preserve"> </w:t>
      </w:r>
      <w:r>
        <w:t xml:space="preserve">Fonte: Martins e coautores, Ciência &amp; Saúde Coletiva (2024); Microsoft News Center Brasil (24/6/2020); Arca Fiocruz, Boletim Radar de Territórios n. 1 (2020); Conselho de Saúde do DF, Ofício 68/2020; UnB Notícias (5/5/2022); Fiocruz Brasília, Portaria GEREB 030/2024; Radis n. 268 (2025); Fiocruz (2025); Protocolo de Inteligência Territorial (2026).</w:t>
      </w:r>
    </w:p>
    <w:p>
      <w:pPr>
        <w:pStyle w:val="BodyText"/>
      </w:pPr>
      <w:r>
        <w:rPr>
          <w:bCs/>
          <w:b/>
        </w:rPr>
        <w:t xml:space="preserve">A origem.</w:t>
      </w:r>
      <w:r>
        <w:t xml:space="preserve"> </w:t>
      </w:r>
      <w:r>
        <w:t xml:space="preserve">O projeto que deu origem à PICAPS foi elaborado em 2017 pelo CoLaboratório de Ciência, Tecnologia e Sociedade da Fiocruz Brasília, a unidade que hoje se chama Colaboratório de Ciência, Tecnologia, Inovação e Sociedade (CTIS). Martins e coautores (2024) registram como antecedente o acordo de parceria 175/2018 com a Secretaria de Saúde do Distrito Federal e a Fundação de Ensino e Pesquisa em Ciências da Saúde (FEPECS), ligado às residências em saúde.</w:t>
      </w:r>
    </w:p>
    <w:p>
      <w:pPr>
        <w:pStyle w:val="BodyText"/>
      </w:pPr>
      <w:r>
        <w:rPr>
          <w:bCs/>
          <w:b/>
        </w:rPr>
        <w:t xml:space="preserve">A PICAPS.</w:t>
      </w:r>
      <w:r>
        <w:t xml:space="preserve"> </w:t>
      </w:r>
      <w:r>
        <w:t xml:space="preserve">A Plataforma de Inteligência Cooperativa com a Atenção Primária à Saúde foi lançada em 29 de abril de 2020 pela Fiocruz Brasília e pela Universidade de Brasília (UnB), que em março daquele ano haviam decidido unir esforços contra a COVID-19 no Distrito Federal. A parceria foi formalizada em setembro de 2020 pelo Acordo de Cooperação 70/2020 entre a UnB e a Fiocruz. A plataforma atuou desde o início com a Secretaria de Saúde do DF, sobretudo com a Coordenação de Atenção Primária; a divulgação de junho de 2020 cita também a Secretaria de Ciência, Tecnologia e Inovação do DF e a Fundação de Apoio à Pesquisa do DF, e o Conselho de Saúde do DF passou a participar a partir de setembro de 2020. A coordenação executiva era compartilhada pelo Colaboratório da Fiocruz Brasília e pela Sala de Situação da Faculdade de Ciências da Saúde da UnB.</w:t>
      </w:r>
    </w:p>
    <w:p>
      <w:pPr>
        <w:pStyle w:val="BodyText"/>
      </w:pPr>
      <w:r>
        <w:t xml:space="preserve">O público inicial era pequeno e bem definido: cerca de 180 residentes da Escola de Governo Fiocruz Brasília em atuação nas unidades básicas de saúde do DF, organizados numa rede de comunicação cooperativa que cobria 182 unidades. A plataforma ampliou depois seu alcance a gestores e profissionais da atenção primária do DF e se organizou em quatro eixos de inovação: social (Radar de Territórios), educacional (teleorientação), em serviços (inteligência epidemiológica) e digital (transformação digital e saúde digital). Martins e coautores (2024) descrevem a plataforma, em</w:t>
      </w:r>
      <w:r>
        <w:t xml:space="preserve"> </w:t>
      </w:r>
      <w:r>
        <w:rPr>
          <w:iCs/>
          <w:i/>
        </w:rPr>
        <w:t xml:space="preserve">Ciência &amp; Saúde Coletiva</w:t>
      </w:r>
      <w:r>
        <w:t xml:space="preserve">, como um sistema colaborativo e uma solução pública que integra coleta e tratamento de dados à disseminação de informação para governo e sociedade, com foco em comunidades vulneráveis. Desde 2025, segundo a revista</w:t>
      </w:r>
      <w:r>
        <w:t xml:space="preserve"> </w:t>
      </w:r>
      <w:r>
        <w:rPr>
          <w:iCs/>
          <w:i/>
        </w:rPr>
        <w:t xml:space="preserve">Radis</w:t>
      </w:r>
      <w:r>
        <w:t xml:space="preserve">, a PICAPS é implementada com o Ministério da Saúde para mapear áreas de risco com indicadores da Agenda 2030, como estratégia de enfrentamento de crises sanitárias e climáticas.</w:t>
      </w:r>
    </w:p>
    <w:p>
      <w:pPr>
        <w:pStyle w:val="BlockText"/>
      </w:pPr>
      <w:r>
        <w:rPr>
          <w:bCs/>
          <w:b/>
        </w:rPr>
        <w:t xml:space="preserve">Nota sobre o alcance.</w:t>
      </w:r>
      <w:r>
        <w:t xml:space="preserve"> </w:t>
      </w:r>
      <w:r>
        <w:t xml:space="preserve">A notícia institucional dos dois anos da plataforma (UnB Notícias, maio de 2022) afirma que a PICAPS passou a apoiar</w:t>
      </w:r>
      <w:r>
        <w:t xml:space="preserve"> </w:t>
      </w:r>
      <w:r>
        <w:t xml:space="preserve">“</w:t>
      </w:r>
      <w:r>
        <w:t xml:space="preserve">mais de 32,5 mil gestores e profissionais</w:t>
      </w:r>
      <w:r>
        <w:t xml:space="preserve">”</w:t>
      </w:r>
      <w:r>
        <w:t xml:space="preserve"> </w:t>
      </w:r>
      <w:r>
        <w:t xml:space="preserve">da atenção primária. O número não aparece no artigo científico que descreve a plataforma, não tem metodologia de contagem divulgada e é da mesma ordem de grandeza de todo o quadro de servidores ativos da Secretaria de Saúde do DF (perto de 30 mil, incluídos hospitais), o que sugere que se refere ao público potencial e não a pessoas efetivamente atendidas. Por isso este manual não o usa como resultado. Os números verificáveis são os do público inicial: cerca de 180 residentes e 182 unidades de saúde.</w:t>
      </w:r>
    </w:p>
    <w:p>
      <w:pPr>
        <w:pStyle w:val="FirstParagraph"/>
      </w:pPr>
      <w:r>
        <w:rPr>
          <w:bCs/>
          <w:b/>
        </w:rPr>
        <w:t xml:space="preserve">O Radar de Territórios.</w:t>
      </w:r>
      <w:r>
        <w:t xml:space="preserve"> </w:t>
      </w:r>
      <w:r>
        <w:t xml:space="preserve">Estratégia da PICAPS coordenada pela área de mobilização e governança territorial da Fiocruz Brasília, o Radar publicou seu primeiro boletim em julho de 2020, sobre a Estrutural. Ele mobiliza moradores e articula redes sociotécnicas, comitês e organizações solidárias dos territórios mais vulneráveis do DF, pelo método da</w:t>
      </w:r>
      <w:r>
        <w:t xml:space="preserve"> </w:t>
      </w:r>
      <w:r>
        <w:rPr>
          <w:bCs/>
          <w:b/>
        </w:rPr>
        <w:t xml:space="preserve">vigilância popular em saúde</w:t>
      </w:r>
      <w:r>
        <w:t xml:space="preserve">, com cartografia participativa: a própria comunidade produz informação contínua que acelera a decisão pública. A experiência alimenta hoje a Rede Nacional de Radares para Territórios Saudáveis e Sustentáveis.</w:t>
      </w:r>
    </w:p>
    <w:p>
      <w:pPr>
        <w:pStyle w:val="BodyText"/>
      </w:pPr>
      <w:r>
        <w:rPr>
          <w:bCs/>
          <w:b/>
        </w:rPr>
        <w:t xml:space="preserve">O CTIS.</w:t>
      </w:r>
      <w:r>
        <w:t xml:space="preserve"> </w:t>
      </w:r>
      <w:r>
        <w:t xml:space="preserve">O Colaboratório de Ciência, Tecnologia, Inovação e Sociedade da Fiocruz Brasília, coordenado pelo pesquisador Wagner Martins, já atuava como Colaboratório de Ciência, Tecnologia e Sociedade em 2017 e 2018, com cursos de prospectiva para a Agenda 2030. Em abril de 2024, a Portaria GEREB 030/2024 o tornou responsável pelo Programa de Incubação de Soluções Sociotécnicas da Fiocruz Brasília. O CTIS se define como um</w:t>
      </w:r>
      <w:r>
        <w:t xml:space="preserve"> </w:t>
      </w:r>
      <w:r>
        <w:t xml:space="preserve">“</w:t>
      </w:r>
      <w:r>
        <w:t xml:space="preserve">laboratório sem paredes</w:t>
      </w:r>
      <w:r>
        <w:t xml:space="preserve">”</w:t>
      </w:r>
      <w:r>
        <w:t xml:space="preserve"> </w:t>
      </w:r>
      <w:r>
        <w:t xml:space="preserve">que integra políticas públicas usando os projetos territoriais como estrutura, ligando dados, ensino, pesquisa e ação comunitária. Seu trabalho se orienta pela Agenda 2030, sobretudo pelos ODS 3 (saúde), 10 (redução das desigualdades) e 11 (cidades sustentáveis), e combina oficinas prospectivas nos territórios com o uso de inteligência artificial para sistematizar informação de redes sociais, notícias e relatos locais. No DF, a metodologia está em aplicação no Pôr do Sol e no Sol Nascente, com hortas comunitárias, cozinhas solidárias e iniciativas de economia local voltadas à saúde, à soberania alimentar e à resiliência comunitária, articuladas à estratégia Fiocruz Clima e Saúde. O modelo se expande em rede: há um CTIS na Faculdade de Economia, Administração e Contabilidade da Universidade Federal de Alagoas, ações no Paraná e uma parceria com a Universidad del Magdalena, em Santa Marta, na Colômbia.</w:t>
      </w:r>
    </w:p>
    <w:p>
      <w:pPr>
        <w:pStyle w:val="BodyText"/>
      </w:pPr>
      <w:r>
        <w:rPr>
          <w:bCs/>
          <w:b/>
        </w:rPr>
        <w:t xml:space="preserve">O Protocolo de Inteligência Territorial.</w:t>
      </w:r>
      <w:r>
        <w:t xml:space="preserve"> </w:t>
      </w:r>
      <w:r>
        <w:t xml:space="preserve">A versão 2.0 do protocolo (Martins, Machiner, Silva e Castro, 2026), publicada com uma aplicação aberta, operacionaliza o método. Ele combina a vigilância epidemiológica tradicional com a vigilância popular em saúde por meio da</w:t>
      </w:r>
      <w:r>
        <w:t xml:space="preserve"> </w:t>
      </w:r>
      <w:r>
        <w:rPr>
          <w:bCs/>
          <w:b/>
        </w:rPr>
        <w:t xml:space="preserve">Sala de Cooperação Social</w:t>
      </w:r>
      <w:r>
        <w:t xml:space="preserve">, na qual</w:t>
      </w:r>
      <w:r>
        <w:t xml:space="preserve"> </w:t>
      </w:r>
      <w:r>
        <w:t xml:space="preserve">“</w:t>
      </w:r>
      <w:r>
        <w:t xml:space="preserve">o território tem a primeira e a última palavra</w:t>
      </w:r>
      <w:r>
        <w:t xml:space="preserve">”</w:t>
      </w:r>
      <w:r>
        <w:t xml:space="preserve"> </w:t>
      </w:r>
      <w:r>
        <w:t xml:space="preserve">sobre o que é monitorado, o que os dados significam e o que os serviços devem entregar. O protocolo organiza um ciclo de cinco fases, três instrumentos de monitoramento (INS, IVT e PVI), regras de separação entre sinais populares e registros oficiais, um alerta de 72 horas e um guia para as reuniões da Sala. O diagnóstico do DF que fundamenta a Seção 6.5 deste manual, com a diferença de 10,8 anos na esperança de vida entre o Varjão e o Sudoeste/Octogonal, é um produto desse trabalho.</w:t>
      </w:r>
    </w:p>
    <w:p>
      <w:r>
        <w:br w:type="page"/>
      </w:r>
    </w:p>
    <w:bookmarkEnd w:id="337"/>
    <w:bookmarkStart w:id="338" w:name="X5be21f069b4af35950f0fad77893301a24ebb69"/>
    <w:p>
      <w:pPr>
        <w:pStyle w:val="Heading2"/>
      </w:pPr>
      <w:r>
        <w:t xml:space="preserve">A.2 Por que essas experiências importam para o plano</w:t>
      </w:r>
    </w:p>
    <w:p>
      <w:pPr>
        <w:pStyle w:val="FirstParagraph"/>
      </w:pPr>
      <w:r>
        <w:rPr>
          <w:bCs/>
          <w:b/>
        </w:rPr>
        <w:t xml:space="preserve">O diagnóstico deste manual e o método do CTIS e da PICAPS apontam para o mesmo problema: a distância entre o Estado, o conhecimento e a vida concreta nos territórios.</w:t>
      </w:r>
      <w:r>
        <w:t xml:space="preserve"> </w:t>
      </w:r>
      <w:r>
        <w:t xml:space="preserve">As duas iniciativas não são instrumentos de campanha; são infraestruturas públicas de conhecimento. Sua contribuição está em atacar, pela via da política pública e da ciência cidadã, os mecanismos que as Partes 4 a 8 identificaram como a base da força da extrema direita.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Problema identificado no 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Capacidade do CTIS e da PICAPS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esquerda chega ao eleitor independente por um único canal, e o Estado chega ao território sem mediação própria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 e 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 de Cooperação Social, Radar de Territórios, redes sociotécnicas locais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Mediação pública entre serviços e comunidade, sem dependência de máquinas clientelistas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Políticas sem assinatura reconhecível; o eleitor não liga a entrega ao governo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 e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Monitoramento territorial das entregas e devolutiva à comunidade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Entregas visíveis, medidas e discutidas no lugar onde acontecem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Hiper-realidade e pós-verdade: o simulacro vence o fato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Informação produzida pela própria comunidade, com regras de verificação e separação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real volta a contar quando é produzido e interpretado em comunidade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esquerda perdeu as trincheiras da sociedade civil (guerra de posição)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Hortas, cozinhas solidárias, economia local e redes comunitárias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Reconstrução de vínculos cotidianos com base em serviços e cuidado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igreja ocupa o lugar do Estado e do sindicato na periferia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Redes que incluem organizações comunitárias e religiosas em pautas comuns de saúde e cuidado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Pontes com lideranças religiosas locais em torno de problemas concretos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crime organizado governa territórios onde o Estado só chega como operação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Diagnóstico territorial de vulnerabilidades e vazios assistenciais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Presença estatal contínua de serviços, condição para a retomada dos territórios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Foresight e cenários dependem de sinais fracos que os dados oficiais não captam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 e 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Oficinas prospectivas e sistematização de sinais locais com inteligência artificial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Alerta precoce de crises sanitárias, climáticas e sociais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democracia é apoiada quando entrega e quando o cidadão participa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 e 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Participação deliberativa territorial e ciência cidadã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Democracia vivida como decisão compartilhada, e não só como voto</w:t>
            </w:r>
          </w:p>
        </w:tc>
      </w:tr>
    </w:tbl>
    <w:p>
      <w:pPr>
        <w:pStyle w:val="BodyText"/>
      </w:pPr>
      <w:r>
        <w:rPr>
          <w:bCs/>
          <w:b/>
        </w:rPr>
        <w:t xml:space="preserve">Três ancoragens teóricas explicam por que o método funciona.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Território usado.</w:t>
      </w:r>
      <w:r>
        <w:t xml:space="preserve"> </w:t>
      </w:r>
      <w:r>
        <w:t xml:space="preserve">Para Milton Santos, o território não é um suporte passivo, mas o espaço vivido onde técnica, tempo e conflito se fundem. O CTIS e a PICAPS operam nessa escala, onde as políticas chegam ou deixam de chegar.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Tradução e intermediários.</w:t>
      </w:r>
      <w:r>
        <w:t xml:space="preserve"> </w:t>
      </w:r>
      <w:r>
        <w:t xml:space="preserve">Na Teoria Ator-Rede (Seção 5.5), o poder depende de intermediários que levam uma causa para dentro da vida cotidiana. A Sala de Cooperação Social, o agente comunitário e o boletim do território são intermediários públicos que a esquerda e o Estado perderam.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Determinação social da saúde e vigilância popular.</w:t>
      </w:r>
      <w:r>
        <w:t xml:space="preserve"> </w:t>
      </w:r>
      <w:r>
        <w:t xml:space="preserve">A saúde coletiva brasileira (Buss e Pellegrini Filho, 2007; Breilh, 2006) mostra que a desigualdade tem endereço e se inscreve nos corpos. A vigilância popular dá à comunidade o papel de produtora do conhecimento sobre esse endereço.</w:t>
      </w:r>
    </w:p>
    <w:p>
      <w:pPr>
        <w:pStyle w:val="BlockText"/>
      </w:pPr>
      <w:r>
        <w:rPr>
          <w:bCs/>
          <w:b/>
        </w:rPr>
        <w:t xml:space="preserve">Regra de separação.</w:t>
      </w:r>
      <w:r>
        <w:t xml:space="preserve"> </w:t>
      </w:r>
      <w:r>
        <w:t xml:space="preserve">O CTIS e a PICAPS são infraestruturas públicas de ciência e de saúde. Não podem ser usados para fins partidários ou eleitorais, nem para coletar dados pessoais de eleitores, o que violaria a legislação eleitoral, a Lei Geral de Proteção de Dados e as regras de conduta dos agentes públicos. A contribuição para o plano segue duas trilhas distintas: a</w:t>
      </w:r>
      <w:r>
        <w:t xml:space="preserve"> </w:t>
      </w:r>
      <w:r>
        <w:rPr>
          <w:bCs/>
          <w:b/>
        </w:rPr>
        <w:t xml:space="preserve">trilha institucional</w:t>
      </w:r>
      <w:r>
        <w:t xml:space="preserve">, em que governo, SUS e gestores públicos usam os métodos e os produtos das plataformas para formular, implementar e avaliar políticas; e a</w:t>
      </w:r>
      <w:r>
        <w:t xml:space="preserve"> </w:t>
      </w:r>
      <w:r>
        <w:rPr>
          <w:bCs/>
          <w:b/>
        </w:rPr>
        <w:t xml:space="preserve">trilha metodológica</w:t>
      </w:r>
      <w:r>
        <w:t xml:space="preserve">, em que organizações da sociedade civil e do campo político aprendem com métodos abertos e publicados, como o Protocolo de Inteligência Territorial, sem acesso a dados ou estruturas das plataformas.</w:t>
      </w:r>
    </w:p>
    <w:p>
      <w:r>
        <w:br w:type="page"/>
      </w:r>
    </w:p>
    <w:bookmarkEnd w:id="338"/>
    <w:bookmarkStart w:id="342" w:name="a.3-contribuições-por-eixo-do-plano"/>
    <w:p>
      <w:pPr>
        <w:pStyle w:val="Heading2"/>
      </w:pPr>
      <w:r>
        <w:t xml:space="preserve">A.3 Contribuições por eixo do plano</w:t>
      </w:r>
    </w:p>
    <w:p>
      <w:pPr>
        <w:pStyle w:val="CaptionedFigure"/>
      </w:pPr>
      <w:r>
        <w:drawing>
          <wp:inline>
            <wp:extent cx="5334000" cy="3892378"/>
            <wp:effectExtent b="0" l="0" r="0" t="0"/>
            <wp:docPr descr="Figura 60. Fonte: Avaliação qualitativa deste manual com base nas capacidades descritas na Seção A.1." title="" id="340" name="Picture"/>
            <a:graphic>
              <a:graphicData uri="http://schemas.openxmlformats.org/drawingml/2006/picture">
                <pic:pic>
                  <pic:nvPicPr>
                    <pic:cNvPr descr="/home/claude/man/figs/new/g_ctis_matriz.png" id="341" name="Picture"/>
                    <pic:cNvPicPr>
                      <a:picLocks noChangeArrowheads="1" noChangeAspect="1"/>
                    </pic:cNvPicPr>
                  </pic:nvPicPr>
                  <pic:blipFill>
                    <a:blip r:embed="rId3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92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Figura 60.</w:t>
      </w:r>
      <w:r>
        <w:t xml:space="preserve"> </w:t>
      </w:r>
      <w:r>
        <w:t xml:space="preserve">Fonte: Avaliação qualitativa deste manual com base nas capacidades descritas na Seção A.1.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Eixo do plano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Instrumento do CTIS e da PICAPS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Produto para o governo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Indicador de contribuição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Segurança pública e crime organizado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Diagnóstico territorial de vulnerabilidades; Radar de Territórios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Mapa de vazios de serviços nas áreas sob domínio armado, para orientar a presença estatal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Serviços públicos instalados nas áreas prioritárias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 de vida e choque de energia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Vigilância popular de insegurança alimentar; cozinhas e hortas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Alerta precoce de fome e de preço de alimentos por território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entre o alerta e a resposta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Trabalho e 40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Redes comunitárias e escuta estruturada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Escuta de trabalhadores de serviços e de aplicativo sobre a transição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Relatórios territoriais sobre a implementação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Saúde e cuidado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PICAPS: integração entre atenção primária e vigilância; teleorientação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Fila e demanda por território; apoio a equipes de saúde da família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de espera e cobertura por região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Desenvolvimento e clima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Fiocruz Clima e Saúde; economia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Planos de adaptação climática com participação comunitária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Territórios com plano de adaptação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Soberania digital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Transformação digital em saúde; inteligência artificial 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Modelos públicos de dados e de IA a serviço do SUS e do território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Soluções digitais públicas em 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Integridade e eficiência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Monitoramento territorial das entregas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Verificação local de obras e serviços financiados por emendas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Entregas verificadas pela comunidade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Foresight e cenários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 a 7.6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Oficinas prospectivas e sistematização de sinais locais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Sinais fracos dos territórios para o observatório de cenários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Sinais incorporados aos alertas trimestrais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Democracia e instituições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 de Cooperação 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Participação deliberativa na definição de prioridades locais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Decisões territoriais incorporadas a políticas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Formação de quadros públicos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Cursos, residências e formação de agentes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Gestores e agentes formados em inteligência territorial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Profissionais formados por ano</w:t>
            </w:r>
          </w:p>
        </w:tc>
      </w:tr>
    </w:tbl>
    <w:p>
      <w:r>
        <w:br w:type="page"/>
      </w:r>
    </w:p>
    <w:bookmarkEnd w:id="342"/>
    <w:bookmarkStart w:id="346" w:name="a.4-modelo-de-operação"/>
    <w:p>
      <w:pPr>
        <w:pStyle w:val="Heading2"/>
      </w:pPr>
      <w:r>
        <w:t xml:space="preserve">A.4 Modelo de operação</w:t>
      </w:r>
    </w:p>
    <w:p>
      <w:pPr>
        <w:pStyle w:val="FirstParagraph"/>
      </w:pPr>
      <w:r>
        <w:rPr>
          <w:bCs/>
          <w:b/>
        </w:rPr>
        <w:t xml:space="preserve">O ciclo de inteligência cooperativa liga o território à decisão pública e devolve a decisão ao território.</w:t>
      </w:r>
    </w:p>
    <w:p>
      <w:pPr>
        <w:pStyle w:val="CaptionedFigure"/>
      </w:pPr>
      <w:r>
        <w:drawing>
          <wp:inline>
            <wp:extent cx="5334000" cy="3704166"/>
            <wp:effectExtent b="0" l="0" r="0" t="0"/>
            <wp:docPr descr="Figura 61. Fonte: Elaboração própria a partir do Protocolo de Inteligência Territorial (2026) e de Martins e coautores (2024)." title="" id="344" name="Picture"/>
            <a:graphic>
              <a:graphicData uri="http://schemas.openxmlformats.org/drawingml/2006/picture">
                <pic:pic>
                  <pic:nvPicPr>
                    <pic:cNvPr descr="/home/claude/man/figs/new/g_ctis_ciclo.png" id="345" name="Picture"/>
                    <pic:cNvPicPr>
                      <a:picLocks noChangeArrowheads="1" noChangeAspect="1"/>
                    </pic:cNvPicPr>
                  </pic:nvPicPr>
                  <pic:blipFill>
                    <a:blip r:embed="rId3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41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Figura 61.</w:t>
      </w:r>
      <w:r>
        <w:t xml:space="preserve"> </w:t>
      </w:r>
      <w:r>
        <w:t xml:space="preserve">Fonte: Elaboração própria a partir do Protocolo de Inteligência Territorial (2026) e de Martins e coautores (2024).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Território.</w:t>
      </w:r>
      <w:r>
        <w:t xml:space="preserve"> </w:t>
      </w:r>
      <w:r>
        <w:t xml:space="preserve">A comunidade identifica problemas e sinais na Sala de Cooperação Social e por meio do Radar de Territórios.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Dados.</w:t>
      </w:r>
      <w:r>
        <w:t xml:space="preserve"> </w:t>
      </w:r>
      <w:r>
        <w:t xml:space="preserve">Sinais populares e registros oficiais são organizados separadamente, com regras de verificação, e cruzados com indicadores territoriais e com a sistematização de fontes locais.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Inteligência cooperativa.</w:t>
      </w:r>
      <w:r>
        <w:t xml:space="preserve"> </w:t>
      </w:r>
      <w:r>
        <w:t xml:space="preserve">Pesquisadores, gestores e comunidade interpretam os dados juntos, em oficinas e reuniões, e constroem cenários.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Decisão pública.</w:t>
      </w:r>
      <w:r>
        <w:t xml:space="preserve"> </w:t>
      </w:r>
      <w:r>
        <w:t xml:space="preserve">Atenção primária, vigilância, gestores locais e ministérios ajustam serviços e prioridades.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Entrega e devolutiva.</w:t>
      </w:r>
      <w:r>
        <w:t xml:space="preserve"> </w:t>
      </w:r>
      <w:r>
        <w:t xml:space="preserve">O que foi feito volta ao território para avaliação, o que reinicia o ciclo.</w:t>
      </w:r>
    </w:p>
    <w:p>
      <w:r>
        <w:br w:type="page"/>
      </w:r>
    </w:p>
    <w:bookmarkEnd w:id="346"/>
    <w:bookmarkStart w:id="347" w:name="a.5-agenda-para-20272030"/>
    <w:p>
      <w:pPr>
        <w:pStyle w:val="Heading2"/>
      </w:pPr>
      <w:r>
        <w:t xml:space="preserve">A.5 Agenda para 2027–2030</w:t>
      </w:r>
    </w:p>
    <w:p>
      <w:pPr>
        <w:pStyle w:val="FirstParagraph"/>
      </w:pPr>
      <w:r>
        <w:rPr>
          <w:bCs/>
          <w:b/>
        </w:rPr>
        <w:t xml:space="preserve">A proposta é transformar uma experiência de excelência local numa infraestrutura nacional de inteligência territorial para o SUS e para as políticas sociais.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Horizonte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Incorporar o método da Sala de Cooperação Social aos territórios prioritários das políticas de segurança, alimentação e cuidado (Parte 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Pilotos nos territórios do DF já atendidos e em territórios de outras regiões metropolitanas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Integrar os sinais territoriais ao observatório de cenários e ao sistema de inteligência estratégica do governo (Seção 12.1)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Sinais territoriais nos alertas trimestrais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Expandir a Rede de CoLaboratórios com universidades federais e institutos de pesquisa nas cinco regiões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Ao menos um CoLaboratório por região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Formar gestores municipais eleitos em 2028 em inteligência territorial, por meio da Escola de Governo e de cursos abertos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Turmas abertas a todos os municípios, sem distinção partidária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Avaliar o impacto dos pilotos sobre indicadores de saúde, insegurança alimentar e confiança nos serviços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Avaliação independente publicada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Consolidar a inteligência territorial como política de Estado no SUS, protegida da alternância de governo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Marco normativo e financiamento estável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Instrumentalização partidária das plataformas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 de separação, governança institucional da Fiocruz e das universidades, transparência dos usos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Exposição de dados sensíveis de moradores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Proteção de dados desde a concepção, dados agregados, consentimento e auditoria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Dependência de pessoas e de financiamento de projeto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Institucionalização no SUS, orçamento plurianual e rede de instituições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Captura por máquinas locais ou por grupos armados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Pluralidade de organizações na Sala de Cooperação Social e articulação com órgãos de controle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Promessa sem entrega, que alimenta a desconfiança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Começar por problemas com resposta possível e devolutiva obrigatória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Conclusão.</w:t>
      </w:r>
      <w:r>
        <w:t xml:space="preserve"> </w:t>
      </w:r>
      <w:r>
        <w:t xml:space="preserve">A extrema direita cresceu onde o Estado se ausentou e onde a informação deixou de ter ancoragem na experiência comum. O CTIS e a PICAPS mostram, em escala local, uma alternativa institucional: um Estado que chega ao território para ouvir, medir, decidir e entregar com a comunidade. Essa é a contribuição mais duradoura que a ciência pública pode dar ao objetivo central deste manual, que é fortalecer a democracia por meio de políticas que melhoram a vida concreta das pessoas.</w:t>
      </w:r>
    </w:p>
    <w:p>
      <w:r>
        <w:br w:type="page"/>
      </w:r>
    </w:p>
    <w:bookmarkEnd w:id="347"/>
    <w:bookmarkStart w:id="361" w:name="a.6-fontes-do-anexo"/>
    <w:p>
      <w:pPr>
        <w:pStyle w:val="Heading2"/>
      </w:pPr>
      <w:r>
        <w:t xml:space="preserve">A.6 Fontes do anexo</w:t>
      </w:r>
    </w:p>
    <w:p>
      <w:pPr>
        <w:numPr>
          <w:ilvl w:val="0"/>
          <w:numId w:val="1028"/>
        </w:numPr>
        <w:pStyle w:val="Compact"/>
      </w:pPr>
      <w:r>
        <w:t xml:space="preserve">Martins, W. J.; Maia, E. T.; Lima, A. S. G.; Bonetti, O. P.; Gonçalves, L. S.; Silva, J. P. A. B.; Barbosa, D. F.; Sanchez, M. N. Plataforma de Inteligência Cooperativa com a Atenção Primária à Saúde (Picaps): soluções tecnocientíficas em saúde digital no enfrentamento da COVID-19 e outras crises.</w:t>
      </w:r>
      <w:r>
        <w:t xml:space="preserve"> </w:t>
      </w:r>
      <w:r>
        <w:rPr>
          <w:iCs/>
          <w:i/>
        </w:rPr>
        <w:t xml:space="preserve">Ciência &amp; Saúde Coletiva</w:t>
      </w:r>
      <w:r>
        <w:t xml:space="preserve">, 29(10), 2024. doi:10.1590/1413-812320242910.01622023.</w:t>
      </w:r>
      <w:r>
        <w:t xml:space="preserve"> </w:t>
      </w:r>
      <w:hyperlink r:id="rId348">
        <w:r>
          <w:rPr>
            <w:rStyle w:val="Hyperlink"/>
          </w:rPr>
          <w:t xml:space="preserve">Arca Fiocruz</w:t>
        </w:r>
      </w:hyperlink>
      <w:r>
        <w:t xml:space="preserve">.</w:t>
      </w:r>
    </w:p>
    <w:p>
      <w:pPr>
        <w:numPr>
          <w:ilvl w:val="0"/>
          <w:numId w:val="1028"/>
        </w:numPr>
        <w:pStyle w:val="Compact"/>
      </w:pPr>
      <w:r>
        <w:t xml:space="preserve">Martins, W. J.; Machiner, F.; Silva, M. E.; Castro, J. M.</w:t>
      </w:r>
      <w:r>
        <w:t xml:space="preserve"> </w:t>
      </w:r>
      <w:r>
        <w:rPr>
          <w:iCs/>
          <w:i/>
        </w:rPr>
        <w:t xml:space="preserve">Protocolo de Inteligência Territorial</w:t>
      </w:r>
      <w:r>
        <w:t xml:space="preserve">, versão 2.0. Brasília: Fiocruz Brasília, CTIS e PICAPS, 2026.</w:t>
      </w:r>
      <w:r>
        <w:t xml:space="preserve"> </w:t>
      </w:r>
      <w:hyperlink r:id="rId349">
        <w:r>
          <w:rPr>
            <w:rStyle w:val="Hyperlink"/>
          </w:rPr>
          <w:t xml:space="preserve">GitHub</w:t>
        </w:r>
      </w:hyperlink>
      <w:r>
        <w:t xml:space="preserve">.</w:t>
      </w:r>
    </w:p>
    <w:p>
      <w:pPr>
        <w:numPr>
          <w:ilvl w:val="0"/>
          <w:numId w:val="1028"/>
        </w:numPr>
        <w:pStyle w:val="Compact"/>
      </w:pPr>
      <w:r>
        <w:t xml:space="preserve">UnB Notícias.</w:t>
      </w:r>
      <w:r>
        <w:t xml:space="preserve"> </w:t>
      </w:r>
      <w:hyperlink r:id="rId350">
        <w:r>
          <w:rPr>
            <w:rStyle w:val="Hyperlink"/>
          </w:rPr>
          <w:t xml:space="preserve">Plataforma de Inteligência Cooperativa completa dois anos</w:t>
        </w:r>
      </w:hyperlink>
      <w:r>
        <w:t xml:space="preserve">, 5 de maio de 2022.</w:t>
      </w:r>
    </w:p>
    <w:p>
      <w:pPr>
        <w:numPr>
          <w:ilvl w:val="0"/>
          <w:numId w:val="1028"/>
        </w:numPr>
        <w:pStyle w:val="Compact"/>
      </w:pPr>
      <w:r>
        <w:t xml:space="preserve">Microsoft News Center Brasil.</w:t>
      </w:r>
      <w:r>
        <w:t xml:space="preserve"> </w:t>
      </w:r>
      <w:hyperlink r:id="rId351">
        <w:r>
          <w:rPr>
            <w:rStyle w:val="Hyperlink"/>
          </w:rPr>
          <w:t xml:space="preserve">Fiocruz cria rede de inteligência cooperativa para o combate à pandemia com o uso do Microsoft Teams</w:t>
        </w:r>
      </w:hyperlink>
      <w:r>
        <w:t xml:space="preserve">, 24 de junho de 2020.</w:t>
      </w:r>
    </w:p>
    <w:p>
      <w:pPr>
        <w:numPr>
          <w:ilvl w:val="0"/>
          <w:numId w:val="1028"/>
        </w:numPr>
        <w:pStyle w:val="Compact"/>
      </w:pPr>
      <w:r>
        <w:t xml:space="preserve">Fiocruz Brasília; UnB.</w:t>
      </w:r>
      <w:r>
        <w:t xml:space="preserve"> </w:t>
      </w:r>
      <w:hyperlink r:id="rId352">
        <w:r>
          <w:rPr>
            <w:rStyle w:val="Hyperlink"/>
          </w:rPr>
          <w:t xml:space="preserve">Boletim Radar de Territórios no DF: Estrutural, n. 1</w:t>
        </w:r>
      </w:hyperlink>
      <w:r>
        <w:t xml:space="preserve">, julho de 2020;</w:t>
      </w:r>
      <w:r>
        <w:t xml:space="preserve"> </w:t>
      </w:r>
      <w:hyperlink r:id="rId353">
        <w:r>
          <w:rPr>
            <w:rStyle w:val="Hyperlink"/>
          </w:rPr>
          <w:t xml:space="preserve">n. 5</w:t>
        </w:r>
      </w:hyperlink>
      <w:r>
        <w:t xml:space="preserve">, 2020.</w:t>
      </w:r>
    </w:p>
    <w:p>
      <w:pPr>
        <w:numPr>
          <w:ilvl w:val="0"/>
          <w:numId w:val="1028"/>
        </w:numPr>
        <w:pStyle w:val="Compact"/>
      </w:pPr>
      <w:r>
        <w:t xml:space="preserve">Conselho de Saúde do Distrito Federal.</w:t>
      </w:r>
      <w:r>
        <w:t xml:space="preserve"> </w:t>
      </w:r>
      <w:hyperlink r:id="rId354">
        <w:r>
          <w:rPr>
            <w:rStyle w:val="Hyperlink"/>
          </w:rPr>
          <w:t xml:space="preserve">Ofício 68/2020 e Plano Popular de Enfrentamento à COVID-19</w:t>
        </w:r>
      </w:hyperlink>
      <w:r>
        <w:t xml:space="preserve">, 24 de dezembro de 2020.</w:t>
      </w:r>
    </w:p>
    <w:p>
      <w:pPr>
        <w:numPr>
          <w:ilvl w:val="0"/>
          <w:numId w:val="1028"/>
        </w:numPr>
        <w:pStyle w:val="Compact"/>
      </w:pPr>
      <w:r>
        <w:t xml:space="preserve">Fiocruz Brasília.</w:t>
      </w:r>
      <w:r>
        <w:t xml:space="preserve"> </w:t>
      </w:r>
      <w:hyperlink r:id="rId355">
        <w:r>
          <w:rPr>
            <w:rStyle w:val="Hyperlink"/>
          </w:rPr>
          <w:t xml:space="preserve">Portaria GEREB 030/2024: Programa de Incubação de Soluções Sociotécnicas</w:t>
        </w:r>
      </w:hyperlink>
      <w:r>
        <w:t xml:space="preserve">, 3 de abril de 2024.</w:t>
      </w:r>
    </w:p>
    <w:p>
      <w:pPr>
        <w:numPr>
          <w:ilvl w:val="0"/>
          <w:numId w:val="1028"/>
        </w:numPr>
        <w:pStyle w:val="Compact"/>
      </w:pPr>
      <w:r>
        <w:t xml:space="preserve">Sou Brasília.</w:t>
      </w:r>
      <w:r>
        <w:t xml:space="preserve"> </w:t>
      </w:r>
      <w:hyperlink r:id="rId356">
        <w:r>
          <w:rPr>
            <w:rStyle w:val="Hyperlink"/>
          </w:rPr>
          <w:t xml:space="preserve">Quadro da SES-DF chega a quase 30 mil servidores ativos</w:t>
        </w:r>
      </w:hyperlink>
      <w:r>
        <w:t xml:space="preserve">.</w:t>
      </w:r>
    </w:p>
    <w:p>
      <w:pPr>
        <w:numPr>
          <w:ilvl w:val="0"/>
          <w:numId w:val="1028"/>
        </w:numPr>
        <w:pStyle w:val="Compact"/>
      </w:pPr>
      <w:r>
        <w:t xml:space="preserve">Radis.</w:t>
      </w:r>
      <w:r>
        <w:t xml:space="preserve"> </w:t>
      </w:r>
      <w:hyperlink r:id="rId357">
        <w:r>
          <w:rPr>
            <w:rStyle w:val="Hyperlink"/>
          </w:rPr>
          <w:t xml:space="preserve">APS digital</w:t>
        </w:r>
      </w:hyperlink>
      <w:r>
        <w:t xml:space="preserve">, n. 268, janeiro de 2025.</w:t>
      </w:r>
    </w:p>
    <w:p>
      <w:pPr>
        <w:numPr>
          <w:ilvl w:val="0"/>
          <w:numId w:val="1028"/>
        </w:numPr>
        <w:pStyle w:val="Compact"/>
      </w:pPr>
      <w:r>
        <w:t xml:space="preserve">Fiocruz.</w:t>
      </w:r>
      <w:r>
        <w:t xml:space="preserve"> </w:t>
      </w:r>
      <w:hyperlink r:id="rId358">
        <w:r>
          <w:rPr>
            <w:rStyle w:val="Hyperlink"/>
          </w:rPr>
          <w:t xml:space="preserve">Colaboratório de ciência e tecnologia aposta em redes comunitárias para integrar Agenda 2030 e saúde no DF</w:t>
        </w:r>
      </w:hyperlink>
      <w:r>
        <w:t xml:space="preserve">, 2 de outubro de 2025.</w:t>
      </w:r>
    </w:p>
    <w:p>
      <w:pPr>
        <w:numPr>
          <w:ilvl w:val="0"/>
          <w:numId w:val="1028"/>
        </w:numPr>
        <w:pStyle w:val="Compact"/>
      </w:pPr>
      <w:r>
        <w:t xml:space="preserve">FEAC/UFAL.</w:t>
      </w:r>
      <w:r>
        <w:t xml:space="preserve"> </w:t>
      </w:r>
      <w:hyperlink r:id="rId359">
        <w:r>
          <w:rPr>
            <w:rStyle w:val="Hyperlink"/>
          </w:rPr>
          <w:t xml:space="preserve">UFAL e Fiocruz Brasília fortalecem a pesquisa, a inovação e a ciência cidadã</w:t>
        </w:r>
      </w:hyperlink>
      <w:r>
        <w:t xml:space="preserve">.</w:t>
      </w:r>
    </w:p>
    <w:p>
      <w:pPr>
        <w:numPr>
          <w:ilvl w:val="0"/>
          <w:numId w:val="1028"/>
        </w:numPr>
        <w:pStyle w:val="Compact"/>
      </w:pPr>
      <w:r>
        <w:t xml:space="preserve">Fiocruz Brasília.</w:t>
      </w:r>
      <w:r>
        <w:t xml:space="preserve"> </w:t>
      </w:r>
      <w:hyperlink r:id="rId360">
        <w:r>
          <w:rPr>
            <w:rStyle w:val="Hyperlink"/>
          </w:rPr>
          <w:t xml:space="preserve">Fiocruz Brasília fortalece territórios com ações do CTIS no Paraná</w:t>
        </w:r>
      </w:hyperlink>
      <w:r>
        <w:t xml:space="preserve">.</w:t>
      </w:r>
    </w:p>
    <w:p>
      <w:pPr>
        <w:numPr>
          <w:ilvl w:val="0"/>
          <w:numId w:val="1028"/>
        </w:numPr>
        <w:pStyle w:val="Compact"/>
      </w:pPr>
      <w:r>
        <w:t xml:space="preserve">Buss, P. M.; Pellegrini Filho, A. A saúde e seus determinantes sociais.</w:t>
      </w:r>
      <w:r>
        <w:t xml:space="preserve"> </w:t>
      </w:r>
      <w:r>
        <w:rPr>
          <w:iCs/>
          <w:i/>
        </w:rPr>
        <w:t xml:space="preserve">Physis</w:t>
      </w:r>
      <w:r>
        <w:t xml:space="preserve">, 17(1), 2007.</w:t>
      </w:r>
    </w:p>
    <w:p>
      <w:pPr>
        <w:numPr>
          <w:ilvl w:val="0"/>
          <w:numId w:val="1028"/>
        </w:numPr>
        <w:pStyle w:val="Compact"/>
      </w:pPr>
      <w:r>
        <w:t xml:space="preserve">Breilh, J.</w:t>
      </w:r>
      <w:r>
        <w:t xml:space="preserve"> </w:t>
      </w:r>
      <w:r>
        <w:rPr>
          <w:iCs/>
          <w:i/>
        </w:rPr>
        <w:t xml:space="preserve">Epidemiologia crítica: ciência emancipadora e interculturalidade</w:t>
      </w:r>
      <w:r>
        <w:t xml:space="preserve">. Rio de Janeiro: Editora Fiocruz, 2006.</w:t>
      </w:r>
    </w:p>
    <w:p>
      <w:pPr>
        <w:numPr>
          <w:ilvl w:val="0"/>
          <w:numId w:val="1028"/>
        </w:numPr>
        <w:pStyle w:val="Compact"/>
      </w:pPr>
      <w:r>
        <w:t xml:space="preserve">Santos, M.</w:t>
      </w:r>
      <w:r>
        <w:t xml:space="preserve"> </w:t>
      </w:r>
      <w:r>
        <w:rPr>
          <w:iCs/>
          <w:i/>
        </w:rPr>
        <w:t xml:space="preserve">A natureza do espaço</w:t>
      </w:r>
      <w:r>
        <w:t xml:space="preserve">. São Paulo: Hucitec, 1996.</w:t>
      </w:r>
    </w:p>
    <w:p>
      <w:r>
        <w:br w:type="page"/>
      </w:r>
    </w:p>
    <w:bookmarkEnd w:id="361"/>
    <w:bookmarkEnd w:id="362"/>
    <w:bookmarkStart w:id="363" w:name="autores"/>
    <w:p>
      <w:pPr>
        <w:pStyle w:val="Heading1"/>
      </w:pPr>
      <w:r>
        <w:t xml:space="preserve">Autores</w:t>
      </w:r>
    </w:p>
    <w:p>
      <w:pPr>
        <w:pStyle w:val="FirstParagraph"/>
      </w:pPr>
      <w:r>
        <w:t xml:space="preserve">Jeferson Martins de Castro</w:t>
      </w:r>
    </w:p>
    <w:p>
      <w:pPr>
        <w:pStyle w:val="BodyText"/>
      </w:pPr>
      <w:r>
        <w:t xml:space="preserve">Fernanda Machiner</w:t>
      </w:r>
    </w:p>
    <w:p>
      <w:pPr>
        <w:pStyle w:val="BodyText"/>
      </w:pPr>
      <w:r>
        <w:t xml:space="preserve">Maria Eduarda Silva</w:t>
      </w:r>
    </w:p>
    <w:p>
      <w:pPr>
        <w:pStyle w:val="BodyText"/>
      </w:pPr>
      <w:r>
        <w:rPr>
          <w:iCs/>
          <w:i/>
        </w:rPr>
        <w:t xml:space="preserve">Brasília, outubro de 2026.</w:t>
      </w:r>
    </w:p>
    <w:bookmarkEnd w:id="3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Theme="majorEastAsia" w:hAnsi="Calibri" w:hAnsiTheme="majorHAnsi"/>
      <w:b/>
      <w:bCs/>
      <w:color w:val="002776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/>
      <w:b/>
      <w:color w:val="009C3B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Theme="majorEastAsia" w:hAnsi="Calibri" w:hAnsiTheme="majorHAnsi"/>
      <w:b/>
      <w:bCs/>
      <w:color w:val="002776"/>
      <w:sz w:val="4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Theme="majorEastAsia" w:hAnsi="Calibri" w:hAnsiTheme="majorHAnsi"/>
      <w:b/>
      <w:bCs/>
      <w:color w:val="002776"/>
      <w:sz w:val="30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val="009C3B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Calibri" w:asciiTheme="majorHAnsi" w:cstheme="majorBidi" w:eastAsiaTheme="majorEastAsia" w:hAnsi="Calibri" w:hAnsiTheme="majorHAnsi"/>
      <w:i/>
      <w:b/>
      <w:bCs/>
      <w:color w:val="009C3B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52" Target="media/rId52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94" Target="media/rId94.png" /><Relationship Type="http://schemas.openxmlformats.org/officeDocument/2006/relationships/image" Id="rId97" Target="media/rId97.png" /><Relationship Type="http://schemas.openxmlformats.org/officeDocument/2006/relationships/image" Id="rId100" Target="media/rId100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0" Target="media/rId110.png" /><Relationship Type="http://schemas.openxmlformats.org/officeDocument/2006/relationships/image" Id="rId113" Target="media/rId113.png" /><Relationship Type="http://schemas.openxmlformats.org/officeDocument/2006/relationships/image" Id="rId119" Target="media/rId119.png" /><Relationship Type="http://schemas.openxmlformats.org/officeDocument/2006/relationships/image" Id="rId129" Target="media/rId129.png" /><Relationship Type="http://schemas.openxmlformats.org/officeDocument/2006/relationships/image" Id="rId179" Target="media/rId179.png" /><Relationship Type="http://schemas.openxmlformats.org/officeDocument/2006/relationships/image" Id="rId183" Target="media/rId183.png" /><Relationship Type="http://schemas.openxmlformats.org/officeDocument/2006/relationships/image" Id="rId186" Target="media/rId186.png" /><Relationship Type="http://schemas.openxmlformats.org/officeDocument/2006/relationships/image" Id="rId241" Target="media/rId241.png" /><Relationship Type="http://schemas.openxmlformats.org/officeDocument/2006/relationships/image" Id="rId207" Target="media/rId207.png" /><Relationship Type="http://schemas.openxmlformats.org/officeDocument/2006/relationships/image" Id="rId220" Target="media/rId220.png" /><Relationship Type="http://schemas.openxmlformats.org/officeDocument/2006/relationships/image" Id="rId191" Target="media/rId191.png" /><Relationship Type="http://schemas.openxmlformats.org/officeDocument/2006/relationships/image" Id="rId164" Target="media/rId164.png" /><Relationship Type="http://schemas.openxmlformats.org/officeDocument/2006/relationships/image" Id="rId268" Target="media/rId268.png" /><Relationship Type="http://schemas.openxmlformats.org/officeDocument/2006/relationships/image" Id="rId343" Target="media/rId343.png" /><Relationship Type="http://schemas.openxmlformats.org/officeDocument/2006/relationships/image" Id="rId334" Target="media/rId334.png" /><Relationship Type="http://schemas.openxmlformats.org/officeDocument/2006/relationships/image" Id="rId339" Target="media/rId339.png" /><Relationship Type="http://schemas.openxmlformats.org/officeDocument/2006/relationships/image" Id="rId152" Target="media/rId152.png" /><Relationship Type="http://schemas.openxmlformats.org/officeDocument/2006/relationships/image" Id="rId174" Target="media/rId174.png" /><Relationship Type="http://schemas.openxmlformats.org/officeDocument/2006/relationships/image" Id="rId199" Target="media/rId199.png" /><Relationship Type="http://schemas.openxmlformats.org/officeDocument/2006/relationships/image" Id="rId170" Target="media/rId170.png" /><Relationship Type="http://schemas.openxmlformats.org/officeDocument/2006/relationships/image" Id="rId140" Target="media/rId140.png" /><Relationship Type="http://schemas.openxmlformats.org/officeDocument/2006/relationships/image" Id="rId160" Target="media/rId160.png" /><Relationship Type="http://schemas.openxmlformats.org/officeDocument/2006/relationships/image" Id="rId144" Target="media/rId144.png" /><Relationship Type="http://schemas.openxmlformats.org/officeDocument/2006/relationships/image" Id="rId237" Target="media/rId237.png" /><Relationship Type="http://schemas.openxmlformats.org/officeDocument/2006/relationships/image" Id="rId256" Target="media/rId256.png" /><Relationship Type="http://schemas.openxmlformats.org/officeDocument/2006/relationships/image" Id="rId252" Target="media/rId252.png" /><Relationship Type="http://schemas.openxmlformats.org/officeDocument/2006/relationships/image" Id="rId260" Target="media/rId260.png" /><Relationship Type="http://schemas.openxmlformats.org/officeDocument/2006/relationships/image" Id="rId248" Target="media/rId248.png" /><Relationship Type="http://schemas.openxmlformats.org/officeDocument/2006/relationships/image" Id="rId233" Target="media/rId233.png" /><Relationship Type="http://schemas.openxmlformats.org/officeDocument/2006/relationships/image" Id="rId244" Target="media/rId244.png" /><Relationship Type="http://schemas.openxmlformats.org/officeDocument/2006/relationships/image" Id="rId116" Target="media/rId116.png" /><Relationship Type="http://schemas.openxmlformats.org/officeDocument/2006/relationships/image" Id="rId148" Target="media/rId148.png" /><Relationship Type="http://schemas.openxmlformats.org/officeDocument/2006/relationships/image" Id="rId91" Target="media/rId91.png" /><Relationship Type="http://schemas.openxmlformats.org/officeDocument/2006/relationships/image" Id="rId167" Target="media/rId167.png" /><Relationship Type="http://schemas.openxmlformats.org/officeDocument/2006/relationships/image" Id="rId123" Target="media/rId123.png" /><Relationship Type="http://schemas.openxmlformats.org/officeDocument/2006/relationships/image" Id="rId230" Target="media/rId230.png" /><Relationship Type="http://schemas.openxmlformats.org/officeDocument/2006/relationships/image" Id="rId156" Target="media/rId156.png" /><Relationship Type="http://schemas.openxmlformats.org/officeDocument/2006/relationships/image" Id="rId204" Target="media/rId204.png" /><Relationship Type="http://schemas.openxmlformats.org/officeDocument/2006/relationships/hyperlink" Id="rId317" Target="https://agenciabrasil.ebc.com.br/en/economia/noticia/2026-10/imf-forecasts-22-gdp-growth-brazil-2026" TargetMode="External" /><Relationship Type="http://schemas.openxmlformats.org/officeDocument/2006/relationships/hyperlink" Id="rId304" Target="https://agenciabrasil.ebc.com.br/politica/noticia/2026-10/renovacao-da-camara-federal-chegou-35-veja-nova-composicao-da-casa" TargetMode="External" /><Relationship Type="http://schemas.openxmlformats.org/officeDocument/2006/relationships/hyperlink" Id="rId353" Target="https://arca.fiocruz.br/items/d626ed9a-afa1-4358-ace5-c1c9948a8140" TargetMode="External" /><Relationship Type="http://schemas.openxmlformats.org/officeDocument/2006/relationships/hyperlink" Id="rId348" Target="https://arca.fiocruz.br/items/d71b4c58-dc96-4597-a467-8ea93560f655" TargetMode="External" /><Relationship Type="http://schemas.openxmlformats.org/officeDocument/2006/relationships/hyperlink" Id="rId327" Target="https://borainvestir.b3.com.br/noticias/apesar-do-tarifaco-exportacoes-brasileiras-batem-recorde-de-us-349-bi-em-2025/" TargetMode="External" /><Relationship Type="http://schemas.openxmlformats.org/officeDocument/2006/relationships/hyperlink" Id="rId300" Target="https://bpmoney.com.br/mundo/lideres-internacionais-parabenizam-lula-reeleicao-eua-silencio/" TargetMode="External" /><Relationship Type="http://schemas.openxmlformats.org/officeDocument/2006/relationships/hyperlink" Id="rId320" Target="https://commonslibrary.parliament.uk/research-briefings/cbp-12211/" TargetMode="External" /><Relationship Type="http://schemas.openxmlformats.org/officeDocument/2006/relationships/hyperlink" Id="rId302" Target="https://exame.com/brasil/eleicoes-2026-pl-lidera-numero-de-governadores-eleitos-veja-a-lista-por-partido/" TargetMode="External" /><Relationship Type="http://schemas.openxmlformats.org/officeDocument/2006/relationships/hyperlink" Id="rId293" Target="https://exame.com/brasil/lula-amplia-votacao-em-13-estados-e-vira-em-minas-gerais-no-2o-turno/" TargetMode="External" /><Relationship Type="http://schemas.openxmlformats.org/officeDocument/2006/relationships/hyperlink" Id="rId359" Target="https://feac.ufal.br/pt-br/institucional/informes/ufal-e-fiocruz-brasilia-fortalecem-a-pesquisa-a-inovacao-e-a-ciencia-cidada" TargetMode="External" /><Relationship Type="http://schemas.openxmlformats.org/officeDocument/2006/relationships/hyperlink" Id="rId358" Target="https://fiocruz.br/noticia/2025/10/colaboratorio-de-ciencia-e-tecnologia-aposta-em-redes-comunitarias-para-integrar" TargetMode="External" /><Relationship Type="http://schemas.openxmlformats.org/officeDocument/2006/relationships/hyperlink" Id="rId316" Target="https://fortune.com/2026/10/13/imf-global-growth-forecast-2026-ai-economic-divide/" TargetMode="External" /><Relationship Type="http://schemas.openxmlformats.org/officeDocument/2006/relationships/hyperlink" Id="rId349" Target="https://github.com/Jefersonunb/protocolo-inteligencia-territorial" TargetMode="External" /><Relationship Type="http://schemas.openxmlformats.org/officeDocument/2006/relationships/hyperlink" Id="rId301" Target="https://jovempan.com.br/politica/segundo-turno-seis-governadores-eleitos-2026/" TargetMode="External" /><Relationship Type="http://schemas.openxmlformats.org/officeDocument/2006/relationships/hyperlink" Id="rId351" Target="https://news.microsoft.com/pt-br/?p=43013" TargetMode="External" /><Relationship Type="http://schemas.openxmlformats.org/officeDocument/2006/relationships/hyperlink" Id="rId350" Target="https://noticias.unb.br/76-institucional/5697-plataforma-de-inteligencia-cooperativa-completa-dois-anos" TargetMode="External" /><Relationship Type="http://schemas.openxmlformats.org/officeDocument/2006/relationships/hyperlink" Id="rId357" Target="https://radis.ensp.fiocruz.br/reportagem/saude-digital/aps-digital/" TargetMode="External" /><Relationship Type="http://schemas.openxmlformats.org/officeDocument/2006/relationships/hyperlink" Id="rId330" Target="https://revistaseguranca.com.br/dados-do-anuario-brasileiro-de-seguranca-publica-2026/" TargetMode="External" /><Relationship Type="http://schemas.openxmlformats.org/officeDocument/2006/relationships/hyperlink" Id="rId329" Target="https://sbtnews.sbt.com.br/noticia/brasil/comando-vermelho-supera-milicias-e-domina-maior-territorio-do-crime-no-rio-de-janeiro" TargetMode="External" /><Relationship Type="http://schemas.openxmlformats.org/officeDocument/2006/relationships/hyperlink" Id="rId356" Target="https://soubrasilia.com/novos-profissionais-atuarao-em-hospitais-e-unidades-basicas-de-saude-quadro-da-ses-df-chega-a-quase-30-mil-servidores-ativos/" TargetMode="External" /><Relationship Type="http://schemas.openxmlformats.org/officeDocument/2006/relationships/hyperlink" Id="rId289" Target="https://www.abcmais.com/politica/como-ficou-o-resultado-final-do-2o-turno-da-eleicao-presidencial-de-2026/" TargetMode="External" /><Relationship Type="http://schemas.openxmlformats.org/officeDocument/2006/relationships/hyperlink" Id="rId318" Target="https://www.aljazeera.com/news/2026/10/15/us-iran-stalemate-what-are-trumps-next-military-options" TargetMode="External" /><Relationship Type="http://schemas.openxmlformats.org/officeDocument/2006/relationships/hyperlink" Id="rId299" Target="https://www.aljazeera.com/news/2026/10/26/world-reacts-to-lulas-victory-in-brazilian-presidential-race" TargetMode="External" /><Relationship Type="http://schemas.openxmlformats.org/officeDocument/2006/relationships/hyperlink" Id="rId352" Target="https://www.arca.fiocruz.br/handle/icict/43980" TargetMode="External" /><Relationship Type="http://schemas.openxmlformats.org/officeDocument/2006/relationships/hyperlink" Id="rId312" Target="https://www.band.com.br/politica/eleicoes/atlas-flavio-lidera-entre-eleitores-de-45-a-59-anos-lula-ganha-entre-jovens" TargetMode="External" /><Relationship Type="http://schemas.openxmlformats.org/officeDocument/2006/relationships/hyperlink" Id="rId305" Target="https://www.camara.leg.br/noticias/1310849-duas-federacoes-e-tres-partidos-nao-atingem-a-clausula-de-barreira-na-eleicao-para-a-camara" TargetMode="External" /><Relationship Type="http://schemas.openxmlformats.org/officeDocument/2006/relationships/hyperlink" Id="rId326" Target="https://www.canalrural.com.br/economia/exportacoes-aos-eua-sobem-319-em-setembro-enquanto-china-reduz-compras-do-brasil/" TargetMode="External" /><Relationship Type="http://schemas.openxmlformats.org/officeDocument/2006/relationships/hyperlink" Id="rId311" Target="https://www.cnnbrasil.com.br/eleicoes/datafolha-veja-como-flavio-e-lula-pontuam-por-renda-genero-e-religiao/" TargetMode="External" /><Relationship Type="http://schemas.openxmlformats.org/officeDocument/2006/relationships/hyperlink" Id="rId296" Target="https://www.cnnbrasil.com.br/eleicoes/eleicoes-2026-veja-onde-lula-mais-ganhou-votos-no-segundo-turno/" TargetMode="External" /><Relationship Type="http://schemas.openxmlformats.org/officeDocument/2006/relationships/hyperlink" Id="rId315" Target="https://www.cnnbrasil.com.br/eleicoes/psd-e-mdb-sao-os-partidos-que-mais-elegeram-prefeitos-em-capitais-em-2024/" TargetMode="External" /><Relationship Type="http://schemas.openxmlformats.org/officeDocument/2006/relationships/hyperlink" Id="rId328" Target="https://www.cnnbrasil.com.br/nacional/sudeste/sp/faria-lima-pcc-e-combustiveis-veja-alvos-da-nova-fase-da-carbono-oculto/" TargetMode="External" /><Relationship Type="http://schemas.openxmlformats.org/officeDocument/2006/relationships/hyperlink" Id="rId291" Target="https://www.correio24horas.com.br/eleicoes/virada-em-mg-e-vitoria-historica-no-rio-a-votacao-de-lula-e-flavio-nos-estados-1026" TargetMode="External" /><Relationship Type="http://schemas.openxmlformats.org/officeDocument/2006/relationships/hyperlink" Id="rId321" Target="https://www.csis.org/analysis/takeaways-trump-xi-white-house-summit" TargetMode="External" /><Relationship Type="http://schemas.openxmlformats.org/officeDocument/2006/relationships/hyperlink" Id="rId324" Target="https://www.democracywithoutborders.org/41651/v-dem-report-finds-global-democracy-is-back-at-1978-levels/" TargetMode="External" /><Relationship Type="http://schemas.openxmlformats.org/officeDocument/2006/relationships/hyperlink" Id="rId313" Target="https://www.dgabc.com.br/Noticia/4352764/quaest-flavio-tem-vantagem-entre-evangelicos-e-lula-entre-beneficiarios-do-bolsa-familia" TargetMode="External" /><Relationship Type="http://schemas.openxmlformats.org/officeDocument/2006/relationships/hyperlink" Id="rId290" Target="https://www.em.com.br/politica/2026/10/7527822-abstencao-e-a-menor-em-20-anos-e-atrai-3-milhoes-a-mais-de-eleitores.html" TargetMode="External" /><Relationship Type="http://schemas.openxmlformats.org/officeDocument/2006/relationships/hyperlink" Id="rId325" Target="https://www.eurasiagroup.net/issues/top-risks-2026" TargetMode="External" /><Relationship Type="http://schemas.openxmlformats.org/officeDocument/2006/relationships/hyperlink" Id="rId360" Target="https://www.fiocruzbrasilia.fiocruz.br/fiocruz-brasilia-fortalece-territorios-com-acoes-do-colaboratorio-de-ciencia-tecnologia-inovacao-e-sociedade-ctis-no-parana/" TargetMode="External" /><Relationship Type="http://schemas.openxmlformats.org/officeDocument/2006/relationships/hyperlink" Id="rId354" Target="https://www.fiocruzbrasilia.fiocruz.br/wp-content/uploads/2021/01/doc_csdf_sesdf-1-14.pdf" TargetMode="External" /><Relationship Type="http://schemas.openxmlformats.org/officeDocument/2006/relationships/hyperlink" Id="rId355" Target="https://www.fiocruzbrasilia.fiocruz.br/wp-content/uploads/2024/04/Port.030.pdf" TargetMode="External" /><Relationship Type="http://schemas.openxmlformats.org/officeDocument/2006/relationships/hyperlink" Id="rId292" Target="https://www.gazetadopovo.com.br/eleicoes/2026/mapa-votacao-presidente-primeiro-segundo-turno-por-estado/" TargetMode="External" /><Relationship Type="http://schemas.openxmlformats.org/officeDocument/2006/relationships/hyperlink" Id="rId297" Target="https://www.infomoney.com.br/politica/flavio-nao-reconhece-resultado-da-eleicao-e-diz-que-pedira-anulacao-ao-tse/" TargetMode="External" /><Relationship Type="http://schemas.openxmlformats.org/officeDocument/2006/relationships/hyperlink" Id="rId307" Target="https://www.intercept.com.br/2026/10/04/extrema-direita-conquista-maioria-senado-poder-abrir-processo-impeachments-ministros-stf/" TargetMode="External" /><Relationship Type="http://schemas.openxmlformats.org/officeDocument/2006/relationships/hyperlink" Id="rId298" Target="https://www.juruaemtempo.com.br/politica/ministros-do-stf-e-do-tse-descartam-anulacao-das-eleicoes-defendida-por-flavio-e-reconhecem-vitoria-de-lula/" TargetMode="External" /><Relationship Type="http://schemas.openxmlformats.org/officeDocument/2006/relationships/hyperlink" Id="rId308" Target="https://www.metropoles.com/brasil/avanco-do-pl-deixa-duvidas-sobre-futuro-de-motta-e-alcolumbre-no-congresso" TargetMode="External" /><Relationship Type="http://schemas.openxmlformats.org/officeDocument/2006/relationships/hyperlink" Id="rId303" Target="https://www.metropoles.com/brasil/eleicoes-apos-segundo-turno-7-governadores-apoiados-por-lula-sao-eleitos" TargetMode="External" /><Relationship Type="http://schemas.openxmlformats.org/officeDocument/2006/relationships/hyperlink" Id="rId319" Target="https://www.mprnews.org/story/2026/10/24/ukraine-and-russia-eye-new-peace-talks-but-steep-obstacles-remain" TargetMode="External" /><Relationship Type="http://schemas.openxmlformats.org/officeDocument/2006/relationships/hyperlink" Id="rId314" Target="https://www.nsctotal.com.br/politica/centrao-lidera-numero-de-prefeituras-no-pais-apos-resultados-das-eleicoes-2024" TargetMode="External" /><Relationship Type="http://schemas.openxmlformats.org/officeDocument/2006/relationships/hyperlink" Id="rId294" Target="https://www.otempo.com.br/politica/2026/10/26/capitais-segundo-turno-2026-lula-flavio-quem-lidera" TargetMode="External" /><Relationship Type="http://schemas.openxmlformats.org/officeDocument/2006/relationships/hyperlink" Id="rId310" Target="https://www.poder360.com.br/poder-congresso/congresso-promulgara-fim-da-escala-6-x-1-na-6a-feira-16-out/" TargetMode="External" /><Relationship Type="http://schemas.openxmlformats.org/officeDocument/2006/relationships/hyperlink" Id="rId295" Target="https://www.poder360.com.br/poder-eleicoes-2026/lula-vira-em-duas-capitais-ante-2022-mas-cede-280-cidades-menores/" TargetMode="External" /><Relationship Type="http://schemas.openxmlformats.org/officeDocument/2006/relationships/hyperlink" Id="rId309" Target="https://www.radiopampa.com.br/bancada-evangelica-cresce-puxada-por-influenciadores-como-nikolas-ferreira-e-lucas-pavanato/" TargetMode="External" /><Relationship Type="http://schemas.openxmlformats.org/officeDocument/2006/relationships/hyperlink" Id="rId323" Target="https://www.riotimesonline.com/brazil-awaits-us-tariff-offer-after-lula-win-2026" TargetMode="External" /><Relationship Type="http://schemas.openxmlformats.org/officeDocument/2006/relationships/hyperlink" Id="rId322" Target="https://www.strtrade.com/trade-news-resources/tariff-actions-resources/ieepa-tariffs-on-brazil" TargetMode="External" /><Relationship Type="http://schemas.openxmlformats.org/officeDocument/2006/relationships/hyperlink" Id="rId288" Target="https://www.tre-sp.jus.br/comunicacao/noticias/2026/Outubro/eleicoes-2026-lula-e-reeleito-presidente-da-republica-confira-resultado-do-2o-turno-em-sp" TargetMode="External" /><Relationship Type="http://schemas.openxmlformats.org/officeDocument/2006/relationships/hyperlink" Id="rId306" Target="https://www12.senado.leg.br/noticias/materias/2026/10/25/fim-da-eleicao-define-composicao-do-senado-em-2027-com-13-partido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7" Target="https://agenciabrasil.ebc.com.br/en/economia/noticia/2026-10/imf-forecasts-22-gdp-growth-brazil-2026" TargetMode="External" /><Relationship Type="http://schemas.openxmlformats.org/officeDocument/2006/relationships/hyperlink" Id="rId304" Target="https://agenciabrasil.ebc.com.br/politica/noticia/2026-10/renovacao-da-camara-federal-chegou-35-veja-nova-composicao-da-casa" TargetMode="External" /><Relationship Type="http://schemas.openxmlformats.org/officeDocument/2006/relationships/hyperlink" Id="rId353" Target="https://arca.fiocruz.br/items/d626ed9a-afa1-4358-ace5-c1c9948a8140" TargetMode="External" /><Relationship Type="http://schemas.openxmlformats.org/officeDocument/2006/relationships/hyperlink" Id="rId348" Target="https://arca.fiocruz.br/items/d71b4c58-dc96-4597-a467-8ea93560f655" TargetMode="External" /><Relationship Type="http://schemas.openxmlformats.org/officeDocument/2006/relationships/hyperlink" Id="rId327" Target="https://borainvestir.b3.com.br/noticias/apesar-do-tarifaco-exportacoes-brasileiras-batem-recorde-de-us-349-bi-em-2025/" TargetMode="External" /><Relationship Type="http://schemas.openxmlformats.org/officeDocument/2006/relationships/hyperlink" Id="rId300" Target="https://bpmoney.com.br/mundo/lideres-internacionais-parabenizam-lula-reeleicao-eua-silencio/" TargetMode="External" /><Relationship Type="http://schemas.openxmlformats.org/officeDocument/2006/relationships/hyperlink" Id="rId320" Target="https://commonslibrary.parliament.uk/research-briefings/cbp-12211/" TargetMode="External" /><Relationship Type="http://schemas.openxmlformats.org/officeDocument/2006/relationships/hyperlink" Id="rId302" Target="https://exame.com/brasil/eleicoes-2026-pl-lidera-numero-de-governadores-eleitos-veja-a-lista-por-partido/" TargetMode="External" /><Relationship Type="http://schemas.openxmlformats.org/officeDocument/2006/relationships/hyperlink" Id="rId293" Target="https://exame.com/brasil/lula-amplia-votacao-em-13-estados-e-vira-em-minas-gerais-no-2o-turno/" TargetMode="External" /><Relationship Type="http://schemas.openxmlformats.org/officeDocument/2006/relationships/hyperlink" Id="rId359" Target="https://feac.ufal.br/pt-br/institucional/informes/ufal-e-fiocruz-brasilia-fortalecem-a-pesquisa-a-inovacao-e-a-ciencia-cidada" TargetMode="External" /><Relationship Type="http://schemas.openxmlformats.org/officeDocument/2006/relationships/hyperlink" Id="rId358" Target="https://fiocruz.br/noticia/2025/10/colaboratorio-de-ciencia-e-tecnologia-aposta-em-redes-comunitarias-para-integrar" TargetMode="External" /><Relationship Type="http://schemas.openxmlformats.org/officeDocument/2006/relationships/hyperlink" Id="rId316" Target="https://fortune.com/2026/10/13/imf-global-growth-forecast-2026-ai-economic-divide/" TargetMode="External" /><Relationship Type="http://schemas.openxmlformats.org/officeDocument/2006/relationships/hyperlink" Id="rId349" Target="https://github.com/Jefersonunb/protocolo-inteligencia-territorial" TargetMode="External" /><Relationship Type="http://schemas.openxmlformats.org/officeDocument/2006/relationships/hyperlink" Id="rId301" Target="https://jovempan.com.br/politica/segundo-turno-seis-governadores-eleitos-2026/" TargetMode="External" /><Relationship Type="http://schemas.openxmlformats.org/officeDocument/2006/relationships/hyperlink" Id="rId351" Target="https://news.microsoft.com/pt-br/?p=43013" TargetMode="External" /><Relationship Type="http://schemas.openxmlformats.org/officeDocument/2006/relationships/hyperlink" Id="rId350" Target="https://noticias.unb.br/76-institucional/5697-plataforma-de-inteligencia-cooperativa-completa-dois-anos" TargetMode="External" /><Relationship Type="http://schemas.openxmlformats.org/officeDocument/2006/relationships/hyperlink" Id="rId357" Target="https://radis.ensp.fiocruz.br/reportagem/saude-digital/aps-digital/" TargetMode="External" /><Relationship Type="http://schemas.openxmlformats.org/officeDocument/2006/relationships/hyperlink" Id="rId330" Target="https://revistaseguranca.com.br/dados-do-anuario-brasileiro-de-seguranca-publica-2026/" TargetMode="External" /><Relationship Type="http://schemas.openxmlformats.org/officeDocument/2006/relationships/hyperlink" Id="rId329" Target="https://sbtnews.sbt.com.br/noticia/brasil/comando-vermelho-supera-milicias-e-domina-maior-territorio-do-crime-no-rio-de-janeiro" TargetMode="External" /><Relationship Type="http://schemas.openxmlformats.org/officeDocument/2006/relationships/hyperlink" Id="rId356" Target="https://soubrasilia.com/novos-profissionais-atuarao-em-hospitais-e-unidades-basicas-de-saude-quadro-da-ses-df-chega-a-quase-30-mil-servidores-ativos/" TargetMode="External" /><Relationship Type="http://schemas.openxmlformats.org/officeDocument/2006/relationships/hyperlink" Id="rId289" Target="https://www.abcmais.com/politica/como-ficou-o-resultado-final-do-2o-turno-da-eleicao-presidencial-de-2026/" TargetMode="External" /><Relationship Type="http://schemas.openxmlformats.org/officeDocument/2006/relationships/hyperlink" Id="rId318" Target="https://www.aljazeera.com/news/2026/10/15/us-iran-stalemate-what-are-trumps-next-military-options" TargetMode="External" /><Relationship Type="http://schemas.openxmlformats.org/officeDocument/2006/relationships/hyperlink" Id="rId299" Target="https://www.aljazeera.com/news/2026/10/26/world-reacts-to-lulas-victory-in-brazilian-presidential-race" TargetMode="External" /><Relationship Type="http://schemas.openxmlformats.org/officeDocument/2006/relationships/hyperlink" Id="rId352" Target="https://www.arca.fiocruz.br/handle/icict/43980" TargetMode="External" /><Relationship Type="http://schemas.openxmlformats.org/officeDocument/2006/relationships/hyperlink" Id="rId312" Target="https://www.band.com.br/politica/eleicoes/atlas-flavio-lidera-entre-eleitores-de-45-a-59-anos-lula-ganha-entre-jovens" TargetMode="External" /><Relationship Type="http://schemas.openxmlformats.org/officeDocument/2006/relationships/hyperlink" Id="rId305" Target="https://www.camara.leg.br/noticias/1310849-duas-federacoes-e-tres-partidos-nao-atingem-a-clausula-de-barreira-na-eleicao-para-a-camara" TargetMode="External" /><Relationship Type="http://schemas.openxmlformats.org/officeDocument/2006/relationships/hyperlink" Id="rId326" Target="https://www.canalrural.com.br/economia/exportacoes-aos-eua-sobem-319-em-setembro-enquanto-china-reduz-compras-do-brasil/" TargetMode="External" /><Relationship Type="http://schemas.openxmlformats.org/officeDocument/2006/relationships/hyperlink" Id="rId311" Target="https://www.cnnbrasil.com.br/eleicoes/datafolha-veja-como-flavio-e-lula-pontuam-por-renda-genero-e-religiao/" TargetMode="External" /><Relationship Type="http://schemas.openxmlformats.org/officeDocument/2006/relationships/hyperlink" Id="rId296" Target="https://www.cnnbrasil.com.br/eleicoes/eleicoes-2026-veja-onde-lula-mais-ganhou-votos-no-segundo-turno/" TargetMode="External" /><Relationship Type="http://schemas.openxmlformats.org/officeDocument/2006/relationships/hyperlink" Id="rId315" Target="https://www.cnnbrasil.com.br/eleicoes/psd-e-mdb-sao-os-partidos-que-mais-elegeram-prefeitos-em-capitais-em-2024/" TargetMode="External" /><Relationship Type="http://schemas.openxmlformats.org/officeDocument/2006/relationships/hyperlink" Id="rId328" Target="https://www.cnnbrasil.com.br/nacional/sudeste/sp/faria-lima-pcc-e-combustiveis-veja-alvos-da-nova-fase-da-carbono-oculto/" TargetMode="External" /><Relationship Type="http://schemas.openxmlformats.org/officeDocument/2006/relationships/hyperlink" Id="rId291" Target="https://www.correio24horas.com.br/eleicoes/virada-em-mg-e-vitoria-historica-no-rio-a-votacao-de-lula-e-flavio-nos-estados-1026" TargetMode="External" /><Relationship Type="http://schemas.openxmlformats.org/officeDocument/2006/relationships/hyperlink" Id="rId321" Target="https://www.csis.org/analysis/takeaways-trump-xi-white-house-summit" TargetMode="External" /><Relationship Type="http://schemas.openxmlformats.org/officeDocument/2006/relationships/hyperlink" Id="rId324" Target="https://www.democracywithoutborders.org/41651/v-dem-report-finds-global-democracy-is-back-at-1978-levels/" TargetMode="External" /><Relationship Type="http://schemas.openxmlformats.org/officeDocument/2006/relationships/hyperlink" Id="rId313" Target="https://www.dgabc.com.br/Noticia/4352764/quaest-flavio-tem-vantagem-entre-evangelicos-e-lula-entre-beneficiarios-do-bolsa-familia" TargetMode="External" /><Relationship Type="http://schemas.openxmlformats.org/officeDocument/2006/relationships/hyperlink" Id="rId290" Target="https://www.em.com.br/politica/2026/10/7527822-abstencao-e-a-menor-em-20-anos-e-atrai-3-milhoes-a-mais-de-eleitores.html" TargetMode="External" /><Relationship Type="http://schemas.openxmlformats.org/officeDocument/2006/relationships/hyperlink" Id="rId325" Target="https://www.eurasiagroup.net/issues/top-risks-2026" TargetMode="External" /><Relationship Type="http://schemas.openxmlformats.org/officeDocument/2006/relationships/hyperlink" Id="rId360" Target="https://www.fiocruzbrasilia.fiocruz.br/fiocruz-brasilia-fortalece-territorios-com-acoes-do-colaboratorio-de-ciencia-tecnologia-inovacao-e-sociedade-ctis-no-parana/" TargetMode="External" /><Relationship Type="http://schemas.openxmlformats.org/officeDocument/2006/relationships/hyperlink" Id="rId354" Target="https://www.fiocruzbrasilia.fiocruz.br/wp-content/uploads/2021/01/doc_csdf_sesdf-1-14.pdf" TargetMode="External" /><Relationship Type="http://schemas.openxmlformats.org/officeDocument/2006/relationships/hyperlink" Id="rId355" Target="https://www.fiocruzbrasilia.fiocruz.br/wp-content/uploads/2024/04/Port.030.pdf" TargetMode="External" /><Relationship Type="http://schemas.openxmlformats.org/officeDocument/2006/relationships/hyperlink" Id="rId292" Target="https://www.gazetadopovo.com.br/eleicoes/2026/mapa-votacao-presidente-primeiro-segundo-turno-por-estado/" TargetMode="External" /><Relationship Type="http://schemas.openxmlformats.org/officeDocument/2006/relationships/hyperlink" Id="rId297" Target="https://www.infomoney.com.br/politica/flavio-nao-reconhece-resultado-da-eleicao-e-diz-que-pedira-anulacao-ao-tse/" TargetMode="External" /><Relationship Type="http://schemas.openxmlformats.org/officeDocument/2006/relationships/hyperlink" Id="rId307" Target="https://www.intercept.com.br/2026/10/04/extrema-direita-conquista-maioria-senado-poder-abrir-processo-impeachments-ministros-stf/" TargetMode="External" /><Relationship Type="http://schemas.openxmlformats.org/officeDocument/2006/relationships/hyperlink" Id="rId298" Target="https://www.juruaemtempo.com.br/politica/ministros-do-stf-e-do-tse-descartam-anulacao-das-eleicoes-defendida-por-flavio-e-reconhecem-vitoria-de-lula/" TargetMode="External" /><Relationship Type="http://schemas.openxmlformats.org/officeDocument/2006/relationships/hyperlink" Id="rId308" Target="https://www.metropoles.com/brasil/avanco-do-pl-deixa-duvidas-sobre-futuro-de-motta-e-alcolumbre-no-congresso" TargetMode="External" /><Relationship Type="http://schemas.openxmlformats.org/officeDocument/2006/relationships/hyperlink" Id="rId303" Target="https://www.metropoles.com/brasil/eleicoes-apos-segundo-turno-7-governadores-apoiados-por-lula-sao-eleitos" TargetMode="External" /><Relationship Type="http://schemas.openxmlformats.org/officeDocument/2006/relationships/hyperlink" Id="rId319" Target="https://www.mprnews.org/story/2026/10/24/ukraine-and-russia-eye-new-peace-talks-but-steep-obstacles-remain" TargetMode="External" /><Relationship Type="http://schemas.openxmlformats.org/officeDocument/2006/relationships/hyperlink" Id="rId314" Target="https://www.nsctotal.com.br/politica/centrao-lidera-numero-de-prefeituras-no-pais-apos-resultados-das-eleicoes-2024" TargetMode="External" /><Relationship Type="http://schemas.openxmlformats.org/officeDocument/2006/relationships/hyperlink" Id="rId294" Target="https://www.otempo.com.br/politica/2026/10/26/capitais-segundo-turno-2026-lula-flavio-quem-lidera" TargetMode="External" /><Relationship Type="http://schemas.openxmlformats.org/officeDocument/2006/relationships/hyperlink" Id="rId310" Target="https://www.poder360.com.br/poder-congresso/congresso-promulgara-fim-da-escala-6-x-1-na-6a-feira-16-out/" TargetMode="External" /><Relationship Type="http://schemas.openxmlformats.org/officeDocument/2006/relationships/hyperlink" Id="rId295" Target="https://www.poder360.com.br/poder-eleicoes-2026/lula-vira-em-duas-capitais-ante-2022-mas-cede-280-cidades-menores/" TargetMode="External" /><Relationship Type="http://schemas.openxmlformats.org/officeDocument/2006/relationships/hyperlink" Id="rId309" Target="https://www.radiopampa.com.br/bancada-evangelica-cresce-puxada-por-influenciadores-como-nikolas-ferreira-e-lucas-pavanato/" TargetMode="External" /><Relationship Type="http://schemas.openxmlformats.org/officeDocument/2006/relationships/hyperlink" Id="rId323" Target="https://www.riotimesonline.com/brazil-awaits-us-tariff-offer-after-lula-win-2026" TargetMode="External" /><Relationship Type="http://schemas.openxmlformats.org/officeDocument/2006/relationships/hyperlink" Id="rId322" Target="https://www.strtrade.com/trade-news-resources/tariff-actions-resources/ieepa-tariffs-on-brazil" TargetMode="External" /><Relationship Type="http://schemas.openxmlformats.org/officeDocument/2006/relationships/hyperlink" Id="rId288" Target="https://www.tre-sp.jus.br/comunicacao/noticias/2026/Outubro/eleicoes-2026-lula-e-reeleito-presidente-da-republica-confira-resultado-do-2o-turno-em-sp" TargetMode="External" /><Relationship Type="http://schemas.openxmlformats.org/officeDocument/2006/relationships/hyperlink" Id="rId306" Target="https://www12.senado.leg.br/noticias/materias/2026/10/25/fim-da-eleicao-define-composicao-do-senado-em-2027-com-13-partido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Brasil 1989–2030: esquerda, governo e estratégia</dc:title>
  <dc:creator>Jeferson Martins de Castro; Fernanda Machiner; Maria Eduarda Silva</dc:creator>
  <dc:language>pt-BR</dc:language>
  <cp:keywords/>
  <dcterms:created xsi:type="dcterms:W3CDTF">2026-10-28T00:25:55Z</dcterms:created>
  <dcterms:modified xsi:type="dcterms:W3CDTF">2026-10-28T00:25:55Z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Manual teórico-analítico e guia para a ação · Edição ampliada após o 2º turno · Outubro de 2026</vt:lpwstr>
  </property>
  <property fmtid="{D5CDD505-2E9C-101B-9397-08002B2CF9AE}" pid="3" name="toc-title">
    <vt:lpwstr>Sumário</vt:lpwstr>
  </property>
</Properties>
</file>