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500" w:lineRule="exact"/>
        <w:jc w:val="both"/>
      </w:pPr>
    </w:p>
    <w:p>
      <w:pPr>
        <w:pBdr>
          <w:top w:val="single" w:sz="12" w:space="10" w:color="007614"/>
        </w:pBdr>
        <w:spacing w:before="420" w:after="160" w:line="260" w:lineRule="auto"/>
        <w:jc w:val="left"/>
      </w:pPr>
      <w:r>
        <w:rPr>
          <w:rFonts w:ascii="Barlow Condensed SemiBold" w:hAnsi="Barlow Condensed SemiBold" w:cs="Barlow Condensed SemiBold" w:eastAsia="Barlow Condensed SemiBold"/>
          <w:color w:val="007614"/>
          <w:sz w:val="19"/>
          <w:szCs w:val="19"/>
        </w:rPr>
        <w:t xml:space="preserve">PROJETO TÉCNICO</w:t>
      </w:r>
    </w:p>
    <w:p>
      <w:pPr>
        <w:spacing w:before="0" w:after="0" w:line="636" w:lineRule="exact"/>
        <w:jc w:val="left"/>
      </w:pPr>
      <w:r>
        <w:rPr>
          <w:rFonts w:ascii="Barlow Condensed" w:hAnsi="Barlow Condensed" w:cs="Barlow Condensed" w:eastAsia="Barlow Condensed"/>
          <w:b/>
          <w:bCs/>
          <w:color w:val="01366F"/>
          <w:sz w:val="60"/>
          <w:szCs w:val="60"/>
        </w:rPr>
        <w:t xml:space="preserve">ÍNDICE DE NECESSIDADE DE SAÚDE (INS)</w:t>
      </w:r>
    </w:p>
    <w:p>
      <w:pPr>
        <w:spacing w:before="160" w:after="0" w:line="392" w:lineRule="exact"/>
        <w:jc w:val="left"/>
      </w:pPr>
      <w:r>
        <w:rPr>
          <w:rFonts w:ascii="Barlow Condensed" w:hAnsi="Barlow Condensed" w:cs="Barlow Condensed" w:eastAsia="Barlow Condensed"/>
          <w:b/>
          <w:bCs/>
          <w:color w:val="007614"/>
          <w:sz w:val="37"/>
          <w:szCs w:val="37"/>
        </w:rPr>
        <w:t xml:space="preserve">Recorte Municipal (INS-M) e Distrital (INS-DF)</w:t>
      </w:r>
    </w:p>
    <w:p>
      <w:pPr>
        <w:pBdr>
          <w:left w:val="single" w:sz="24" w:space="0" w:color="007614"/>
        </w:pBdr>
        <w:spacing w:before="300" w:after="0" w:line="560" w:lineRule="exact"/>
        <w:ind w:left="40"/>
        <w:jc w:val="left"/>
      </w:pPr>
    </w:p>
    <w:p>
      <w:pPr>
        <w:spacing w:before="200" w:after="0" w:line="300" w:lineRule="auto"/>
        <w:ind w:right="2400"/>
        <w:jc w:val="left"/>
      </w:pPr>
      <w:r>
        <w:rPr>
          <w:rFonts w:ascii="Barlow" w:hAnsi="Barlow" w:cs="Barlow" w:eastAsia="Barlow"/>
          <w:color w:val="01366F"/>
          <w:sz w:val="22"/>
          <w:szCs w:val="22"/>
        </w:rPr>
        <w:t xml:space="preserve">Discussão teórico-metodológica, cesta de indicadores e metodologia de cálculo</w:t>
      </w:r>
    </w:p>
    <w:p>
      <w:pPr>
        <w:spacing w:before="300" w:after="0" w:line="270" w:lineRule="auto"/>
        <w:jc w:val="left"/>
        <w:sectPr>
          <w:headerReference w:type="default" r:id="rId11"/>
          <w:headerReference w:type="even" r:id="rId11"/>
          <w:footerReference w:type="default" r:id="rId12"/>
          <w:footerReference w:type="even" r:id="rId12"/>
          <w:type w:val="nextPage"/>
          <w:pgSz w:w="11906" w:h="16838"/>
          <w:pgMar w:top="1300" w:right="1361" w:bottom="1000" w:left="1361" w:header="850" w:footer="330" w:gutter="0"/>
          <w:cols w:space="720"/>
          <w:docGrid w:linePitch="360"/>
        </w:sectPr>
      </w:pPr>
      <w:r>
        <w:rPr>
          <w:rFonts w:ascii="Barlow SemiBold" w:hAnsi="Barlow SemiBold" w:cs="Barlow SemiBold" w:eastAsia="Barlow SemiBold"/>
          <w:color w:val="01366F"/>
          <w:sz w:val="20"/>
          <w:szCs w:val="20"/>
        </w:rPr>
        <w:t xml:space="preserve">Wagner de Jesus Martins, Fernanda Machiner, Maria Eduarda Silva, Jeferson Martins de Castro</w:t>
      </w:r>
    </w:p>
    <w:p>
      <w:pPr>
        <w:spacing w:before="0" w:after="0" w:line="6200" w:lineRule="exact"/>
        <w:jc w:val="both"/>
      </w:pPr>
    </w:p>
    <w:p>
      <w:pPr>
        <w:spacing w:before="0" w:after="120" w:line="280" w:lineRule="auto"/>
        <w:jc w:val="left"/>
      </w:pPr>
      <w:r>
        <w:rPr>
          <w:rFonts w:ascii="Barlow" w:hAnsi="Barlow" w:cs="Barlow" w:eastAsia="Barlow"/>
          <w:color w:val="0F2440"/>
          <w:sz w:val="19"/>
          <w:szCs w:val="19"/>
        </w:rPr>
        <w:t xml:space="preserve">Versão 2.0 — outubro de 2026</w:t>
      </w:r>
    </w:p>
    <w:p>
      <w:pPr>
        <w:spacing w:before="0" w:after="120" w:line="280" w:lineRule="auto"/>
        <w:jc w:val="left"/>
      </w:pPr>
      <w:r>
        <w:rPr>
          <w:rFonts w:ascii="Barlow" w:hAnsi="Barlow" w:cs="Barlow" w:eastAsia="Barlow"/>
          <w:color w:val="0F2440"/>
          <w:sz w:val="19"/>
          <w:szCs w:val="19"/>
        </w:rPr>
        <w:t xml:space="preserve">Fiocruz Brasília / CoLaboratório CTIS — Plataforma de Inteligência Cooperativa com a Atenção Primária à Saúde (PICAPS)</w:t>
      </w:r>
    </w:p>
    <w:p>
      <w:pPr>
        <w:keepNext/>
        <w:spacing w:before="0" w:after="0" w:line="120" w:lineRule="exact"/>
        <w:jc w:val="both"/>
      </w:pPr>
    </w:p>
    <w:tbl>
      <w:tblPr>
        <w:tblW w:w="8844" w:type="dxa"/>
        <w:tblInd w:w="0" w:type="dxa"/>
        <w:tblBorders>
          <w:top w:val="nil"/>
          <w:left w:val="single" w:sz="36" w:space="0" w:color="01366F"/>
          <w:bottom w:val="nil"/>
          <w:right w:val="nil"/>
          <w:insideH w:val="nil"/>
          <w:insideV w:val="nil"/>
        </w:tblBorders>
        <w:tblLayout w:type="fixed"/>
        <w:tblCellMar>
          <w:top w:w="120" w:type="dxa"/>
          <w:left w:w="220" w:type="dxa"/>
          <w:bottom w:w="140" w:type="dxa"/>
          <w:right w:w="220" w:type="dxa"/>
        </w:tblCellMar>
        <w:tblLook w:val="0000"/>
      </w:tblPr>
      <w:tblGrid>
        <w:gridCol w:w="8844"/>
      </w:tblGrid>
      <w:tr>
        <w:trPr>
          <w:cantSplit/>
        </w:trPr>
        <w:tc>
          <w:tcPr>
            <w:tcW w:w="8844" w:type="dxa"/>
            <w:shd w:val="clear" w:color="auto" w:fill="E8EEF5"/>
          </w:tcPr>
          <w:p>
            <w:pPr>
              <w:spacing w:before="0" w:after="0" w:line="290" w:lineRule="auto"/>
              <w:jc w:val="both"/>
            </w:pPr>
            <w:r>
              <w:rPr>
                <w:rFonts w:ascii="Barlow SemiBold" w:hAnsi="Barlow SemiBold" w:cs="Barlow SemiBold" w:eastAsia="Barlow SemiBold"/>
                <w:color w:val="01366F"/>
                <w:sz w:val="19"/>
                <w:szCs w:val="19"/>
              </w:rPr>
              <w:t xml:space="preserve">Nota de versão.</w:t>
            </w:r>
            <w:r>
              <w:rPr>
                <w:rFonts w:ascii="Barlow" w:hAnsi="Barlow" w:cs="Barlow" w:eastAsia="Barlow"/>
                <w:color w:val="0F2440"/>
                <w:sz w:val="19"/>
                <w:szCs w:val="19"/>
              </w:rPr>
              <w:t xml:space="preserve"> A versão 2.0 revisa a versão 1.0 (agosto de 2026) segundo os critérios de qualidade de indicadores da OCDE e de Jannuzzi e articula o INS ao Protocolo de Inteligência Territorial da PICAPS. As alterações principais são: (i) correção da regra de encadeamento, que na versão anterior incorporava o crescimento populacional à variação da pobreza; (ii) correção da interpretação da escala de 0 a 1, que só equivale a percentil sob normalidade; (iii) exclusão da população em áreas de risco, que não atende aos critérios de cobertura nacional e de periodicidade, cuja leitura passa ao mapa da cartografia social, dentro do território; (iv) substituição da inadequação habitacional da FJP por adensamento domiciliar excessivo, com fonte encadeável e definição estável; (v) correção da fonte e da periodicidade do indicador de fricção territorial; (vi) linha de pobreza fixada em termos reais; (vii) inclusão da validação convergente, da matriz de aderência por indicador e da seção de articulação com o Protocolo de Inteligência Territorial. A cesta passa de doze para onze indicadores e a fração responsiva, de 58% para 73%. O Anexo C registra cada alteração.</w:t>
            </w:r>
          </w:p>
        </w:tc>
      </w:tr>
    </w:tbl>
    <w:p>
      <w:pPr>
        <w:spacing w:before="0" w:after="0" w:line="160" w:lineRule="exact"/>
        <w:jc w:val="both"/>
        <w:sectPr>
          <w:headerReference w:type="default" r:id="rId13"/>
          <w:headerReference w:type="even" r:id="rId13"/>
          <w:footerReference w:type="default" r:id="rId12"/>
          <w:footerReference w:type="even" r:id="rId12"/>
          <w:type w:val="nextPage"/>
          <w:pgSz w:w="11906" w:h="16838"/>
          <w:pgMar w:top="1700" w:right="1531" w:bottom="1700" w:left="1531" w:header="850" w:footer="330" w:gutter="0"/>
          <w:cols w:space="720"/>
          <w:docGrid w:linePitch="360"/>
        </w:sectPr>
      </w:pPr>
    </w:p>
    <w:p>
      <w:pPr>
        <w:pBdr>
          <w:bottom w:val="single" w:sz="12" w:space="10" w:color="007614"/>
        </w:pBdr>
        <w:spacing w:before="0" w:after="480" w:line="300" w:lineRule="auto"/>
        <w:jc w:val="center"/>
      </w:pPr>
      <w:r>
        <w:rPr>
          <w:rFonts w:ascii="Barlow Condensed" w:hAnsi="Barlow Condensed" w:cs="Barlow Condensed" w:eastAsia="Barlow Condensed"/>
          <w:b/>
          <w:bCs/>
          <w:color w:val="01366F"/>
          <w:sz w:val="44"/>
          <w:szCs w:val="44"/>
        </w:rPr>
        <w:t xml:space="preserve">SUMÁRIO</w:t>
      </w:r>
    </w:p>
    <w:p>
      <w:pPr>
        <w:pStyle w:val="TOC1"/>
        <w:tabs>
          <w:tab w:val="right" w:leader="dot" w:pos="8844"/>
        </w:tabs>
        <w:spacing w:before="110" w:after="30" w:line="250" w:lineRule="auto"/>
        <w:ind w:right="400"/>
        <w:jc w:val="left"/>
      </w:pPr>
      <w:r>
        <w:fldChar w:fldCharType="begin"/>
      </w:r>
      <w:r>
        <w:instrText xml:space="preserve"> TOC \o "1-3" \h \z \u </w:instrText>
      </w:r>
      <w:r>
        <w:fldChar w:fldCharType="separate"/>
      </w:r>
      <w:hyperlink w:anchor="_h0" w:history="1">
        <w:r>
          <w:rPr>
            <w:rFonts w:ascii="Barlow Condensed SemiBold" w:hAnsi="Barlow Condensed SemiBold" w:cs="Barlow Condensed SemiBold" w:eastAsia="Barlow Condensed SemiBold"/>
            <w:color w:val="01366F"/>
            <w:sz w:val="19"/>
            <w:szCs w:val="19"/>
          </w:rPr>
          <w:t xml:space="preserve">1 APRESENTAÇÃO E JUSTIFICATIVA</w:t>
        </w:r>
        <w:r>
          <w:tab/>
        </w:r>
        <w:r>
          <w:rPr>
            <w:rFonts w:ascii="Barlow Condensed SemiBold" w:hAnsi="Barlow Condensed SemiBold" w:cs="Barlow Condensed SemiBold" w:eastAsia="Barlow Condensed SemiBold"/>
            <w:color w:val="007614"/>
            <w:sz w:val="19"/>
            <w:szCs w:val="19"/>
          </w:rPr>
          <w:t xml:space="preserve">5</w:t>
        </w:r>
      </w:hyperlink>
    </w:p>
    <w:p>
      <w:pPr>
        <w:pStyle w:val="TOC1"/>
        <w:tabs>
          <w:tab w:val="right" w:leader="dot" w:pos="8844"/>
        </w:tabs>
        <w:spacing w:before="110" w:after="30" w:line="250" w:lineRule="auto"/>
        <w:ind w:right="400"/>
        <w:jc w:val="left"/>
      </w:pPr>
      <w:hyperlink w:anchor="_h1" w:history="1">
        <w:r>
          <w:rPr>
            <w:rFonts w:ascii="Barlow Condensed SemiBold" w:hAnsi="Barlow Condensed SemiBold" w:cs="Barlow Condensed SemiBold" w:eastAsia="Barlow Condensed SemiBold"/>
            <w:color w:val="01366F"/>
            <w:sz w:val="19"/>
            <w:szCs w:val="19"/>
          </w:rPr>
          <w:t xml:space="preserve">2 OBJETIVOS</w:t>
        </w:r>
        <w:r>
          <w:tab/>
        </w:r>
        <w:r>
          <w:rPr>
            <w:rFonts w:ascii="Barlow Condensed SemiBold" w:hAnsi="Barlow Condensed SemiBold" w:cs="Barlow Condensed SemiBold" w:eastAsia="Barlow Condensed SemiBold"/>
            <w:color w:val="007614"/>
            <w:sz w:val="19"/>
            <w:szCs w:val="19"/>
          </w:rPr>
          <w:t xml:space="preserve">6</w:t>
        </w:r>
      </w:hyperlink>
    </w:p>
    <w:p>
      <w:pPr>
        <w:pStyle w:val="TOC2"/>
        <w:tabs>
          <w:tab w:val="right" w:leader="dot" w:pos="8844"/>
        </w:tabs>
        <w:spacing w:before="0" w:after="20" w:line="250" w:lineRule="auto"/>
        <w:ind w:left="300" w:right="400"/>
        <w:jc w:val="left"/>
      </w:pPr>
      <w:hyperlink w:anchor="_h2" w:history="1">
        <w:r>
          <w:rPr>
            <w:rFonts w:ascii="Barlow" w:hAnsi="Barlow" w:cs="Barlow" w:eastAsia="Barlow"/>
            <w:color w:val="0F2440"/>
            <w:sz w:val="19"/>
            <w:szCs w:val="19"/>
          </w:rPr>
          <w:t xml:space="preserve">2.1 Objetivo geral</w:t>
        </w:r>
        <w:r>
          <w:tab/>
        </w:r>
        <w:r>
          <w:rPr>
            <w:rFonts w:ascii="Barlow Condensed SemiBold" w:hAnsi="Barlow Condensed SemiBold" w:cs="Barlow Condensed SemiBold" w:eastAsia="Barlow Condensed SemiBold"/>
            <w:color w:val="007614"/>
            <w:sz w:val="19"/>
            <w:szCs w:val="19"/>
          </w:rPr>
          <w:t xml:space="preserve">6</w:t>
        </w:r>
      </w:hyperlink>
    </w:p>
    <w:p>
      <w:pPr>
        <w:pStyle w:val="TOC2"/>
        <w:tabs>
          <w:tab w:val="right" w:leader="dot" w:pos="8844"/>
        </w:tabs>
        <w:spacing w:before="0" w:after="20" w:line="250" w:lineRule="auto"/>
        <w:ind w:left="300" w:right="400"/>
        <w:jc w:val="left"/>
      </w:pPr>
      <w:hyperlink w:anchor="_h3" w:history="1">
        <w:r>
          <w:rPr>
            <w:rFonts w:ascii="Barlow" w:hAnsi="Barlow" w:cs="Barlow" w:eastAsia="Barlow"/>
            <w:color w:val="0F2440"/>
            <w:sz w:val="19"/>
            <w:szCs w:val="19"/>
          </w:rPr>
          <w:t xml:space="preserve">2.2 Objetivos específicos</w:t>
        </w:r>
        <w:r>
          <w:tab/>
        </w:r>
        <w:r>
          <w:rPr>
            <w:rFonts w:ascii="Barlow Condensed SemiBold" w:hAnsi="Barlow Condensed SemiBold" w:cs="Barlow Condensed SemiBold" w:eastAsia="Barlow Condensed SemiBold"/>
            <w:color w:val="007614"/>
            <w:sz w:val="19"/>
            <w:szCs w:val="19"/>
          </w:rPr>
          <w:t xml:space="preserve">6</w:t>
        </w:r>
      </w:hyperlink>
    </w:p>
    <w:p>
      <w:pPr>
        <w:pStyle w:val="TOC1"/>
        <w:tabs>
          <w:tab w:val="right" w:leader="dot" w:pos="8844"/>
        </w:tabs>
        <w:spacing w:before="110" w:after="30" w:line="250" w:lineRule="auto"/>
        <w:ind w:right="400"/>
        <w:jc w:val="left"/>
      </w:pPr>
      <w:hyperlink w:anchor="_h4" w:history="1">
        <w:r>
          <w:rPr>
            <w:rFonts w:ascii="Barlow Condensed SemiBold" w:hAnsi="Barlow Condensed SemiBold" w:cs="Barlow Condensed SemiBold" w:eastAsia="Barlow Condensed SemiBold"/>
            <w:color w:val="01366F"/>
            <w:sz w:val="19"/>
            <w:szCs w:val="19"/>
          </w:rPr>
          <w:t xml:space="preserve">3 DISCUSSÃO TEÓRICO-METODOLÓGICA</w:t>
        </w:r>
        <w:r>
          <w:tab/>
        </w:r>
        <w:r>
          <w:rPr>
            <w:rFonts w:ascii="Barlow Condensed SemiBold" w:hAnsi="Barlow Condensed SemiBold" w:cs="Barlow Condensed SemiBold" w:eastAsia="Barlow Condensed SemiBold"/>
            <w:color w:val="007614"/>
            <w:sz w:val="19"/>
            <w:szCs w:val="19"/>
          </w:rPr>
          <w:t xml:space="preserve">7</w:t>
        </w:r>
      </w:hyperlink>
    </w:p>
    <w:p>
      <w:pPr>
        <w:pStyle w:val="TOC2"/>
        <w:tabs>
          <w:tab w:val="right" w:leader="dot" w:pos="8844"/>
        </w:tabs>
        <w:spacing w:before="0" w:after="20" w:line="250" w:lineRule="auto"/>
        <w:ind w:left="300" w:right="400"/>
        <w:jc w:val="left"/>
      </w:pPr>
      <w:hyperlink w:anchor="_h5" w:history="1">
        <w:r>
          <w:rPr>
            <w:rFonts w:ascii="Barlow" w:hAnsi="Barlow" w:cs="Barlow" w:eastAsia="Barlow"/>
            <w:color w:val="0F2440"/>
            <w:sz w:val="19"/>
            <w:szCs w:val="19"/>
          </w:rPr>
          <w:t xml:space="preserve">3.1 Necessidade de saúde: o conceito e o que ele exclui</w:t>
        </w:r>
        <w:r>
          <w:tab/>
        </w:r>
        <w:r>
          <w:rPr>
            <w:rFonts w:ascii="Barlow Condensed SemiBold" w:hAnsi="Barlow Condensed SemiBold" w:cs="Barlow Condensed SemiBold" w:eastAsia="Barlow Condensed SemiBold"/>
            <w:color w:val="007614"/>
            <w:sz w:val="19"/>
            <w:szCs w:val="19"/>
          </w:rPr>
          <w:t xml:space="preserve">7</w:t>
        </w:r>
      </w:hyperlink>
    </w:p>
    <w:p>
      <w:pPr>
        <w:pStyle w:val="TOC2"/>
        <w:tabs>
          <w:tab w:val="right" w:leader="dot" w:pos="8844"/>
        </w:tabs>
        <w:spacing w:before="0" w:after="20" w:line="250" w:lineRule="auto"/>
        <w:ind w:left="300" w:right="400"/>
        <w:jc w:val="left"/>
      </w:pPr>
      <w:hyperlink w:anchor="_h6" w:history="1">
        <w:r>
          <w:rPr>
            <w:rFonts w:ascii="Barlow" w:hAnsi="Barlow" w:cs="Barlow" w:eastAsia="Barlow"/>
            <w:color w:val="0F2440"/>
            <w:sz w:val="19"/>
            <w:szCs w:val="19"/>
          </w:rPr>
          <w:t xml:space="preserve">3.2 A tradição dos índices de privação em pequenas áreas</w:t>
        </w:r>
        <w:r>
          <w:tab/>
        </w:r>
        <w:r>
          <w:rPr>
            <w:rFonts w:ascii="Barlow Condensed SemiBold" w:hAnsi="Barlow Condensed SemiBold" w:cs="Barlow Condensed SemiBold" w:eastAsia="Barlow Condensed SemiBold"/>
            <w:color w:val="007614"/>
            <w:sz w:val="19"/>
            <w:szCs w:val="19"/>
          </w:rPr>
          <w:t xml:space="preserve">7</w:t>
        </w:r>
      </w:hyperlink>
    </w:p>
    <w:p>
      <w:pPr>
        <w:pStyle w:val="TOC2"/>
        <w:tabs>
          <w:tab w:val="right" w:leader="dot" w:pos="8844"/>
        </w:tabs>
        <w:spacing w:before="0" w:after="20" w:line="250" w:lineRule="auto"/>
        <w:ind w:left="300" w:right="400"/>
        <w:jc w:val="left"/>
      </w:pPr>
      <w:hyperlink w:anchor="_h7" w:history="1">
        <w:r>
          <w:rPr>
            <w:rFonts w:ascii="Barlow" w:hAnsi="Barlow" w:cs="Barlow" w:eastAsia="Barlow"/>
            <w:color w:val="0F2440"/>
            <w:sz w:val="19"/>
            <w:szCs w:val="19"/>
          </w:rPr>
          <w:t xml:space="preserve">3.3 A escolha central: exogeneidade</w:t>
        </w:r>
        <w:r>
          <w:tab/>
        </w:r>
        <w:r>
          <w:rPr>
            <w:rFonts w:ascii="Barlow Condensed SemiBold" w:hAnsi="Barlow Condensed SemiBold" w:cs="Barlow Condensed SemiBold" w:eastAsia="Barlow Condensed SemiBold"/>
            <w:color w:val="007614"/>
            <w:sz w:val="19"/>
            <w:szCs w:val="19"/>
          </w:rPr>
          <w:t xml:space="preserve">8</w:t>
        </w:r>
      </w:hyperlink>
    </w:p>
    <w:p>
      <w:pPr>
        <w:pStyle w:val="TOC2"/>
        <w:tabs>
          <w:tab w:val="right" w:leader="dot" w:pos="8844"/>
        </w:tabs>
        <w:spacing w:before="0" w:after="20" w:line="250" w:lineRule="auto"/>
        <w:ind w:left="300" w:right="400"/>
        <w:jc w:val="left"/>
      </w:pPr>
      <w:hyperlink w:anchor="_h8" w:history="1">
        <w:r>
          <w:rPr>
            <w:rFonts w:ascii="Barlow" w:hAnsi="Barlow" w:cs="Barlow" w:eastAsia="Barlow"/>
            <w:color w:val="0F2440"/>
            <w:sz w:val="19"/>
            <w:szCs w:val="19"/>
          </w:rPr>
          <w:t xml:space="preserve">3.4 O erro de medida diferencial: por que a mortalidade não pode entrar no escore</w:t>
        </w:r>
        <w:r>
          <w:tab/>
        </w:r>
        <w:r>
          <w:rPr>
            <w:rFonts w:ascii="Barlow Condensed SemiBold" w:hAnsi="Barlow Condensed SemiBold" w:cs="Barlow Condensed SemiBold" w:eastAsia="Barlow Condensed SemiBold"/>
            <w:color w:val="007614"/>
            <w:sz w:val="19"/>
            <w:szCs w:val="19"/>
          </w:rPr>
          <w:t xml:space="preserve">8</w:t>
        </w:r>
      </w:hyperlink>
    </w:p>
    <w:p>
      <w:pPr>
        <w:pStyle w:val="TOC2"/>
        <w:tabs>
          <w:tab w:val="right" w:leader="dot" w:pos="8844"/>
        </w:tabs>
        <w:spacing w:before="0" w:after="20" w:line="250" w:lineRule="auto"/>
        <w:ind w:left="300" w:right="400"/>
        <w:jc w:val="left"/>
      </w:pPr>
      <w:hyperlink w:anchor="_h9" w:history="1">
        <w:r>
          <w:rPr>
            <w:rFonts w:ascii="Barlow" w:hAnsi="Barlow" w:cs="Barlow" w:eastAsia="Barlow"/>
            <w:color w:val="0F2440"/>
            <w:sz w:val="19"/>
            <w:szCs w:val="19"/>
          </w:rPr>
          <w:t xml:space="preserve">3.5 Critérios de seleção: exogeneidade e responsividade</w:t>
        </w:r>
        <w:r>
          <w:tab/>
        </w:r>
        <w:r>
          <w:rPr>
            <w:rFonts w:ascii="Barlow Condensed SemiBold" w:hAnsi="Barlow Condensed SemiBold" w:cs="Barlow Condensed SemiBold" w:eastAsia="Barlow Condensed SemiBold"/>
            <w:color w:val="007614"/>
            <w:sz w:val="19"/>
            <w:szCs w:val="19"/>
          </w:rPr>
          <w:t xml:space="preserve">9</w:t>
        </w:r>
      </w:hyperlink>
    </w:p>
    <w:p>
      <w:pPr>
        <w:pStyle w:val="TOC2"/>
        <w:tabs>
          <w:tab w:val="right" w:leader="dot" w:pos="8844"/>
        </w:tabs>
        <w:spacing w:before="0" w:after="20" w:line="250" w:lineRule="auto"/>
        <w:ind w:left="300" w:right="400"/>
        <w:jc w:val="left"/>
      </w:pPr>
      <w:hyperlink w:anchor="_h10" w:history="1">
        <w:r>
          <w:rPr>
            <w:rFonts w:ascii="Barlow" w:hAnsi="Barlow" w:cs="Barlow" w:eastAsia="Barlow"/>
            <w:color w:val="0F2440"/>
            <w:sz w:val="19"/>
            <w:szCs w:val="19"/>
          </w:rPr>
          <w:t xml:space="preserve">3.6 A regra de encadeamento censo-registro</w:t>
        </w:r>
        <w:r>
          <w:tab/>
        </w:r>
        <w:r>
          <w:rPr>
            <w:rFonts w:ascii="Barlow Condensed SemiBold" w:hAnsi="Barlow Condensed SemiBold" w:cs="Barlow Condensed SemiBold" w:eastAsia="Barlow Condensed SemiBold"/>
            <w:color w:val="007614"/>
            <w:sz w:val="19"/>
            <w:szCs w:val="19"/>
          </w:rPr>
          <w:t xml:space="preserve">10</w:t>
        </w:r>
      </w:hyperlink>
    </w:p>
    <w:p>
      <w:pPr>
        <w:pStyle w:val="TOC2"/>
        <w:tabs>
          <w:tab w:val="right" w:leader="dot" w:pos="8844"/>
        </w:tabs>
        <w:spacing w:before="0" w:after="20" w:line="250" w:lineRule="auto"/>
        <w:ind w:left="300" w:right="400"/>
        <w:jc w:val="left"/>
      </w:pPr>
      <w:hyperlink w:anchor="_h11" w:history="1">
        <w:r>
          <w:rPr>
            <w:rFonts w:ascii="Barlow" w:hAnsi="Barlow" w:cs="Barlow" w:eastAsia="Barlow"/>
            <w:color w:val="0F2440"/>
            <w:sz w:val="19"/>
            <w:szCs w:val="19"/>
          </w:rPr>
          <w:t xml:space="preserve">3.7 Critérios de qualidade: OCDE e Jannuzzi</w:t>
        </w:r>
        <w:r>
          <w:tab/>
        </w:r>
        <w:r>
          <w:rPr>
            <w:rFonts w:ascii="Barlow Condensed SemiBold" w:hAnsi="Barlow Condensed SemiBold" w:cs="Barlow Condensed SemiBold" w:eastAsia="Barlow Condensed SemiBold"/>
            <w:color w:val="007614"/>
            <w:sz w:val="19"/>
            <w:szCs w:val="19"/>
          </w:rPr>
          <w:t xml:space="preserve">10</w:t>
        </w:r>
      </w:hyperlink>
    </w:p>
    <w:p>
      <w:pPr>
        <w:pStyle w:val="TOC2"/>
        <w:tabs>
          <w:tab w:val="right" w:leader="dot" w:pos="8844"/>
        </w:tabs>
        <w:spacing w:before="0" w:after="20" w:line="250" w:lineRule="auto"/>
        <w:ind w:left="300" w:right="400"/>
        <w:jc w:val="left"/>
      </w:pPr>
      <w:hyperlink w:anchor="_h12" w:history="1">
        <w:r>
          <w:rPr>
            <w:rFonts w:ascii="Barlow" w:hAnsi="Barlow" w:cs="Barlow" w:eastAsia="Barlow"/>
            <w:color w:val="0F2440"/>
            <w:sz w:val="19"/>
            <w:szCs w:val="19"/>
          </w:rPr>
          <w:t xml:space="preserve">3.8 Articulação com o Protocolo de Inteligência Territorial</w:t>
        </w:r>
        <w:r>
          <w:tab/>
        </w:r>
        <w:r>
          <w:rPr>
            <w:rFonts w:ascii="Barlow Condensed SemiBold" w:hAnsi="Barlow Condensed SemiBold" w:cs="Barlow Condensed SemiBold" w:eastAsia="Barlow Condensed SemiBold"/>
            <w:color w:val="007614"/>
            <w:sz w:val="19"/>
            <w:szCs w:val="19"/>
          </w:rPr>
          <w:t xml:space="preserve">12</w:t>
        </w:r>
      </w:hyperlink>
    </w:p>
    <w:p>
      <w:pPr>
        <w:pStyle w:val="TOC1"/>
        <w:tabs>
          <w:tab w:val="right" w:leader="dot" w:pos="8844"/>
        </w:tabs>
        <w:spacing w:before="110" w:after="30" w:line="250" w:lineRule="auto"/>
        <w:ind w:right="400"/>
        <w:jc w:val="left"/>
      </w:pPr>
      <w:hyperlink w:anchor="_h13" w:history="1">
        <w:r>
          <w:rPr>
            <w:rFonts w:ascii="Barlow Condensed SemiBold" w:hAnsi="Barlow Condensed SemiBold" w:cs="Barlow Condensed SemiBold" w:eastAsia="Barlow Condensed SemiBold"/>
            <w:color w:val="01366F"/>
            <w:sz w:val="19"/>
            <w:szCs w:val="19"/>
          </w:rPr>
          <w:t xml:space="preserve">4 CESTA DE INDICADORES</w:t>
        </w:r>
        <w:r>
          <w:tab/>
        </w:r>
        <w:r>
          <w:rPr>
            <w:rFonts w:ascii="Barlow Condensed SemiBold" w:hAnsi="Barlow Condensed SemiBold" w:cs="Barlow Condensed SemiBold" w:eastAsia="Barlow Condensed SemiBold"/>
            <w:color w:val="007614"/>
            <w:sz w:val="19"/>
            <w:szCs w:val="19"/>
          </w:rPr>
          <w:t xml:space="preserve">14</w:t>
        </w:r>
      </w:hyperlink>
    </w:p>
    <w:p>
      <w:pPr>
        <w:pStyle w:val="TOC2"/>
        <w:tabs>
          <w:tab w:val="right" w:leader="dot" w:pos="8844"/>
        </w:tabs>
        <w:spacing w:before="0" w:after="20" w:line="250" w:lineRule="auto"/>
        <w:ind w:left="300" w:right="400"/>
        <w:jc w:val="left"/>
      </w:pPr>
      <w:hyperlink w:anchor="_h14" w:history="1">
        <w:r>
          <w:rPr>
            <w:rFonts w:ascii="Barlow" w:hAnsi="Barlow" w:cs="Barlow" w:eastAsia="Barlow"/>
            <w:color w:val="0F2440"/>
            <w:sz w:val="19"/>
            <w:szCs w:val="19"/>
          </w:rPr>
          <w:t xml:space="preserve">4.1 Critérios de inclusão</w:t>
        </w:r>
        <w:r>
          <w:tab/>
        </w:r>
        <w:r>
          <w:rPr>
            <w:rFonts w:ascii="Barlow Condensed SemiBold" w:hAnsi="Barlow Condensed SemiBold" w:cs="Barlow Condensed SemiBold" w:eastAsia="Barlow Condensed SemiBold"/>
            <w:color w:val="007614"/>
            <w:sz w:val="19"/>
            <w:szCs w:val="19"/>
          </w:rPr>
          <w:t xml:space="preserve">14</w:t>
        </w:r>
      </w:hyperlink>
    </w:p>
    <w:p>
      <w:pPr>
        <w:pStyle w:val="TOC2"/>
        <w:tabs>
          <w:tab w:val="right" w:leader="dot" w:pos="8844"/>
        </w:tabs>
        <w:spacing w:before="0" w:after="20" w:line="250" w:lineRule="auto"/>
        <w:ind w:left="300" w:right="400"/>
        <w:jc w:val="left"/>
      </w:pPr>
      <w:hyperlink w:anchor="_h15" w:history="1">
        <w:r>
          <w:rPr>
            <w:rFonts w:ascii="Barlow" w:hAnsi="Barlow" w:cs="Barlow" w:eastAsia="Barlow"/>
            <w:color w:val="0F2440"/>
            <w:sz w:val="19"/>
            <w:szCs w:val="19"/>
          </w:rPr>
          <w:t xml:space="preserve">4.2 Regras de exclusão</w:t>
        </w:r>
        <w:r>
          <w:tab/>
        </w:r>
        <w:r>
          <w:rPr>
            <w:rFonts w:ascii="Barlow Condensed SemiBold" w:hAnsi="Barlow Condensed SemiBold" w:cs="Barlow Condensed SemiBold" w:eastAsia="Barlow Condensed SemiBold"/>
            <w:color w:val="007614"/>
            <w:sz w:val="19"/>
            <w:szCs w:val="19"/>
          </w:rPr>
          <w:t xml:space="preserve">14</w:t>
        </w:r>
      </w:hyperlink>
    </w:p>
    <w:p>
      <w:pPr>
        <w:pStyle w:val="TOC2"/>
        <w:tabs>
          <w:tab w:val="right" w:leader="dot" w:pos="8844"/>
        </w:tabs>
        <w:spacing w:before="0" w:after="20" w:line="250" w:lineRule="auto"/>
        <w:ind w:left="300" w:right="400"/>
        <w:jc w:val="left"/>
      </w:pPr>
      <w:hyperlink w:anchor="_h16" w:history="1">
        <w:r>
          <w:rPr>
            <w:rFonts w:ascii="Barlow" w:hAnsi="Barlow" w:cs="Barlow" w:eastAsia="Barlow"/>
            <w:color w:val="0F2440"/>
            <w:sz w:val="19"/>
            <w:szCs w:val="19"/>
          </w:rPr>
          <w:t xml:space="preserve">4.3 Estrutura em quatro dimensões</w:t>
        </w:r>
        <w:r>
          <w:tab/>
        </w:r>
        <w:r>
          <w:rPr>
            <w:rFonts w:ascii="Barlow Condensed SemiBold" w:hAnsi="Barlow Condensed SemiBold" w:cs="Barlow Condensed SemiBold" w:eastAsia="Barlow Condensed SemiBold"/>
            <w:color w:val="007614"/>
            <w:sz w:val="19"/>
            <w:szCs w:val="19"/>
          </w:rPr>
          <w:t xml:space="preserve">15</w:t>
        </w:r>
      </w:hyperlink>
    </w:p>
    <w:p>
      <w:pPr>
        <w:pStyle w:val="TOC2"/>
        <w:tabs>
          <w:tab w:val="right" w:leader="dot" w:pos="8844"/>
        </w:tabs>
        <w:spacing w:before="0" w:after="20" w:line="250" w:lineRule="auto"/>
        <w:ind w:left="300" w:right="400"/>
        <w:jc w:val="left"/>
      </w:pPr>
      <w:hyperlink w:anchor="_h21" w:history="1">
        <w:r>
          <w:rPr>
            <w:rFonts w:ascii="Barlow" w:hAnsi="Barlow" w:cs="Barlow" w:eastAsia="Barlow"/>
            <w:color w:val="0F2440"/>
            <w:sz w:val="19"/>
            <w:szCs w:val="19"/>
          </w:rPr>
          <w:t xml:space="preserve">4.4 Matriz de aderência aos critérios de qualidade</w:t>
        </w:r>
        <w:r>
          <w:tab/>
        </w:r>
        <w:r>
          <w:rPr>
            <w:rFonts w:ascii="Barlow Condensed SemiBold" w:hAnsi="Barlow Condensed SemiBold" w:cs="Barlow Condensed SemiBold" w:eastAsia="Barlow Condensed SemiBold"/>
            <w:color w:val="007614"/>
            <w:sz w:val="19"/>
            <w:szCs w:val="19"/>
          </w:rPr>
          <w:t xml:space="preserve">17</w:t>
        </w:r>
      </w:hyperlink>
    </w:p>
    <w:p>
      <w:pPr>
        <w:pStyle w:val="TOC2"/>
        <w:tabs>
          <w:tab w:val="right" w:leader="dot" w:pos="8844"/>
        </w:tabs>
        <w:spacing w:before="0" w:after="20" w:line="250" w:lineRule="auto"/>
        <w:ind w:left="300" w:right="400"/>
        <w:jc w:val="left"/>
      </w:pPr>
      <w:hyperlink w:anchor="_h22" w:history="1">
        <w:r>
          <w:rPr>
            <w:rFonts w:ascii="Barlow" w:hAnsi="Barlow" w:cs="Barlow" w:eastAsia="Barlow"/>
            <w:color w:val="0F2440"/>
            <w:sz w:val="19"/>
            <w:szCs w:val="19"/>
          </w:rPr>
          <w:t xml:space="preserve">4.5 Fração responsiva e INS Dinâmico</w:t>
        </w:r>
        <w:r>
          <w:tab/>
        </w:r>
        <w:r>
          <w:rPr>
            <w:rFonts w:ascii="Barlow Condensed SemiBold" w:hAnsi="Barlow Condensed SemiBold" w:cs="Barlow Condensed SemiBold" w:eastAsia="Barlow Condensed SemiBold"/>
            <w:color w:val="007614"/>
            <w:sz w:val="19"/>
            <w:szCs w:val="19"/>
          </w:rPr>
          <w:t xml:space="preserve">18</w:t>
        </w:r>
      </w:hyperlink>
    </w:p>
    <w:p>
      <w:pPr>
        <w:pStyle w:val="TOC1"/>
        <w:tabs>
          <w:tab w:val="right" w:leader="dot" w:pos="8844"/>
        </w:tabs>
        <w:spacing w:before="110" w:after="30" w:line="250" w:lineRule="auto"/>
        <w:ind w:right="400"/>
        <w:jc w:val="left"/>
      </w:pPr>
      <w:hyperlink w:anchor="_h23" w:history="1">
        <w:r>
          <w:rPr>
            <w:rFonts w:ascii="Barlow Condensed SemiBold" w:hAnsi="Barlow Condensed SemiBold" w:cs="Barlow Condensed SemiBold" w:eastAsia="Barlow Condensed SemiBold"/>
            <w:color w:val="01366F"/>
            <w:sz w:val="19"/>
            <w:szCs w:val="19"/>
          </w:rPr>
          <w:t xml:space="preserve">5 METODOLOGIA DE CÁLCULO</w:t>
        </w:r>
        <w:r>
          <w:tab/>
        </w:r>
        <w:r>
          <w:rPr>
            <w:rFonts w:ascii="Barlow Condensed SemiBold" w:hAnsi="Barlow Condensed SemiBold" w:cs="Barlow Condensed SemiBold" w:eastAsia="Barlow Condensed SemiBold"/>
            <w:color w:val="007614"/>
            <w:sz w:val="19"/>
            <w:szCs w:val="19"/>
          </w:rPr>
          <w:t xml:space="preserve">19</w:t>
        </w:r>
      </w:hyperlink>
    </w:p>
    <w:p>
      <w:pPr>
        <w:pStyle w:val="TOC2"/>
        <w:tabs>
          <w:tab w:val="right" w:leader="dot" w:pos="8844"/>
        </w:tabs>
        <w:spacing w:before="0" w:after="20" w:line="250" w:lineRule="auto"/>
        <w:ind w:left="300" w:right="400"/>
        <w:jc w:val="left"/>
      </w:pPr>
      <w:hyperlink w:anchor="_h24" w:history="1">
        <w:r>
          <w:rPr>
            <w:rFonts w:ascii="Barlow" w:hAnsi="Barlow" w:cs="Barlow" w:eastAsia="Barlow"/>
            <w:color w:val="0F2440"/>
            <w:sz w:val="19"/>
            <w:szCs w:val="19"/>
          </w:rPr>
          <w:t xml:space="preserve">5.1 Etapa 1 — Preparação e harmonização</w:t>
        </w:r>
        <w:r>
          <w:tab/>
        </w:r>
        <w:r>
          <w:rPr>
            <w:rFonts w:ascii="Barlow Condensed SemiBold" w:hAnsi="Barlow Condensed SemiBold" w:cs="Barlow Condensed SemiBold" w:eastAsia="Barlow Condensed SemiBold"/>
            <w:color w:val="007614"/>
            <w:sz w:val="19"/>
            <w:szCs w:val="19"/>
          </w:rPr>
          <w:t xml:space="preserve">19</w:t>
        </w:r>
      </w:hyperlink>
    </w:p>
    <w:p>
      <w:pPr>
        <w:pStyle w:val="TOC2"/>
        <w:tabs>
          <w:tab w:val="right" w:leader="dot" w:pos="8844"/>
        </w:tabs>
        <w:spacing w:before="0" w:after="20" w:line="250" w:lineRule="auto"/>
        <w:ind w:left="300" w:right="400"/>
        <w:jc w:val="left"/>
      </w:pPr>
      <w:hyperlink w:anchor="_h25" w:history="1">
        <w:r>
          <w:rPr>
            <w:rFonts w:ascii="Barlow" w:hAnsi="Barlow" w:cs="Barlow" w:eastAsia="Barlow"/>
            <w:color w:val="0F2440"/>
            <w:sz w:val="19"/>
            <w:szCs w:val="19"/>
          </w:rPr>
          <w:t xml:space="preserve">5.2 Etapa 2 — Encadeamento censo-registro</w:t>
        </w:r>
        <w:r>
          <w:tab/>
        </w:r>
        <w:r>
          <w:rPr>
            <w:rFonts w:ascii="Barlow Condensed SemiBold" w:hAnsi="Barlow Condensed SemiBold" w:cs="Barlow Condensed SemiBold" w:eastAsia="Barlow Condensed SemiBold"/>
            <w:color w:val="007614"/>
            <w:sz w:val="19"/>
            <w:szCs w:val="19"/>
          </w:rPr>
          <w:t xml:space="preserve">19</w:t>
        </w:r>
      </w:hyperlink>
    </w:p>
    <w:p>
      <w:pPr>
        <w:pStyle w:val="TOC2"/>
        <w:tabs>
          <w:tab w:val="right" w:leader="dot" w:pos="8844"/>
        </w:tabs>
        <w:spacing w:before="0" w:after="20" w:line="250" w:lineRule="auto"/>
        <w:ind w:left="300" w:right="400"/>
        <w:jc w:val="left"/>
      </w:pPr>
      <w:hyperlink w:anchor="_h26" w:history="1">
        <w:r>
          <w:rPr>
            <w:rFonts w:ascii="Barlow" w:hAnsi="Barlow" w:cs="Barlow" w:eastAsia="Barlow"/>
            <w:color w:val="0F2440"/>
            <w:sz w:val="19"/>
            <w:szCs w:val="19"/>
          </w:rPr>
          <w:t xml:space="preserve">5.3 Etapa 3 — Padronização</w:t>
        </w:r>
        <w:r>
          <w:tab/>
        </w:r>
        <w:r>
          <w:rPr>
            <w:rFonts w:ascii="Barlow Condensed SemiBold" w:hAnsi="Barlow Condensed SemiBold" w:cs="Barlow Condensed SemiBold" w:eastAsia="Barlow Condensed SemiBold"/>
            <w:color w:val="007614"/>
            <w:sz w:val="19"/>
            <w:szCs w:val="19"/>
          </w:rPr>
          <w:t xml:space="preserve">19</w:t>
        </w:r>
      </w:hyperlink>
    </w:p>
    <w:p>
      <w:pPr>
        <w:pStyle w:val="TOC2"/>
        <w:tabs>
          <w:tab w:val="right" w:leader="dot" w:pos="8844"/>
        </w:tabs>
        <w:spacing w:before="0" w:after="20" w:line="250" w:lineRule="auto"/>
        <w:ind w:left="300" w:right="400"/>
        <w:jc w:val="left"/>
      </w:pPr>
      <w:hyperlink w:anchor="_h27" w:history="1">
        <w:r>
          <w:rPr>
            <w:rFonts w:ascii="Barlow" w:hAnsi="Barlow" w:cs="Barlow" w:eastAsia="Barlow"/>
            <w:color w:val="0F2440"/>
            <w:sz w:val="19"/>
            <w:szCs w:val="19"/>
          </w:rPr>
          <w:t xml:space="preserve">5.4 Etapa 4 — Agregação dentro de cada dimensão e repadronização</w:t>
        </w:r>
        <w:r>
          <w:tab/>
        </w:r>
        <w:r>
          <w:rPr>
            <w:rFonts w:ascii="Barlow Condensed SemiBold" w:hAnsi="Barlow Condensed SemiBold" w:cs="Barlow Condensed SemiBold" w:eastAsia="Barlow Condensed SemiBold"/>
            <w:color w:val="007614"/>
            <w:sz w:val="19"/>
            <w:szCs w:val="19"/>
          </w:rPr>
          <w:t xml:space="preserve">20</w:t>
        </w:r>
      </w:hyperlink>
    </w:p>
    <w:p>
      <w:pPr>
        <w:pStyle w:val="TOC2"/>
        <w:tabs>
          <w:tab w:val="right" w:leader="dot" w:pos="8844"/>
        </w:tabs>
        <w:spacing w:before="0" w:after="20" w:line="250" w:lineRule="auto"/>
        <w:ind w:left="300" w:right="400"/>
        <w:jc w:val="left"/>
      </w:pPr>
      <w:hyperlink w:anchor="_h28" w:history="1">
        <w:r>
          <w:rPr>
            <w:rFonts w:ascii="Barlow" w:hAnsi="Barlow" w:cs="Barlow" w:eastAsia="Barlow"/>
            <w:color w:val="0F2440"/>
            <w:sz w:val="19"/>
            <w:szCs w:val="19"/>
          </w:rPr>
          <w:t xml:space="preserve">5.5 Etapa 5 — Agregação entre dimensões</w:t>
        </w:r>
        <w:r>
          <w:tab/>
        </w:r>
        <w:r>
          <w:rPr>
            <w:rFonts w:ascii="Barlow Condensed SemiBold" w:hAnsi="Barlow Condensed SemiBold" w:cs="Barlow Condensed SemiBold" w:eastAsia="Barlow Condensed SemiBold"/>
            <w:color w:val="007614"/>
            <w:sz w:val="19"/>
            <w:szCs w:val="19"/>
          </w:rPr>
          <w:t xml:space="preserve">20</w:t>
        </w:r>
      </w:hyperlink>
    </w:p>
    <w:p>
      <w:pPr>
        <w:pStyle w:val="TOC2"/>
        <w:tabs>
          <w:tab w:val="right" w:leader="dot" w:pos="8844"/>
        </w:tabs>
        <w:spacing w:before="0" w:after="20" w:line="250" w:lineRule="auto"/>
        <w:ind w:left="300" w:right="400"/>
        <w:jc w:val="left"/>
      </w:pPr>
      <w:hyperlink w:anchor="_h29" w:history="1">
        <w:r>
          <w:rPr>
            <w:rFonts w:ascii="Barlow" w:hAnsi="Barlow" w:cs="Barlow" w:eastAsia="Barlow"/>
            <w:color w:val="0F2440"/>
            <w:sz w:val="19"/>
            <w:szCs w:val="19"/>
          </w:rPr>
          <w:t xml:space="preserve">5.6 Etapa 6 — Transformação para a escala de 0 a 1</w:t>
        </w:r>
        <w:r>
          <w:tab/>
        </w:r>
        <w:r>
          <w:rPr>
            <w:rFonts w:ascii="Barlow Condensed SemiBold" w:hAnsi="Barlow Condensed SemiBold" w:cs="Barlow Condensed SemiBold" w:eastAsia="Barlow Condensed SemiBold"/>
            <w:color w:val="007614"/>
            <w:sz w:val="19"/>
            <w:szCs w:val="19"/>
          </w:rPr>
          <w:t xml:space="preserve">20</w:t>
        </w:r>
      </w:hyperlink>
    </w:p>
    <w:p>
      <w:pPr>
        <w:pStyle w:val="TOC2"/>
        <w:tabs>
          <w:tab w:val="right" w:leader="dot" w:pos="8844"/>
        </w:tabs>
        <w:spacing w:before="0" w:after="20" w:line="250" w:lineRule="auto"/>
        <w:ind w:left="300" w:right="400"/>
        <w:jc w:val="left"/>
      </w:pPr>
      <w:hyperlink w:anchor="_h30" w:history="1">
        <w:r>
          <w:rPr>
            <w:rFonts w:ascii="Barlow" w:hAnsi="Barlow" w:cs="Barlow" w:eastAsia="Barlow"/>
            <w:color w:val="0F2440"/>
            <w:sz w:val="19"/>
            <w:szCs w:val="19"/>
          </w:rPr>
          <w:t xml:space="preserve">5.7 Etapa 7 — Categorização e comparabilidade intertemporal</w:t>
        </w:r>
        <w:r>
          <w:tab/>
        </w:r>
        <w:r>
          <w:rPr>
            <w:rFonts w:ascii="Barlow Condensed SemiBold" w:hAnsi="Barlow Condensed SemiBold" w:cs="Barlow Condensed SemiBold" w:eastAsia="Barlow Condensed SemiBold"/>
            <w:color w:val="007614"/>
            <w:sz w:val="19"/>
            <w:szCs w:val="19"/>
          </w:rPr>
          <w:t xml:space="preserve">21</w:t>
        </w:r>
      </w:hyperlink>
    </w:p>
    <w:p>
      <w:pPr>
        <w:pStyle w:val="TOC2"/>
        <w:tabs>
          <w:tab w:val="right" w:leader="dot" w:pos="8844"/>
        </w:tabs>
        <w:spacing w:before="0" w:after="20" w:line="250" w:lineRule="auto"/>
        <w:ind w:left="300" w:right="400"/>
        <w:jc w:val="left"/>
      </w:pPr>
      <w:hyperlink w:anchor="_h31" w:history="1">
        <w:r>
          <w:rPr>
            <w:rFonts w:ascii="Barlow" w:hAnsi="Barlow" w:cs="Barlow" w:eastAsia="Barlow"/>
            <w:color w:val="0F2440"/>
            <w:sz w:val="19"/>
            <w:szCs w:val="19"/>
          </w:rPr>
          <w:t xml:space="preserve">5.8 Incerteza e sensibilidade</w:t>
        </w:r>
        <w:r>
          <w:tab/>
        </w:r>
        <w:r>
          <w:rPr>
            <w:rFonts w:ascii="Barlow Condensed SemiBold" w:hAnsi="Barlow Condensed SemiBold" w:cs="Barlow Condensed SemiBold" w:eastAsia="Barlow Condensed SemiBold"/>
            <w:color w:val="007614"/>
            <w:sz w:val="19"/>
            <w:szCs w:val="19"/>
          </w:rPr>
          <w:t xml:space="preserve">22</w:t>
        </w:r>
      </w:hyperlink>
    </w:p>
    <w:p>
      <w:pPr>
        <w:pStyle w:val="TOC1"/>
        <w:tabs>
          <w:tab w:val="right" w:leader="dot" w:pos="8844"/>
        </w:tabs>
        <w:spacing w:before="110" w:after="30" w:line="250" w:lineRule="auto"/>
        <w:ind w:right="400"/>
        <w:jc w:val="left"/>
      </w:pPr>
      <w:hyperlink w:anchor="_h32" w:history="1">
        <w:r>
          <w:rPr>
            <w:rFonts w:ascii="Barlow Condensed SemiBold" w:hAnsi="Barlow Condensed SemiBold" w:cs="Barlow Condensed SemiBold" w:eastAsia="Barlow Condensed SemiBold"/>
            <w:color w:val="01366F"/>
            <w:sz w:val="19"/>
            <w:szCs w:val="19"/>
          </w:rPr>
          <w:t xml:space="preserve">6 PLANO DE VALIDAÇÃO</w:t>
        </w:r>
        <w:r>
          <w:tab/>
        </w:r>
        <w:r>
          <w:rPr>
            <w:rFonts w:ascii="Barlow Condensed SemiBold" w:hAnsi="Barlow Condensed SemiBold" w:cs="Barlow Condensed SemiBold" w:eastAsia="Barlow Condensed SemiBold"/>
            <w:color w:val="007614"/>
            <w:sz w:val="19"/>
            <w:szCs w:val="19"/>
          </w:rPr>
          <w:t xml:space="preserve">23</w:t>
        </w:r>
      </w:hyperlink>
    </w:p>
    <w:p>
      <w:pPr>
        <w:pStyle w:val="TOC2"/>
        <w:tabs>
          <w:tab w:val="right" w:leader="dot" w:pos="8844"/>
        </w:tabs>
        <w:spacing w:before="0" w:after="20" w:line="250" w:lineRule="auto"/>
        <w:ind w:left="300" w:right="400"/>
        <w:jc w:val="left"/>
      </w:pPr>
      <w:hyperlink w:anchor="_h33" w:history="1">
        <w:r>
          <w:rPr>
            <w:rFonts w:ascii="Barlow" w:hAnsi="Barlow" w:cs="Barlow" w:eastAsia="Barlow"/>
            <w:color w:val="0F2440"/>
            <w:sz w:val="19"/>
            <w:szCs w:val="19"/>
          </w:rPr>
          <w:t xml:space="preserve">6.1 Validação da estrutura interna</w:t>
        </w:r>
        <w:r>
          <w:tab/>
        </w:r>
        <w:r>
          <w:rPr>
            <w:rFonts w:ascii="Barlow Condensed SemiBold" w:hAnsi="Barlow Condensed SemiBold" w:cs="Barlow Condensed SemiBold" w:eastAsia="Barlow Condensed SemiBold"/>
            <w:color w:val="007614"/>
            <w:sz w:val="19"/>
            <w:szCs w:val="19"/>
          </w:rPr>
          <w:t xml:space="preserve">23</w:t>
        </w:r>
      </w:hyperlink>
    </w:p>
    <w:p>
      <w:pPr>
        <w:pStyle w:val="TOC2"/>
        <w:tabs>
          <w:tab w:val="right" w:leader="dot" w:pos="8844"/>
        </w:tabs>
        <w:spacing w:before="0" w:after="20" w:line="250" w:lineRule="auto"/>
        <w:ind w:left="300" w:right="400"/>
        <w:jc w:val="left"/>
      </w:pPr>
      <w:hyperlink w:anchor="_h34" w:history="1">
        <w:r>
          <w:rPr>
            <w:rFonts w:ascii="Barlow" w:hAnsi="Barlow" w:cs="Barlow" w:eastAsia="Barlow"/>
            <w:color w:val="0F2440"/>
            <w:sz w:val="19"/>
            <w:szCs w:val="19"/>
          </w:rPr>
          <w:t xml:space="preserve">6.2 Validação de critério</w:t>
        </w:r>
        <w:r>
          <w:tab/>
        </w:r>
        <w:r>
          <w:rPr>
            <w:rFonts w:ascii="Barlow Condensed SemiBold" w:hAnsi="Barlow Condensed SemiBold" w:cs="Barlow Condensed SemiBold" w:eastAsia="Barlow Condensed SemiBold"/>
            <w:color w:val="007614"/>
            <w:sz w:val="19"/>
            <w:szCs w:val="19"/>
          </w:rPr>
          <w:t xml:space="preserve">23</w:t>
        </w:r>
      </w:hyperlink>
    </w:p>
    <w:p>
      <w:pPr>
        <w:pStyle w:val="TOC2"/>
        <w:tabs>
          <w:tab w:val="right" w:leader="dot" w:pos="8844"/>
        </w:tabs>
        <w:spacing w:before="0" w:after="20" w:line="250" w:lineRule="auto"/>
        <w:ind w:left="300" w:right="400"/>
        <w:jc w:val="left"/>
      </w:pPr>
      <w:hyperlink w:anchor="_h35" w:history="1">
        <w:r>
          <w:rPr>
            <w:rFonts w:ascii="Barlow" w:hAnsi="Barlow" w:cs="Barlow" w:eastAsia="Barlow"/>
            <w:color w:val="0F2440"/>
            <w:sz w:val="19"/>
            <w:szCs w:val="19"/>
          </w:rPr>
          <w:t xml:space="preserve">6.3 Correção obrigatória dos desfechos de validação</w:t>
        </w:r>
        <w:r>
          <w:tab/>
        </w:r>
        <w:r>
          <w:rPr>
            <w:rFonts w:ascii="Barlow Condensed SemiBold" w:hAnsi="Barlow Condensed SemiBold" w:cs="Barlow Condensed SemiBold" w:eastAsia="Barlow Condensed SemiBold"/>
            <w:color w:val="007614"/>
            <w:sz w:val="19"/>
            <w:szCs w:val="19"/>
          </w:rPr>
          <w:t xml:space="preserve">23</w:t>
        </w:r>
      </w:hyperlink>
    </w:p>
    <w:p>
      <w:pPr>
        <w:pStyle w:val="TOC2"/>
        <w:tabs>
          <w:tab w:val="right" w:leader="dot" w:pos="8844"/>
        </w:tabs>
        <w:spacing w:before="0" w:after="20" w:line="250" w:lineRule="auto"/>
        <w:ind w:left="300" w:right="400"/>
        <w:jc w:val="left"/>
      </w:pPr>
      <w:hyperlink w:anchor="_h36" w:history="1">
        <w:r>
          <w:rPr>
            <w:rFonts w:ascii="Barlow" w:hAnsi="Barlow" w:cs="Barlow" w:eastAsia="Barlow"/>
            <w:color w:val="0F2440"/>
            <w:sz w:val="19"/>
            <w:szCs w:val="19"/>
          </w:rPr>
          <w:t xml:space="preserve">6.4 Validação convergente</w:t>
        </w:r>
        <w:r>
          <w:tab/>
        </w:r>
        <w:r>
          <w:rPr>
            <w:rFonts w:ascii="Barlow Condensed SemiBold" w:hAnsi="Barlow Condensed SemiBold" w:cs="Barlow Condensed SemiBold" w:eastAsia="Barlow Condensed SemiBold"/>
            <w:color w:val="007614"/>
            <w:sz w:val="19"/>
            <w:szCs w:val="19"/>
          </w:rPr>
          <w:t xml:space="preserve">24</w:t>
        </w:r>
      </w:hyperlink>
    </w:p>
    <w:p>
      <w:pPr>
        <w:pStyle w:val="TOC2"/>
        <w:tabs>
          <w:tab w:val="right" w:leader="dot" w:pos="8844"/>
        </w:tabs>
        <w:spacing w:before="0" w:after="20" w:line="250" w:lineRule="auto"/>
        <w:ind w:left="300" w:right="400"/>
        <w:jc w:val="left"/>
      </w:pPr>
      <w:hyperlink w:anchor="_h37" w:history="1">
        <w:r>
          <w:rPr>
            <w:rFonts w:ascii="Barlow" w:hAnsi="Barlow" w:cs="Barlow" w:eastAsia="Barlow"/>
            <w:color w:val="0F2440"/>
            <w:sz w:val="19"/>
            <w:szCs w:val="19"/>
          </w:rPr>
          <w:t xml:space="preserve">6.5 Teste de responsividade</w:t>
        </w:r>
        <w:r>
          <w:tab/>
        </w:r>
        <w:r>
          <w:rPr>
            <w:rFonts w:ascii="Barlow Condensed SemiBold" w:hAnsi="Barlow Condensed SemiBold" w:cs="Barlow Condensed SemiBold" w:eastAsia="Barlow Condensed SemiBold"/>
            <w:color w:val="007614"/>
            <w:sz w:val="19"/>
            <w:szCs w:val="19"/>
          </w:rPr>
          <w:t xml:space="preserve">24</w:t>
        </w:r>
      </w:hyperlink>
    </w:p>
    <w:p>
      <w:pPr>
        <w:pStyle w:val="TOC1"/>
        <w:tabs>
          <w:tab w:val="right" w:leader="dot" w:pos="8844"/>
        </w:tabs>
        <w:spacing w:before="110" w:after="30" w:line="250" w:lineRule="auto"/>
        <w:ind w:right="400"/>
        <w:jc w:val="left"/>
      </w:pPr>
      <w:hyperlink w:anchor="_h38" w:history="1">
        <w:r>
          <w:rPr>
            <w:rFonts w:ascii="Barlow Condensed SemiBold" w:hAnsi="Barlow Condensed SemiBold" w:cs="Barlow Condensed SemiBold" w:eastAsia="Barlow Condensed SemiBold"/>
            <w:color w:val="01366F"/>
            <w:sz w:val="19"/>
            <w:szCs w:val="19"/>
          </w:rPr>
          <w:t xml:space="preserve">7 RISCOS, LIMITAÇÕES E USOS PREVISTOS</w:t>
        </w:r>
        <w:r>
          <w:tab/>
        </w:r>
        <w:r>
          <w:rPr>
            <w:rFonts w:ascii="Barlow Condensed SemiBold" w:hAnsi="Barlow Condensed SemiBold" w:cs="Barlow Condensed SemiBold" w:eastAsia="Barlow Condensed SemiBold"/>
            <w:color w:val="007614"/>
            <w:sz w:val="19"/>
            <w:szCs w:val="19"/>
          </w:rPr>
          <w:t xml:space="preserve">25</w:t>
        </w:r>
      </w:hyperlink>
    </w:p>
    <w:p>
      <w:pPr>
        <w:pStyle w:val="TOC2"/>
        <w:tabs>
          <w:tab w:val="right" w:leader="dot" w:pos="8844"/>
        </w:tabs>
        <w:spacing w:before="0" w:after="20" w:line="250" w:lineRule="auto"/>
        <w:ind w:left="300" w:right="400"/>
        <w:jc w:val="left"/>
      </w:pPr>
      <w:hyperlink w:anchor="_h39" w:history="1">
        <w:r>
          <w:rPr>
            <w:rFonts w:ascii="Barlow" w:hAnsi="Barlow" w:cs="Barlow" w:eastAsia="Barlow"/>
            <w:color w:val="0F2440"/>
            <w:sz w:val="19"/>
            <w:szCs w:val="19"/>
          </w:rPr>
          <w:t xml:space="preserve">7.1 Riscos do desenho e mitigações</w:t>
        </w:r>
        <w:r>
          <w:tab/>
        </w:r>
        <w:r>
          <w:rPr>
            <w:rFonts w:ascii="Barlow Condensed SemiBold" w:hAnsi="Barlow Condensed SemiBold" w:cs="Barlow Condensed SemiBold" w:eastAsia="Barlow Condensed SemiBold"/>
            <w:color w:val="007614"/>
            <w:sz w:val="19"/>
            <w:szCs w:val="19"/>
          </w:rPr>
          <w:t xml:space="preserve">25</w:t>
        </w:r>
      </w:hyperlink>
    </w:p>
    <w:p>
      <w:pPr>
        <w:pStyle w:val="TOC2"/>
        <w:tabs>
          <w:tab w:val="right" w:leader="dot" w:pos="8844"/>
        </w:tabs>
        <w:spacing w:before="0" w:after="20" w:line="250" w:lineRule="auto"/>
        <w:ind w:left="300" w:right="400"/>
        <w:jc w:val="left"/>
      </w:pPr>
      <w:hyperlink w:anchor="_h40" w:history="1">
        <w:r>
          <w:rPr>
            <w:rFonts w:ascii="Barlow" w:hAnsi="Barlow" w:cs="Barlow" w:eastAsia="Barlow"/>
            <w:color w:val="0F2440"/>
            <w:sz w:val="19"/>
            <w:szCs w:val="19"/>
          </w:rPr>
          <w:t xml:space="preserve">7.2 Limitações reconhecidas</w:t>
        </w:r>
        <w:r>
          <w:tab/>
        </w:r>
        <w:r>
          <w:rPr>
            <w:rFonts w:ascii="Barlow Condensed SemiBold" w:hAnsi="Barlow Condensed SemiBold" w:cs="Barlow Condensed SemiBold" w:eastAsia="Barlow Condensed SemiBold"/>
            <w:color w:val="007614"/>
            <w:sz w:val="19"/>
            <w:szCs w:val="19"/>
          </w:rPr>
          <w:t xml:space="preserve">25</w:t>
        </w:r>
      </w:hyperlink>
    </w:p>
    <w:p>
      <w:pPr>
        <w:pStyle w:val="TOC2"/>
        <w:tabs>
          <w:tab w:val="right" w:leader="dot" w:pos="8844"/>
        </w:tabs>
        <w:spacing w:before="0" w:after="20" w:line="250" w:lineRule="auto"/>
        <w:ind w:left="300" w:right="400"/>
        <w:jc w:val="left"/>
      </w:pPr>
      <w:hyperlink w:anchor="_h41" w:history="1">
        <w:r>
          <w:rPr>
            <w:rFonts w:ascii="Barlow" w:hAnsi="Barlow" w:cs="Barlow" w:eastAsia="Barlow"/>
            <w:color w:val="0F2440"/>
            <w:sz w:val="19"/>
            <w:szCs w:val="19"/>
          </w:rPr>
          <w:t xml:space="preserve">7.3 Usos previstos e vedações</w:t>
        </w:r>
        <w:r>
          <w:tab/>
        </w:r>
        <w:r>
          <w:rPr>
            <w:rFonts w:ascii="Barlow Condensed SemiBold" w:hAnsi="Barlow Condensed SemiBold" w:cs="Barlow Condensed SemiBold" w:eastAsia="Barlow Condensed SemiBold"/>
            <w:color w:val="007614"/>
            <w:sz w:val="19"/>
            <w:szCs w:val="19"/>
          </w:rPr>
          <w:t xml:space="preserve">26</w:t>
        </w:r>
      </w:hyperlink>
    </w:p>
    <w:p>
      <w:pPr>
        <w:pStyle w:val="TOC2"/>
        <w:tabs>
          <w:tab w:val="right" w:leader="dot" w:pos="8844"/>
        </w:tabs>
        <w:spacing w:before="0" w:after="20" w:line="250" w:lineRule="auto"/>
        <w:ind w:left="300" w:right="400"/>
        <w:jc w:val="left"/>
      </w:pPr>
      <w:hyperlink w:anchor="_h42" w:history="1">
        <w:r>
          <w:rPr>
            <w:rFonts w:ascii="Barlow" w:hAnsi="Barlow" w:cs="Barlow" w:eastAsia="Barlow"/>
            <w:color w:val="0F2440"/>
            <w:sz w:val="19"/>
            <w:szCs w:val="19"/>
          </w:rPr>
          <w:t xml:space="preserve">7.4 Produtos e etapas</w:t>
        </w:r>
        <w:r>
          <w:tab/>
        </w:r>
        <w:r>
          <w:rPr>
            <w:rFonts w:ascii="Barlow Condensed SemiBold" w:hAnsi="Barlow Condensed SemiBold" w:cs="Barlow Condensed SemiBold" w:eastAsia="Barlow Condensed SemiBold"/>
            <w:color w:val="007614"/>
            <w:sz w:val="19"/>
            <w:szCs w:val="19"/>
          </w:rPr>
          <w:t xml:space="preserve">26</w:t>
        </w:r>
      </w:hyperlink>
    </w:p>
    <w:p>
      <w:pPr>
        <w:pStyle w:val="TOC1"/>
        <w:tabs>
          <w:tab w:val="right" w:leader="dot" w:pos="8844"/>
        </w:tabs>
        <w:spacing w:before="110" w:after="30" w:line="250" w:lineRule="auto"/>
        <w:ind w:right="400"/>
        <w:jc w:val="left"/>
      </w:pPr>
      <w:hyperlink w:anchor="_h43" w:history="1">
        <w:r>
          <w:rPr>
            <w:rFonts w:ascii="Barlow Condensed SemiBold" w:hAnsi="Barlow Condensed SemiBold" w:cs="Barlow Condensed SemiBold" w:eastAsia="Barlow Condensed SemiBold"/>
            <w:color w:val="01366F"/>
            <w:sz w:val="19"/>
            <w:szCs w:val="19"/>
          </w:rPr>
          <w:t xml:space="preserve">8 APLICAÇÃO AO DISTRITO FEDERAL: O INS-DF POR REGIÃO ADMINISTRATIVA</w:t>
        </w:r>
        <w:r>
          <w:tab/>
        </w:r>
        <w:r>
          <w:rPr>
            <w:rFonts w:ascii="Barlow Condensed SemiBold" w:hAnsi="Barlow Condensed SemiBold" w:cs="Barlow Condensed SemiBold" w:eastAsia="Barlow Condensed SemiBold"/>
            <w:color w:val="007614"/>
            <w:sz w:val="19"/>
            <w:szCs w:val="19"/>
          </w:rPr>
          <w:t xml:space="preserve">27</w:t>
        </w:r>
      </w:hyperlink>
    </w:p>
    <w:p>
      <w:pPr>
        <w:pStyle w:val="TOC2"/>
        <w:tabs>
          <w:tab w:val="right" w:leader="dot" w:pos="8844"/>
        </w:tabs>
        <w:spacing w:before="0" w:after="20" w:line="250" w:lineRule="auto"/>
        <w:ind w:left="300" w:right="400"/>
        <w:jc w:val="left"/>
      </w:pPr>
      <w:hyperlink w:anchor="_h44" w:history="1">
        <w:r>
          <w:rPr>
            <w:rFonts w:ascii="Barlow" w:hAnsi="Barlow" w:cs="Barlow" w:eastAsia="Barlow"/>
            <w:color w:val="0F2440"/>
            <w:sz w:val="19"/>
            <w:szCs w:val="19"/>
          </w:rPr>
          <w:t xml:space="preserve">8.1 Viabilidade e pertinência do recorte</w:t>
        </w:r>
        <w:r>
          <w:tab/>
        </w:r>
        <w:r>
          <w:rPr>
            <w:rFonts w:ascii="Barlow Condensed SemiBold" w:hAnsi="Barlow Condensed SemiBold" w:cs="Barlow Condensed SemiBold" w:eastAsia="Barlow Condensed SemiBold"/>
            <w:color w:val="007614"/>
            <w:sz w:val="19"/>
            <w:szCs w:val="19"/>
          </w:rPr>
          <w:t xml:space="preserve">27</w:t>
        </w:r>
      </w:hyperlink>
    </w:p>
    <w:p>
      <w:pPr>
        <w:pStyle w:val="TOC2"/>
        <w:tabs>
          <w:tab w:val="right" w:leader="dot" w:pos="8844"/>
        </w:tabs>
        <w:spacing w:before="0" w:after="20" w:line="250" w:lineRule="auto"/>
        <w:ind w:left="300" w:right="400"/>
        <w:jc w:val="left"/>
      </w:pPr>
      <w:hyperlink w:anchor="_h45" w:history="1">
        <w:r>
          <w:rPr>
            <w:rFonts w:ascii="Barlow" w:hAnsi="Barlow" w:cs="Barlow" w:eastAsia="Barlow"/>
            <w:color w:val="0F2440"/>
            <w:sz w:val="19"/>
            <w:szCs w:val="19"/>
          </w:rPr>
          <w:t xml:space="preserve">8.2 A PDAD como fonte: vantagens e restrições</w:t>
        </w:r>
        <w:r>
          <w:tab/>
        </w:r>
        <w:r>
          <w:rPr>
            <w:rFonts w:ascii="Barlow Condensed SemiBold" w:hAnsi="Barlow Condensed SemiBold" w:cs="Barlow Condensed SemiBold" w:eastAsia="Barlow Condensed SemiBold"/>
            <w:color w:val="007614"/>
            <w:sz w:val="19"/>
            <w:szCs w:val="19"/>
          </w:rPr>
          <w:t xml:space="preserve">27</w:t>
        </w:r>
      </w:hyperlink>
    </w:p>
    <w:p>
      <w:pPr>
        <w:pStyle w:val="TOC2"/>
        <w:tabs>
          <w:tab w:val="right" w:leader="dot" w:pos="8844"/>
        </w:tabs>
        <w:spacing w:before="0" w:after="20" w:line="250" w:lineRule="auto"/>
        <w:ind w:left="300" w:right="400"/>
        <w:jc w:val="left"/>
      </w:pPr>
      <w:hyperlink w:anchor="_h46" w:history="1">
        <w:r>
          <w:rPr>
            <w:rFonts w:ascii="Barlow" w:hAnsi="Barlow" w:cs="Barlow" w:eastAsia="Barlow"/>
            <w:color w:val="0F2440"/>
            <w:sz w:val="19"/>
            <w:szCs w:val="19"/>
          </w:rPr>
          <w:t xml:space="preserve">8.3 Adaptação da cesta</w:t>
        </w:r>
        <w:r>
          <w:tab/>
        </w:r>
        <w:r>
          <w:rPr>
            <w:rFonts w:ascii="Barlow Condensed SemiBold" w:hAnsi="Barlow Condensed SemiBold" w:cs="Barlow Condensed SemiBold" w:eastAsia="Barlow Condensed SemiBold"/>
            <w:color w:val="007614"/>
            <w:sz w:val="19"/>
            <w:szCs w:val="19"/>
          </w:rPr>
          <w:t xml:space="preserve">28</w:t>
        </w:r>
      </w:hyperlink>
    </w:p>
    <w:p>
      <w:pPr>
        <w:pStyle w:val="TOC2"/>
        <w:tabs>
          <w:tab w:val="right" w:leader="dot" w:pos="8844"/>
        </w:tabs>
        <w:spacing w:before="0" w:after="20" w:line="250" w:lineRule="auto"/>
        <w:ind w:left="300" w:right="400"/>
        <w:jc w:val="left"/>
      </w:pPr>
      <w:hyperlink w:anchor="_h47" w:history="1">
        <w:r>
          <w:rPr>
            <w:rFonts w:ascii="Barlow" w:hAnsi="Barlow" w:cs="Barlow" w:eastAsia="Barlow"/>
            <w:color w:val="0F2440"/>
            <w:sz w:val="19"/>
            <w:szCs w:val="19"/>
          </w:rPr>
          <w:t xml:space="preserve">8.4 Universo de padronização: as duas leituras</w:t>
        </w:r>
        <w:r>
          <w:tab/>
        </w:r>
        <w:r>
          <w:rPr>
            <w:rFonts w:ascii="Barlow Condensed SemiBold" w:hAnsi="Barlow Condensed SemiBold" w:cs="Barlow Condensed SemiBold" w:eastAsia="Barlow Condensed SemiBold"/>
            <w:color w:val="007614"/>
            <w:sz w:val="19"/>
            <w:szCs w:val="19"/>
          </w:rPr>
          <w:t xml:space="preserve">29</w:t>
        </w:r>
      </w:hyperlink>
    </w:p>
    <w:p>
      <w:pPr>
        <w:pStyle w:val="TOC2"/>
        <w:tabs>
          <w:tab w:val="right" w:leader="dot" w:pos="8844"/>
        </w:tabs>
        <w:spacing w:before="0" w:after="20" w:line="250" w:lineRule="auto"/>
        <w:ind w:left="300" w:right="400"/>
        <w:jc w:val="left"/>
      </w:pPr>
      <w:hyperlink w:anchor="_h48" w:history="1">
        <w:r>
          <w:rPr>
            <w:rFonts w:ascii="Barlow" w:hAnsi="Barlow" w:cs="Barlow" w:eastAsia="Barlow"/>
            <w:color w:val="0F2440"/>
            <w:sz w:val="19"/>
            <w:szCs w:val="19"/>
          </w:rPr>
          <w:t xml:space="preserve">8.5 Estrutura fatorial e a restrição do número de unidades</w:t>
        </w:r>
        <w:r>
          <w:tab/>
        </w:r>
        <w:r>
          <w:rPr>
            <w:rFonts w:ascii="Barlow Condensed SemiBold" w:hAnsi="Barlow Condensed SemiBold" w:cs="Barlow Condensed SemiBold" w:eastAsia="Barlow Condensed SemiBold"/>
            <w:color w:val="007614"/>
            <w:sz w:val="19"/>
            <w:szCs w:val="19"/>
          </w:rPr>
          <w:t xml:space="preserve">29</w:t>
        </w:r>
      </w:hyperlink>
    </w:p>
    <w:p>
      <w:pPr>
        <w:pStyle w:val="TOC2"/>
        <w:tabs>
          <w:tab w:val="right" w:leader="dot" w:pos="8844"/>
        </w:tabs>
        <w:spacing w:before="0" w:after="20" w:line="250" w:lineRule="auto"/>
        <w:ind w:left="300" w:right="400"/>
        <w:jc w:val="left"/>
      </w:pPr>
      <w:hyperlink w:anchor="_h49" w:history="1">
        <w:r>
          <w:rPr>
            <w:rFonts w:ascii="Barlow" w:hAnsi="Barlow" w:cs="Barlow" w:eastAsia="Barlow"/>
            <w:color w:val="0F2440"/>
            <w:sz w:val="19"/>
            <w:szCs w:val="19"/>
          </w:rPr>
          <w:t xml:space="preserve">8.6 Heterogeneidade interna e leitura do território</w:t>
        </w:r>
        <w:r>
          <w:tab/>
        </w:r>
        <w:r>
          <w:rPr>
            <w:rFonts w:ascii="Barlow Condensed SemiBold" w:hAnsi="Barlow Condensed SemiBold" w:cs="Barlow Condensed SemiBold" w:eastAsia="Barlow Condensed SemiBold"/>
            <w:color w:val="007614"/>
            <w:sz w:val="19"/>
            <w:szCs w:val="19"/>
          </w:rPr>
          <w:t xml:space="preserve">29</w:t>
        </w:r>
      </w:hyperlink>
    </w:p>
    <w:p>
      <w:pPr>
        <w:pStyle w:val="TOC1"/>
        <w:tabs>
          <w:tab w:val="right" w:leader="dot" w:pos="8844"/>
        </w:tabs>
        <w:spacing w:before="110" w:after="30" w:line="250" w:lineRule="auto"/>
        <w:ind w:right="400"/>
        <w:jc w:val="left"/>
      </w:pPr>
      <w:hyperlink w:anchor="_h50" w:history="1">
        <w:r>
          <w:rPr>
            <w:rFonts w:ascii="Barlow Condensed SemiBold" w:hAnsi="Barlow Condensed SemiBold" w:cs="Barlow Condensed SemiBold" w:eastAsia="Barlow Condensed SemiBold"/>
            <w:color w:val="01366F"/>
            <w:sz w:val="19"/>
            <w:szCs w:val="19"/>
          </w:rPr>
          <w:t xml:space="preserve">9 VERIFICAÇÕES PENDENTES ANTES DA PRIMEIRA APLICAÇÃO</w:t>
        </w:r>
        <w:r>
          <w:tab/>
        </w:r>
        <w:r>
          <w:rPr>
            <w:rFonts w:ascii="Barlow Condensed SemiBold" w:hAnsi="Barlow Condensed SemiBold" w:cs="Barlow Condensed SemiBold" w:eastAsia="Barlow Condensed SemiBold"/>
            <w:color w:val="007614"/>
            <w:sz w:val="19"/>
            <w:szCs w:val="19"/>
          </w:rPr>
          <w:t xml:space="preserve">31</w:t>
        </w:r>
      </w:hyperlink>
    </w:p>
    <w:p>
      <w:pPr>
        <w:pStyle w:val="TOC1"/>
        <w:tabs>
          <w:tab w:val="right" w:leader="dot" w:pos="8844"/>
        </w:tabs>
        <w:spacing w:before="110" w:after="30" w:line="250" w:lineRule="auto"/>
        <w:ind w:right="400"/>
        <w:jc w:val="left"/>
      </w:pPr>
      <w:hyperlink w:anchor="_h51" w:history="1">
        <w:r>
          <w:rPr>
            <w:rFonts w:ascii="Barlow Condensed SemiBold" w:hAnsi="Barlow Condensed SemiBold" w:cs="Barlow Condensed SemiBold" w:eastAsia="Barlow Condensed SemiBold"/>
            <w:color w:val="01366F"/>
            <w:sz w:val="19"/>
            <w:szCs w:val="19"/>
          </w:rPr>
          <w:t xml:space="preserve">REFERÊNCIAS</w:t>
        </w:r>
        <w:r>
          <w:tab/>
        </w:r>
        <w:r>
          <w:rPr>
            <w:rFonts w:ascii="Barlow Condensed SemiBold" w:hAnsi="Barlow Condensed SemiBold" w:cs="Barlow Condensed SemiBold" w:eastAsia="Barlow Condensed SemiBold"/>
            <w:color w:val="007614"/>
            <w:sz w:val="19"/>
            <w:szCs w:val="19"/>
          </w:rPr>
          <w:t xml:space="preserve">32</w:t>
        </w:r>
      </w:hyperlink>
    </w:p>
    <w:p>
      <w:pPr>
        <w:pStyle w:val="TOC1"/>
        <w:tabs>
          <w:tab w:val="right" w:leader="dot" w:pos="8844"/>
        </w:tabs>
        <w:spacing w:before="110" w:after="30" w:line="250" w:lineRule="auto"/>
        <w:ind w:right="400"/>
        <w:jc w:val="left"/>
      </w:pPr>
      <w:hyperlink w:anchor="_h52" w:history="1">
        <w:r>
          <w:rPr>
            <w:rFonts w:ascii="Barlow Condensed SemiBold" w:hAnsi="Barlow Condensed SemiBold" w:cs="Barlow Condensed SemiBold" w:eastAsia="Barlow Condensed SemiBold"/>
            <w:color w:val="01366F"/>
            <w:sz w:val="19"/>
            <w:szCs w:val="19"/>
          </w:rPr>
          <w:t xml:space="preserve">ANEXO A — NOTA METODOLÓGICA</w:t>
        </w:r>
        <w:r>
          <w:tab/>
        </w:r>
        <w:r>
          <w:rPr>
            <w:rFonts w:ascii="Barlow Condensed SemiBold" w:hAnsi="Barlow Condensed SemiBold" w:cs="Barlow Condensed SemiBold" w:eastAsia="Barlow Condensed SemiBold"/>
            <w:color w:val="007614"/>
            <w:sz w:val="19"/>
            <w:szCs w:val="19"/>
          </w:rPr>
          <w:t xml:space="preserve">34</w:t>
        </w:r>
      </w:hyperlink>
    </w:p>
    <w:p>
      <w:pPr>
        <w:pStyle w:val="TOC2"/>
        <w:tabs>
          <w:tab w:val="right" w:leader="dot" w:pos="8844"/>
        </w:tabs>
        <w:spacing w:before="0" w:after="20" w:line="250" w:lineRule="auto"/>
        <w:ind w:left="300" w:right="400"/>
        <w:jc w:val="left"/>
      </w:pPr>
      <w:hyperlink w:anchor="_h53" w:history="1">
        <w:r>
          <w:rPr>
            <w:rFonts w:ascii="Barlow" w:hAnsi="Barlow" w:cs="Barlow" w:eastAsia="Barlow"/>
            <w:color w:val="0F2440"/>
            <w:sz w:val="19"/>
            <w:szCs w:val="19"/>
          </w:rPr>
          <w:t xml:space="preserve">A.1 Identificação</w:t>
        </w:r>
        <w:r>
          <w:tab/>
        </w:r>
        <w:r>
          <w:rPr>
            <w:rFonts w:ascii="Barlow Condensed SemiBold" w:hAnsi="Barlow Condensed SemiBold" w:cs="Barlow Condensed SemiBold" w:eastAsia="Barlow Condensed SemiBold"/>
            <w:color w:val="007614"/>
            <w:sz w:val="19"/>
            <w:szCs w:val="19"/>
          </w:rPr>
          <w:t xml:space="preserve">34</w:t>
        </w:r>
      </w:hyperlink>
    </w:p>
    <w:p>
      <w:pPr>
        <w:pStyle w:val="TOC2"/>
        <w:tabs>
          <w:tab w:val="right" w:leader="dot" w:pos="8844"/>
        </w:tabs>
        <w:spacing w:before="0" w:after="20" w:line="250" w:lineRule="auto"/>
        <w:ind w:left="300" w:right="400"/>
        <w:jc w:val="left"/>
      </w:pPr>
      <w:hyperlink w:anchor="_h54" w:history="1">
        <w:r>
          <w:rPr>
            <w:rFonts w:ascii="Barlow" w:hAnsi="Barlow" w:cs="Barlow" w:eastAsia="Barlow"/>
            <w:color w:val="0F2440"/>
            <w:sz w:val="19"/>
            <w:szCs w:val="19"/>
          </w:rPr>
          <w:t xml:space="preserve">A.2 Definição operacional do construto</w:t>
        </w:r>
        <w:r>
          <w:tab/>
        </w:r>
        <w:r>
          <w:rPr>
            <w:rFonts w:ascii="Barlow Condensed SemiBold" w:hAnsi="Barlow Condensed SemiBold" w:cs="Barlow Condensed SemiBold" w:eastAsia="Barlow Condensed SemiBold"/>
            <w:color w:val="007614"/>
            <w:sz w:val="19"/>
            <w:szCs w:val="19"/>
          </w:rPr>
          <w:t xml:space="preserve">34</w:t>
        </w:r>
      </w:hyperlink>
    </w:p>
    <w:p>
      <w:pPr>
        <w:pStyle w:val="TOC2"/>
        <w:tabs>
          <w:tab w:val="right" w:leader="dot" w:pos="8844"/>
        </w:tabs>
        <w:spacing w:before="0" w:after="20" w:line="250" w:lineRule="auto"/>
        <w:ind w:left="300" w:right="400"/>
        <w:jc w:val="left"/>
      </w:pPr>
      <w:hyperlink w:anchor="_h55" w:history="1">
        <w:r>
          <w:rPr>
            <w:rFonts w:ascii="Barlow" w:hAnsi="Barlow" w:cs="Barlow" w:eastAsia="Barlow"/>
            <w:color w:val="0F2440"/>
            <w:sz w:val="19"/>
            <w:szCs w:val="19"/>
          </w:rPr>
          <w:t xml:space="preserve">A.3 Composição</w:t>
        </w:r>
        <w:r>
          <w:tab/>
        </w:r>
        <w:r>
          <w:rPr>
            <w:rFonts w:ascii="Barlow Condensed SemiBold" w:hAnsi="Barlow Condensed SemiBold" w:cs="Barlow Condensed SemiBold" w:eastAsia="Barlow Condensed SemiBold"/>
            <w:color w:val="007614"/>
            <w:sz w:val="19"/>
            <w:szCs w:val="19"/>
          </w:rPr>
          <w:t xml:space="preserve">34</w:t>
        </w:r>
      </w:hyperlink>
    </w:p>
    <w:p>
      <w:pPr>
        <w:pStyle w:val="TOC2"/>
        <w:tabs>
          <w:tab w:val="right" w:leader="dot" w:pos="8844"/>
        </w:tabs>
        <w:spacing w:before="0" w:after="20" w:line="250" w:lineRule="auto"/>
        <w:ind w:left="300" w:right="400"/>
        <w:jc w:val="left"/>
      </w:pPr>
      <w:hyperlink w:anchor="_h56" w:history="1">
        <w:r>
          <w:rPr>
            <w:rFonts w:ascii="Barlow" w:hAnsi="Barlow" w:cs="Barlow" w:eastAsia="Barlow"/>
            <w:color w:val="0F2440"/>
            <w:sz w:val="19"/>
            <w:szCs w:val="19"/>
          </w:rPr>
          <w:t xml:space="preserve">A.4 Critérios de exclusão aplicados</w:t>
        </w:r>
        <w:r>
          <w:tab/>
        </w:r>
        <w:r>
          <w:rPr>
            <w:rFonts w:ascii="Barlow Condensed SemiBold" w:hAnsi="Barlow Condensed SemiBold" w:cs="Barlow Condensed SemiBold" w:eastAsia="Barlow Condensed SemiBold"/>
            <w:color w:val="007614"/>
            <w:sz w:val="19"/>
            <w:szCs w:val="19"/>
          </w:rPr>
          <w:t xml:space="preserve">34</w:t>
        </w:r>
      </w:hyperlink>
    </w:p>
    <w:p>
      <w:pPr>
        <w:pStyle w:val="TOC2"/>
        <w:tabs>
          <w:tab w:val="right" w:leader="dot" w:pos="8844"/>
        </w:tabs>
        <w:spacing w:before="0" w:after="20" w:line="250" w:lineRule="auto"/>
        <w:ind w:left="300" w:right="400"/>
        <w:jc w:val="left"/>
      </w:pPr>
      <w:hyperlink w:anchor="_h57" w:history="1">
        <w:r>
          <w:rPr>
            <w:rFonts w:ascii="Barlow" w:hAnsi="Barlow" w:cs="Barlow" w:eastAsia="Barlow"/>
            <w:color w:val="0F2440"/>
            <w:sz w:val="19"/>
            <w:szCs w:val="19"/>
          </w:rPr>
          <w:t xml:space="preserve">A.5 Procedimento de cálculo</w:t>
        </w:r>
        <w:r>
          <w:tab/>
        </w:r>
        <w:r>
          <w:rPr>
            <w:rFonts w:ascii="Barlow Condensed SemiBold" w:hAnsi="Barlow Condensed SemiBold" w:cs="Barlow Condensed SemiBold" w:eastAsia="Barlow Condensed SemiBold"/>
            <w:color w:val="007614"/>
            <w:sz w:val="19"/>
            <w:szCs w:val="19"/>
          </w:rPr>
          <w:t xml:space="preserve">35</w:t>
        </w:r>
      </w:hyperlink>
    </w:p>
    <w:p>
      <w:pPr>
        <w:pStyle w:val="TOC2"/>
        <w:tabs>
          <w:tab w:val="right" w:leader="dot" w:pos="8844"/>
        </w:tabs>
        <w:spacing w:before="0" w:after="20" w:line="250" w:lineRule="auto"/>
        <w:ind w:left="300" w:right="400"/>
        <w:jc w:val="left"/>
      </w:pPr>
      <w:hyperlink w:anchor="_h58" w:history="1">
        <w:r>
          <w:rPr>
            <w:rFonts w:ascii="Barlow" w:hAnsi="Barlow" w:cs="Barlow" w:eastAsia="Barlow"/>
            <w:color w:val="0F2440"/>
            <w:sz w:val="19"/>
            <w:szCs w:val="19"/>
          </w:rPr>
          <w:t xml:space="preserve">A.6 Ponderação</w:t>
        </w:r>
        <w:r>
          <w:tab/>
        </w:r>
        <w:r>
          <w:rPr>
            <w:rFonts w:ascii="Barlow Condensed SemiBold" w:hAnsi="Barlow Condensed SemiBold" w:cs="Barlow Condensed SemiBold" w:eastAsia="Barlow Condensed SemiBold"/>
            <w:color w:val="007614"/>
            <w:sz w:val="19"/>
            <w:szCs w:val="19"/>
          </w:rPr>
          <w:t xml:space="preserve">35</w:t>
        </w:r>
      </w:hyperlink>
    </w:p>
    <w:p>
      <w:pPr>
        <w:pStyle w:val="TOC2"/>
        <w:tabs>
          <w:tab w:val="right" w:leader="dot" w:pos="8844"/>
        </w:tabs>
        <w:spacing w:before="0" w:after="20" w:line="250" w:lineRule="auto"/>
        <w:ind w:left="300" w:right="400"/>
        <w:jc w:val="left"/>
      </w:pPr>
      <w:hyperlink w:anchor="_h59" w:history="1">
        <w:r>
          <w:rPr>
            <w:rFonts w:ascii="Barlow" w:hAnsi="Barlow" w:cs="Barlow" w:eastAsia="Barlow"/>
            <w:color w:val="0F2440"/>
            <w:sz w:val="19"/>
            <w:szCs w:val="19"/>
          </w:rPr>
          <w:t xml:space="preserve">A.7 Tratamento da incerteza</w:t>
        </w:r>
        <w:r>
          <w:tab/>
        </w:r>
        <w:r>
          <w:rPr>
            <w:rFonts w:ascii="Barlow Condensed SemiBold" w:hAnsi="Barlow Condensed SemiBold" w:cs="Barlow Condensed SemiBold" w:eastAsia="Barlow Condensed SemiBold"/>
            <w:color w:val="007614"/>
            <w:sz w:val="19"/>
            <w:szCs w:val="19"/>
          </w:rPr>
          <w:t xml:space="preserve">35</w:t>
        </w:r>
      </w:hyperlink>
    </w:p>
    <w:p>
      <w:pPr>
        <w:pStyle w:val="TOC2"/>
        <w:tabs>
          <w:tab w:val="right" w:leader="dot" w:pos="8844"/>
        </w:tabs>
        <w:spacing w:before="0" w:after="20" w:line="250" w:lineRule="auto"/>
        <w:ind w:left="300" w:right="400"/>
        <w:jc w:val="left"/>
      </w:pPr>
      <w:hyperlink w:anchor="_h60" w:history="1">
        <w:r>
          <w:rPr>
            <w:rFonts w:ascii="Barlow" w:hAnsi="Barlow" w:cs="Barlow" w:eastAsia="Barlow"/>
            <w:color w:val="0F2440"/>
            <w:sz w:val="19"/>
            <w:szCs w:val="19"/>
          </w:rPr>
          <w:t xml:space="preserve">A.8 Meta-indicadores de qualidade</w:t>
        </w:r>
        <w:r>
          <w:tab/>
        </w:r>
        <w:r>
          <w:rPr>
            <w:rFonts w:ascii="Barlow Condensed SemiBold" w:hAnsi="Barlow Condensed SemiBold" w:cs="Barlow Condensed SemiBold" w:eastAsia="Barlow Condensed SemiBold"/>
            <w:color w:val="007614"/>
            <w:sz w:val="19"/>
            <w:szCs w:val="19"/>
          </w:rPr>
          <w:t xml:space="preserve">35</w:t>
        </w:r>
      </w:hyperlink>
    </w:p>
    <w:p>
      <w:pPr>
        <w:pStyle w:val="TOC2"/>
        <w:tabs>
          <w:tab w:val="right" w:leader="dot" w:pos="8844"/>
        </w:tabs>
        <w:spacing w:before="0" w:after="20" w:line="250" w:lineRule="auto"/>
        <w:ind w:left="300" w:right="400"/>
        <w:jc w:val="left"/>
      </w:pPr>
      <w:hyperlink w:anchor="_h61" w:history="1">
        <w:r>
          <w:rPr>
            <w:rFonts w:ascii="Barlow" w:hAnsi="Barlow" w:cs="Barlow" w:eastAsia="Barlow"/>
            <w:color w:val="0F2440"/>
            <w:sz w:val="19"/>
            <w:szCs w:val="19"/>
          </w:rPr>
          <w:t xml:space="preserve">A.9 Limitações</w:t>
        </w:r>
        <w:r>
          <w:tab/>
        </w:r>
        <w:r>
          <w:rPr>
            <w:rFonts w:ascii="Barlow Condensed SemiBold" w:hAnsi="Barlow Condensed SemiBold" w:cs="Barlow Condensed SemiBold" w:eastAsia="Barlow Condensed SemiBold"/>
            <w:color w:val="007614"/>
            <w:sz w:val="19"/>
            <w:szCs w:val="19"/>
          </w:rPr>
          <w:t xml:space="preserve">36</w:t>
        </w:r>
      </w:hyperlink>
    </w:p>
    <w:p>
      <w:pPr>
        <w:pStyle w:val="TOC2"/>
        <w:tabs>
          <w:tab w:val="right" w:leader="dot" w:pos="8844"/>
        </w:tabs>
        <w:spacing w:before="0" w:after="20" w:line="250" w:lineRule="auto"/>
        <w:ind w:left="300" w:right="400"/>
        <w:jc w:val="left"/>
      </w:pPr>
      <w:hyperlink w:anchor="_h62" w:history="1">
        <w:r>
          <w:rPr>
            <w:rFonts w:ascii="Barlow" w:hAnsi="Barlow" w:cs="Barlow" w:eastAsia="Barlow"/>
            <w:color w:val="0F2440"/>
            <w:sz w:val="19"/>
            <w:szCs w:val="19"/>
          </w:rPr>
          <w:t xml:space="preserve">A.10 Reprodutibilidade</w:t>
        </w:r>
        <w:r>
          <w:tab/>
        </w:r>
        <w:r>
          <w:rPr>
            <w:rFonts w:ascii="Barlow Condensed SemiBold" w:hAnsi="Barlow Condensed SemiBold" w:cs="Barlow Condensed SemiBold" w:eastAsia="Barlow Condensed SemiBold"/>
            <w:color w:val="007614"/>
            <w:sz w:val="19"/>
            <w:szCs w:val="19"/>
          </w:rPr>
          <w:t xml:space="preserve">36</w:t>
        </w:r>
      </w:hyperlink>
    </w:p>
    <w:p>
      <w:pPr>
        <w:pStyle w:val="TOC1"/>
        <w:tabs>
          <w:tab w:val="right" w:leader="dot" w:pos="8844"/>
        </w:tabs>
        <w:spacing w:before="110" w:after="30" w:line="250" w:lineRule="auto"/>
        <w:ind w:right="400"/>
        <w:jc w:val="left"/>
      </w:pPr>
      <w:hyperlink w:anchor="_h63" w:history="1">
        <w:r>
          <w:rPr>
            <w:rFonts w:ascii="Barlow Condensed SemiBold" w:hAnsi="Barlow Condensed SemiBold" w:cs="Barlow Condensed SemiBold" w:eastAsia="Barlow Condensed SemiBold"/>
            <w:color w:val="01366F"/>
            <w:sz w:val="19"/>
            <w:szCs w:val="19"/>
          </w:rPr>
          <w:t xml:space="preserve">ANEXO B — DICIONÁRIO DE VARIÁVEIS E INDICADORES</w:t>
        </w:r>
        <w:r>
          <w:tab/>
        </w:r>
        <w:r>
          <w:rPr>
            <w:rFonts w:ascii="Barlow Condensed SemiBold" w:hAnsi="Barlow Condensed SemiBold" w:cs="Barlow Condensed SemiBold" w:eastAsia="Barlow Condensed SemiBold"/>
            <w:color w:val="007614"/>
            <w:sz w:val="19"/>
            <w:szCs w:val="19"/>
          </w:rPr>
          <w:t xml:space="preserve">37</w:t>
        </w:r>
      </w:hyperlink>
    </w:p>
    <w:p>
      <w:pPr>
        <w:pStyle w:val="TOC1"/>
        <w:tabs>
          <w:tab w:val="right" w:leader="dot" w:pos="8844"/>
        </w:tabs>
        <w:spacing w:before="110" w:after="30" w:line="250" w:lineRule="auto"/>
        <w:ind w:right="400"/>
        <w:jc w:val="left"/>
      </w:pPr>
      <w:hyperlink w:anchor="_h64" w:history="1">
        <w:r>
          <w:rPr>
            <w:rFonts w:ascii="Barlow Condensed SemiBold" w:hAnsi="Barlow Condensed SemiBold" w:cs="Barlow Condensed SemiBold" w:eastAsia="Barlow Condensed SemiBold"/>
            <w:color w:val="01366F"/>
            <w:sz w:val="19"/>
            <w:szCs w:val="19"/>
          </w:rPr>
          <w:t xml:space="preserve">ANEXO C — REGISTRO DAS ALTERAÇÕES DA VERSÃO 1.0 PARA A 2.0</w:t>
        </w:r>
        <w:r>
          <w:tab/>
        </w:r>
        <w:r>
          <w:rPr>
            <w:rFonts w:ascii="Barlow Condensed SemiBold" w:hAnsi="Barlow Condensed SemiBold" w:cs="Barlow Condensed SemiBold" w:eastAsia="Barlow Condensed SemiBold"/>
            <w:color w:val="007614"/>
            <w:sz w:val="19"/>
            <w:szCs w:val="19"/>
          </w:rPr>
          <w:t xml:space="preserve">41</w:t>
        </w:r>
      </w:hyperlink>
      <w:r>
        <w:fldChar w:fldCharType="end"/>
      </w:r>
    </w:p>
    <w:p>
      <w:pPr>
        <w:sectPr>
          <w:headerReference w:type="default" r:id="rId13"/>
          <w:headerReference w:type="even" r:id="rId13"/>
          <w:footerReference w:type="default" r:id="rId12"/>
          <w:footerReference w:type="even" r:id="rId12"/>
          <w:type w:val="nextPage"/>
          <w:pgSz w:w="11906" w:h="16838"/>
          <w:pgMar w:top="1700" w:right="1531" w:bottom="1700" w:left="1531" w:header="850" w:footer="330" w:gutter="0"/>
          <w:cols w:space="720"/>
          <w:docGrid w:linePitch="360"/>
        </w:sectPr>
      </w:pPr>
    </w:p>
    <w:p>
      <w:pPr>
        <w:pStyle w:val="Heading1"/>
        <w:pBdr>
          <w:bottom w:val="single" w:sz="12" w:space="10" w:color="007614"/>
        </w:pBdr>
        <w:spacing w:before="120" w:after="380" w:line="600" w:lineRule="exact"/>
        <w:jc w:val="left"/>
      </w:pPr>
      <w:bookmarkStart w:id="1" w:name="_h0"/>
      <w:r>
        <w:rPr>
          <w:rFonts w:ascii="Barlow Condensed" w:hAnsi="Barlow Condensed" w:cs="Barlow Condensed" w:eastAsia="Barlow Condensed"/>
          <w:b/>
          <w:bCs/>
          <w:color w:val="007614"/>
          <w:sz w:val="52"/>
          <w:szCs w:val="52"/>
        </w:rPr>
        <w:t xml:space="preserve">1 </w:t>
      </w:r>
      <w:r>
        <w:rPr>
          <w:rFonts w:ascii="Barlow Condensed" w:hAnsi="Barlow Condensed" w:cs="Barlow Condensed" w:eastAsia="Barlow Condensed"/>
          <w:b/>
          <w:bCs/>
          <w:color w:val="01366F"/>
          <w:sz w:val="52"/>
          <w:szCs w:val="52"/>
        </w:rPr>
        <w:t xml:space="preserve">APRESENTAÇÃO E JUSTIFICATIVA</w:t>
      </w:r>
      <w:bookmarkEnd w:id="1"/>
    </w:p>
    <w:p>
      <w:pPr>
        <w:spacing w:before="0" w:after="140" w:line="300" w:lineRule="auto"/>
        <w:jc w:val="both"/>
      </w:pPr>
      <w:r>
        <w:rPr>
          <w:rFonts w:ascii="Barlow" w:hAnsi="Barlow" w:cs="Barlow" w:eastAsia="Barlow"/>
          <w:color w:val="0F2440"/>
          <w:sz w:val="20"/>
          <w:szCs w:val="20"/>
        </w:rPr>
        <w:t xml:space="preserve">A alocação de recursos e a priorização de territórios no Sistema Único de Saúde (SUS) pressupõem uma resposta a uma pergunta que o próprio sistema raramente formula de modo explícito: </w:t>
      </w:r>
      <w:r>
        <w:rPr>
          <w:rFonts w:ascii="Barlow SemiBold" w:hAnsi="Barlow SemiBold" w:cs="Barlow SemiBold" w:eastAsia="Barlow SemiBold"/>
          <w:color w:val="01366F"/>
          <w:sz w:val="20"/>
          <w:szCs w:val="20"/>
        </w:rPr>
        <w:t xml:space="preserve">onde a necessidade de saúde é maior?</w:t>
      </w:r>
      <w:r>
        <w:rPr>
          <w:rFonts w:ascii="Barlow" w:hAnsi="Barlow" w:cs="Barlow" w:eastAsia="Barlow"/>
          <w:color w:val="0F2440"/>
          <w:sz w:val="20"/>
          <w:szCs w:val="20"/>
        </w:rPr>
        <w:t xml:space="preserve"> Na ausência de uma métrica formal, a resposta tem sido dada por aproximações sucessivas (população residente, produção assistencial registrada, série histórica de gasto), todas as quais medem, em graus variados, a oferta já instalada, e não a necessidade que a antecede. O efeito acumulado dessa substituição é conhecido: a distribuição de recursos tende a reproduzir a distribuição pretérita, e a lei de cuidados inversos (HART, 1971) opera silenciosamente dentro de um sistema constitucionalmente universal.</w:t>
      </w:r>
    </w:p>
    <w:p>
      <w:pPr>
        <w:spacing w:before="0" w:after="140" w:line="300" w:lineRule="auto"/>
        <w:jc w:val="both"/>
      </w:pPr>
      <w:r>
        <w:rPr>
          <w:rFonts w:ascii="Barlow" w:hAnsi="Barlow" w:cs="Barlow" w:eastAsia="Barlow"/>
          <w:color w:val="0F2440"/>
          <w:sz w:val="20"/>
          <w:szCs w:val="20"/>
        </w:rPr>
        <w:t xml:space="preserve">Este projeto propõe a construção do Índice de Necessidade de Saúde (INS), em dois recortes: o municipal (INS-M), para os 5.570 municípios brasileiros, e o distrital (INS-DF), para as Regiões Administrativas do Distrito Federal. O INS é uma medida sintética, relativa e exógena ao sistema de saúde, destinada a apoiar a alocação de recursos, a pactuação interfederativa, o planejamento regional e a pesquisa sobre determinação social da saúde.</w:t>
      </w:r>
    </w:p>
    <w:p>
      <w:pPr>
        <w:spacing w:before="0" w:after="140" w:line="300" w:lineRule="auto"/>
        <w:jc w:val="both"/>
      </w:pPr>
      <w:r>
        <w:rPr>
          <w:rFonts w:ascii="Barlow" w:hAnsi="Barlow" w:cs="Barlow" w:eastAsia="Barlow"/>
          <w:color w:val="0F2440"/>
          <w:sz w:val="20"/>
          <w:szCs w:val="20"/>
        </w:rPr>
        <w:t xml:space="preserve">O Brasil dispõe hoje de bons instrumentos de mensuração de desvantagem social: o Índice Brasileiro de Privação (IBP), o GeoSES, o Índice de Vulnerabilidade Social (IVS) do Ipea e o Índice de Desenvolvimento Humano Municipal (IDHM) (ICHIHARA et al., 2018; BARROZO et al., 2020; COSTA; MARGUTI, 2015). Nenhum deles, porém, foi concebido para medir necessidade de saúde, e nenhum se atualiza entre censos. O INS não pretende substituí-los. Pretende ocupar o espaço que eles deliberadamente não ocupam: uma medida de necessidade, e não apenas de privação; atualizável anualmente, e não a cada década; e desenhada desde a origem para ser auditável por quem será por ela afetado.</w:t>
      </w:r>
    </w:p>
    <w:p>
      <w:pPr>
        <w:spacing w:before="0" w:after="140" w:line="300" w:lineRule="auto"/>
        <w:jc w:val="both"/>
      </w:pPr>
      <w:r>
        <w:rPr>
          <w:rFonts w:ascii="Barlow" w:hAnsi="Barlow" w:cs="Barlow" w:eastAsia="Barlow"/>
          <w:color w:val="0F2440"/>
          <w:sz w:val="20"/>
          <w:szCs w:val="20"/>
        </w:rPr>
        <w:t xml:space="preserve">O desenho metodológico segue a tradição de Carstairs, de soma de escores z padronizados com ponderação igual (CARSTAIRS; MORRIS, 1991), e a estende em dois pontos. Acrescenta uma dimensão demográfica, que é o que converte um índice de privação em um índice de necessidade. E substitui, onde há equivalente válido, o quesito censitário decenal pelo registro administrativo contínuo, o que permite ao índice acompanhar mudanças.</w:t>
      </w:r>
    </w:p>
    <w:p>
      <w:pPr>
        <w:spacing w:before="0" w:after="140" w:line="300" w:lineRule="auto"/>
        <w:jc w:val="both"/>
        <w:sectPr>
          <w:headerReference w:type="default" r:id="rId14"/>
          <w:headerReference w:type="even" r:id="rId15"/>
          <w:footerReference w:type="default" r:id="rId16"/>
          <w:footerReference w:type="even" r:id="rId17"/>
          <w:type w:val="nextPage"/>
          <w:pgSz w:w="11906" w:h="16838"/>
          <w:pgMar w:top="1474" w:right="1531" w:bottom="1814" w:left="1531" w:header="850" w:footer="330" w:gutter="0"/>
          <w:cols w:space="720"/>
          <w:docGrid w:linePitch="360"/>
        </w:sectPr>
      </w:pPr>
      <w:r>
        <w:rPr>
          <w:rFonts w:ascii="Barlow" w:hAnsi="Barlow" w:cs="Barlow" w:eastAsia="Barlow"/>
          <w:color w:val="0F2440"/>
          <w:sz w:val="20"/>
          <w:szCs w:val="20"/>
        </w:rPr>
        <w:t xml:space="preserve">O INS integra o sistema de leitura do Protocolo de Inteligência Territorial da PICAPS (FIOCRUZ BRASÍLIA, 2026b), ao lado do Painel de Vigilância Integrada. Os dois respondem a perguntas distintas e não são agregados entre si. Ao INS cabe a comparação entre territórios; ao Painel, o acompanhamento mensal das duas vigilâncias. Dentro de cada território, a leitura é feita sobre o mapa da cartografia social. A seção 3.8 trata dessa articulação.</w:t>
      </w:r>
    </w:p>
    <w:p>
      <w:pPr>
        <w:pStyle w:val="Heading1"/>
        <w:pBdr>
          <w:bottom w:val="single" w:sz="12" w:space="10" w:color="007614"/>
        </w:pBdr>
        <w:spacing w:before="120" w:after="380" w:line="600" w:lineRule="exact"/>
        <w:jc w:val="left"/>
      </w:pPr>
      <w:bookmarkStart w:id="2" w:name="_h1"/>
      <w:r>
        <w:rPr>
          <w:rFonts w:ascii="Barlow Condensed" w:hAnsi="Barlow Condensed" w:cs="Barlow Condensed" w:eastAsia="Barlow Condensed"/>
          <w:b/>
          <w:bCs/>
          <w:color w:val="007614"/>
          <w:sz w:val="52"/>
          <w:szCs w:val="52"/>
        </w:rPr>
        <w:t xml:space="preserve">2 </w:t>
      </w:r>
      <w:r>
        <w:rPr>
          <w:rFonts w:ascii="Barlow Condensed" w:hAnsi="Barlow Condensed" w:cs="Barlow Condensed" w:eastAsia="Barlow Condensed"/>
          <w:b/>
          <w:bCs/>
          <w:color w:val="01366F"/>
          <w:sz w:val="52"/>
          <w:szCs w:val="52"/>
        </w:rPr>
        <w:t xml:space="preserve">OBJETIVOS</w:t>
      </w:r>
      <w:bookmarkEnd w:id="2"/>
    </w:p>
    <w:p>
      <w:pPr>
        <w:pStyle w:val="Heading2"/>
        <w:keepNext/>
        <w:spacing w:before="340" w:after="120" w:line="264" w:lineRule="auto"/>
        <w:jc w:val="left"/>
      </w:pPr>
      <w:bookmarkStart w:id="3" w:name="_h2"/>
      <w:r>
        <w:rPr>
          <w:rFonts w:ascii="Barlow Condensed SemiBold" w:hAnsi="Barlow Condensed SemiBold" w:cs="Barlow Condensed SemiBold" w:eastAsia="Barlow Condensed SemiBold"/>
          <w:color w:val="007614"/>
          <w:sz w:val="30"/>
          <w:szCs w:val="30"/>
        </w:rPr>
        <w:t xml:space="preserve">2.1 Objetivo geral</w:t>
      </w:r>
      <w:bookmarkEnd w:id="3"/>
    </w:p>
    <w:p>
      <w:pPr>
        <w:spacing w:before="0" w:after="140" w:line="300" w:lineRule="auto"/>
        <w:jc w:val="both"/>
      </w:pPr>
      <w:r>
        <w:rPr>
          <w:rFonts w:ascii="Barlow" w:hAnsi="Barlow" w:cs="Barlow" w:eastAsia="Barlow"/>
          <w:color w:val="0F2440"/>
          <w:sz w:val="20"/>
          <w:szCs w:val="20"/>
        </w:rPr>
        <w:t xml:space="preserve">Construir, validar e documentar um índice sintético de necessidade de saúde para os municípios brasileiros e para as Regiões Administrativas do Distrito Federal, fundado exclusivamente em determinantes sociais e na composição demográfica, com atualização anual e protocolo de cálculo público e replicável.</w:t>
      </w:r>
    </w:p>
    <w:p>
      <w:pPr>
        <w:pStyle w:val="Heading2"/>
        <w:keepNext/>
        <w:spacing w:before="340" w:after="120" w:line="264" w:lineRule="auto"/>
        <w:jc w:val="left"/>
      </w:pPr>
      <w:bookmarkStart w:id="4" w:name="_h3"/>
      <w:r>
        <w:rPr>
          <w:rFonts w:ascii="Barlow Condensed SemiBold" w:hAnsi="Barlow Condensed SemiBold" w:cs="Barlow Condensed SemiBold" w:eastAsia="Barlow Condensed SemiBold"/>
          <w:color w:val="007614"/>
          <w:sz w:val="30"/>
          <w:szCs w:val="30"/>
        </w:rPr>
        <w:t xml:space="preserve">2.2 Objetivos específicos</w:t>
      </w:r>
      <w:bookmarkEnd w:id="4"/>
    </w:p>
    <w:p>
      <w:pPr>
        <w:pStyle w:val="ListParagraph"/>
        <w:numPr>
          <w:ilvl w:val="0"/>
          <w:numId w:val="11"/>
        </w:numPr>
        <w:spacing w:before="0" w:after="80" w:line="290" w:lineRule="auto"/>
        <w:jc w:val="both"/>
      </w:pPr>
      <w:r>
        <w:rPr>
          <w:rFonts w:ascii="Barlow" w:hAnsi="Barlow" w:cs="Barlow" w:eastAsia="Barlow"/>
          <w:color w:val="0F2440"/>
          <w:sz w:val="20"/>
          <w:szCs w:val="20"/>
        </w:rPr>
        <w:t xml:space="preserve">Estabelecer o marco conceitual de necessidade de saúde que orienta a seleção de variáveis, distinguindo-o dos conceitos vizinhos de privação, vulnerabilidade, demanda e risco.</w:t>
      </w:r>
    </w:p>
    <w:p>
      <w:pPr>
        <w:pStyle w:val="ListParagraph"/>
        <w:numPr>
          <w:ilvl w:val="0"/>
          <w:numId w:val="11"/>
        </w:numPr>
        <w:spacing w:before="0" w:after="80" w:line="290" w:lineRule="auto"/>
        <w:jc w:val="both"/>
      </w:pPr>
      <w:r>
        <w:rPr>
          <w:rFonts w:ascii="Barlow" w:hAnsi="Barlow" w:cs="Barlow" w:eastAsia="Barlow"/>
          <w:color w:val="0F2440"/>
          <w:sz w:val="20"/>
          <w:szCs w:val="20"/>
        </w:rPr>
        <w:t xml:space="preserve">Definir uma cesta parcimoniosa de indicadores exógenos ao sistema de saúde, organizados em dimensões teoricamente justificadas e avaliados segundo os critérios de qualidade da OCDE e de Jannuzzi.</w:t>
      </w:r>
    </w:p>
    <w:p>
      <w:pPr>
        <w:pStyle w:val="ListParagraph"/>
        <w:numPr>
          <w:ilvl w:val="0"/>
          <w:numId w:val="11"/>
        </w:numPr>
        <w:spacing w:before="0" w:after="80" w:line="290" w:lineRule="auto"/>
        <w:jc w:val="both"/>
      </w:pPr>
      <w:r>
        <w:rPr>
          <w:rFonts w:ascii="Barlow" w:hAnsi="Barlow" w:cs="Barlow" w:eastAsia="Barlow"/>
          <w:color w:val="0F2440"/>
          <w:sz w:val="20"/>
          <w:szCs w:val="20"/>
        </w:rPr>
        <w:t xml:space="preserve">Especificar o protocolo de cálculo, padronização, agregação e categorização, replicando e adaptando a técnica de Carstairs.</w:t>
      </w:r>
    </w:p>
    <w:p>
      <w:pPr>
        <w:pStyle w:val="ListParagraph"/>
        <w:numPr>
          <w:ilvl w:val="0"/>
          <w:numId w:val="11"/>
        </w:numPr>
        <w:spacing w:before="0" w:after="80" w:line="290" w:lineRule="auto"/>
        <w:jc w:val="both"/>
      </w:pPr>
      <w:r>
        <w:rPr>
          <w:rFonts w:ascii="Barlow" w:hAnsi="Barlow" w:cs="Barlow" w:eastAsia="Barlow"/>
          <w:color w:val="0F2440"/>
          <w:sz w:val="20"/>
          <w:szCs w:val="20"/>
        </w:rPr>
        <w:t xml:space="preserve">Estimar a incerteza do índice e sua sensibilidade às escolhas metodológicas.</w:t>
      </w:r>
    </w:p>
    <w:p>
      <w:pPr>
        <w:pStyle w:val="ListParagraph"/>
        <w:numPr>
          <w:ilvl w:val="0"/>
          <w:numId w:val="11"/>
        </w:numPr>
        <w:spacing w:before="0" w:after="80" w:line="290" w:lineRule="auto"/>
        <w:jc w:val="both"/>
      </w:pPr>
      <w:r>
        <w:rPr>
          <w:rFonts w:ascii="Barlow" w:hAnsi="Barlow" w:cs="Barlow" w:eastAsia="Barlow"/>
          <w:color w:val="0F2440"/>
          <w:sz w:val="20"/>
          <w:szCs w:val="20"/>
        </w:rPr>
        <w:t xml:space="preserve">Validar o índice contra desfechos de saúde reservados, corrigidos pela completude do registro de óbitos, e contra índices de privação estabelecidos.</w:t>
      </w:r>
    </w:p>
    <w:p>
      <w:pPr>
        <w:pStyle w:val="ListParagraph"/>
        <w:numPr>
          <w:ilvl w:val="0"/>
          <w:numId w:val="11"/>
        </w:numPr>
        <w:spacing w:before="0" w:after="80" w:line="290" w:lineRule="auto"/>
        <w:jc w:val="both"/>
      </w:pPr>
      <w:r>
        <w:rPr>
          <w:rFonts w:ascii="Barlow" w:hAnsi="Barlow" w:cs="Barlow" w:eastAsia="Barlow"/>
          <w:color w:val="0F2440"/>
          <w:sz w:val="20"/>
          <w:szCs w:val="20"/>
        </w:rPr>
        <w:t xml:space="preserve">Articular o INS ao Protocolo de Inteligência Territorial, que lê o interior de cada território sobre o mapa da cartografia social.</w:t>
      </w:r>
    </w:p>
    <w:p>
      <w:pPr>
        <w:pStyle w:val="ListParagraph"/>
        <w:numPr>
          <w:ilvl w:val="0"/>
          <w:numId w:val="11"/>
        </w:numPr>
        <w:spacing w:before="0" w:after="180" w:line="290" w:lineRule="auto"/>
        <w:jc w:val="both"/>
        <w:sectPr>
          <w:headerReference w:type="default" r:id="rId18"/>
          <w:headerReference w:type="even" r:id="rId15"/>
          <w:footerReference w:type="default" r:id="rId16"/>
          <w:footerReference w:type="even" r:id="rId17"/>
          <w:type w:val="nextPage"/>
          <w:pgSz w:w="11906" w:h="16838"/>
          <w:pgMar w:top="1474" w:right="1531" w:bottom="1814" w:left="1531" w:header="850" w:footer="330" w:gutter="0"/>
          <w:cols w:space="720"/>
          <w:docGrid w:linePitch="360"/>
        </w:sectPr>
      </w:pPr>
      <w:r>
        <w:rPr>
          <w:rFonts w:ascii="Barlow" w:hAnsi="Barlow" w:cs="Barlow" w:eastAsia="Barlow"/>
          <w:color w:val="0F2440"/>
          <w:sz w:val="20"/>
          <w:szCs w:val="20"/>
        </w:rPr>
        <w:t xml:space="preserve">Publicar nota metodológica, dicionário de variáveis e base de dados em acesso aberto.</w:t>
      </w:r>
    </w:p>
    <w:p>
      <w:pPr>
        <w:pStyle w:val="Heading1"/>
        <w:pBdr>
          <w:bottom w:val="single" w:sz="12" w:space="10" w:color="007614"/>
        </w:pBdr>
        <w:spacing w:before="120" w:after="380" w:line="600" w:lineRule="exact"/>
        <w:jc w:val="left"/>
      </w:pPr>
      <w:bookmarkStart w:id="5" w:name="_h4"/>
      <w:r>
        <w:rPr>
          <w:rFonts w:ascii="Barlow Condensed" w:hAnsi="Barlow Condensed" w:cs="Barlow Condensed" w:eastAsia="Barlow Condensed"/>
          <w:b/>
          <w:bCs/>
          <w:color w:val="007614"/>
          <w:sz w:val="52"/>
          <w:szCs w:val="52"/>
        </w:rPr>
        <w:t xml:space="preserve">3 </w:t>
      </w:r>
      <w:r>
        <w:rPr>
          <w:rFonts w:ascii="Barlow Condensed" w:hAnsi="Barlow Condensed" w:cs="Barlow Condensed" w:eastAsia="Barlow Condensed"/>
          <w:b/>
          <w:bCs/>
          <w:color w:val="01366F"/>
          <w:sz w:val="52"/>
          <w:szCs w:val="52"/>
        </w:rPr>
        <w:t xml:space="preserve">DISCUSSÃO TEÓRICO-METODOLÓGICA</w:t>
      </w:r>
      <w:bookmarkEnd w:id="5"/>
    </w:p>
    <w:p>
      <w:pPr>
        <w:pStyle w:val="Heading2"/>
        <w:keepNext/>
        <w:spacing w:before="340" w:after="120" w:line="264" w:lineRule="auto"/>
        <w:jc w:val="left"/>
      </w:pPr>
      <w:bookmarkStart w:id="6" w:name="_h5"/>
      <w:r>
        <w:rPr>
          <w:rFonts w:ascii="Barlow Condensed SemiBold" w:hAnsi="Barlow Condensed SemiBold" w:cs="Barlow Condensed SemiBold" w:eastAsia="Barlow Condensed SemiBold"/>
          <w:color w:val="007614"/>
          <w:sz w:val="30"/>
          <w:szCs w:val="30"/>
        </w:rPr>
        <w:t xml:space="preserve">3.1 Necessidade de saúde: o conceito e o que ele exclui</w:t>
      </w:r>
      <w:bookmarkEnd w:id="6"/>
    </w:p>
    <w:p>
      <w:pPr>
        <w:spacing w:before="0" w:after="140" w:line="300" w:lineRule="auto"/>
        <w:jc w:val="both"/>
      </w:pPr>
      <w:r>
        <w:rPr>
          <w:rFonts w:ascii="Barlow" w:hAnsi="Barlow" w:cs="Barlow" w:eastAsia="Barlow"/>
          <w:color w:val="0F2440"/>
          <w:sz w:val="20"/>
          <w:szCs w:val="20"/>
        </w:rPr>
        <w:t xml:space="preserve">Necessidade de saúde não é conceito autoevidente. A taxonomia de Bradshaw (1972) distingue ao menos quatro acepções, que a construção de um índice precisa separar. A </w:t>
      </w:r>
      <w:r>
        <w:rPr>
          <w:rFonts w:ascii="Barlow SemiBold" w:hAnsi="Barlow SemiBold" w:cs="Barlow SemiBold" w:eastAsia="Barlow SemiBold"/>
          <w:color w:val="01366F"/>
          <w:sz w:val="20"/>
          <w:szCs w:val="20"/>
        </w:rPr>
        <w:t xml:space="preserve">necessidade normativa</w:t>
      </w:r>
      <w:r>
        <w:rPr>
          <w:rFonts w:ascii="Barlow" w:hAnsi="Barlow" w:cs="Barlow" w:eastAsia="Barlow"/>
          <w:color w:val="0F2440"/>
          <w:sz w:val="20"/>
          <w:szCs w:val="20"/>
        </w:rPr>
        <w:t xml:space="preserve"> é a definida por especialistas a partir de padrões técnicos. A </w:t>
      </w:r>
      <w:r>
        <w:rPr>
          <w:rFonts w:ascii="Barlow SemiBold" w:hAnsi="Barlow SemiBold" w:cs="Barlow SemiBold" w:eastAsia="Barlow SemiBold"/>
          <w:color w:val="01366F"/>
          <w:sz w:val="20"/>
          <w:szCs w:val="20"/>
        </w:rPr>
        <w:t xml:space="preserve">necessidade sentida</w:t>
      </w:r>
      <w:r>
        <w:rPr>
          <w:rFonts w:ascii="Barlow" w:hAnsi="Barlow" w:cs="Barlow" w:eastAsia="Barlow"/>
          <w:color w:val="0F2440"/>
          <w:sz w:val="20"/>
          <w:szCs w:val="20"/>
        </w:rPr>
        <w:t xml:space="preserve"> é a percebida pelo próprio sujeito. A </w:t>
      </w:r>
      <w:r>
        <w:rPr>
          <w:rFonts w:ascii="Barlow SemiBold" w:hAnsi="Barlow SemiBold" w:cs="Barlow SemiBold" w:eastAsia="Barlow SemiBold"/>
          <w:color w:val="01366F"/>
          <w:sz w:val="20"/>
          <w:szCs w:val="20"/>
        </w:rPr>
        <w:t xml:space="preserve">necessidade expressa</w:t>
      </w:r>
      <w:r>
        <w:rPr>
          <w:rFonts w:ascii="Barlow" w:hAnsi="Barlow" w:cs="Barlow" w:eastAsia="Barlow"/>
          <w:color w:val="0F2440"/>
          <w:sz w:val="20"/>
          <w:szCs w:val="20"/>
        </w:rPr>
        <w:t xml:space="preserve"> é a fração da sentida que se converte em procura por serviço. A </w:t>
      </w:r>
      <w:r>
        <w:rPr>
          <w:rFonts w:ascii="Barlow SemiBold" w:hAnsi="Barlow SemiBold" w:cs="Barlow SemiBold" w:eastAsia="Barlow SemiBold"/>
          <w:color w:val="01366F"/>
          <w:sz w:val="20"/>
          <w:szCs w:val="20"/>
        </w:rPr>
        <w:t xml:space="preserve">necessidade comparativa</w:t>
      </w:r>
      <w:r>
        <w:rPr>
          <w:rFonts w:ascii="Barlow" w:hAnsi="Barlow" w:cs="Barlow" w:eastAsia="Barlow"/>
          <w:color w:val="0F2440"/>
          <w:sz w:val="20"/>
          <w:szCs w:val="20"/>
        </w:rPr>
        <w:t xml:space="preserve"> é a inferida da diferença entre grupos semelhantes que recebem cuidados desiguais.</w:t>
      </w:r>
    </w:p>
    <w:p>
      <w:pPr>
        <w:spacing w:before="0" w:after="140" w:line="300" w:lineRule="auto"/>
        <w:jc w:val="both"/>
      </w:pPr>
      <w:r>
        <w:rPr>
          <w:rFonts w:ascii="Barlow" w:hAnsi="Barlow" w:cs="Barlow" w:eastAsia="Barlow"/>
          <w:color w:val="0F2440"/>
          <w:sz w:val="20"/>
          <w:szCs w:val="20"/>
        </w:rPr>
        <w:t xml:space="preserve">Um índice territorial não mede nenhuma delas diretamente. O que ele mede é a </w:t>
      </w:r>
      <w:r>
        <w:rPr>
          <w:rFonts w:ascii="Barlow SemiBold" w:hAnsi="Barlow SemiBold" w:cs="Barlow SemiBold" w:eastAsia="Barlow SemiBold"/>
          <w:color w:val="01366F"/>
          <w:sz w:val="20"/>
          <w:szCs w:val="20"/>
        </w:rPr>
        <w:t xml:space="preserve">necessidade potencial</w:t>
      </w:r>
      <w:r>
        <w:rPr>
          <w:rFonts w:ascii="Barlow" w:hAnsi="Barlow" w:cs="Barlow" w:eastAsia="Barlow"/>
          <w:color w:val="0F2440"/>
          <w:sz w:val="20"/>
          <w:szCs w:val="20"/>
        </w:rPr>
        <w:t xml:space="preserve">: o volume e a composição de cuidado que a estrutura social e demográfica de um território tende a produzir, independentemente de esse cuidado ser procurado, ofertado ou consumido. Essa restrição deve ser enunciada como tal. É também a propriedade que torna o índice útil para alocação, porque a demanda expressa é enviesada pela oferta existente, e alocar por demanda expressa é alocar por oferta pretérita.</w:t>
      </w:r>
    </w:p>
    <w:p>
      <w:pPr>
        <w:spacing w:before="0" w:after="140" w:line="300" w:lineRule="auto"/>
        <w:jc w:val="both"/>
      </w:pPr>
      <w:r>
        <w:rPr>
          <w:rFonts w:ascii="Barlow" w:hAnsi="Barlow" w:cs="Barlow" w:eastAsia="Barlow"/>
          <w:color w:val="0F2440"/>
          <w:sz w:val="20"/>
          <w:szCs w:val="20"/>
        </w:rPr>
        <w:t xml:space="preserve">Duas consequências decorrem dessa definição e organizam todo o projeto. A primeira é que a necessidade potencial é função de determinantes sociais e da composição demográfica, e não de desfechos: o adoecimento é efeito da necessidade, não a necessidade. A segunda é que a oferta instalada não pode integrar a medida: se integrasse, um município mais bem servido apareceria como menos necessitado justamente por ser mais bem servido.</w:t>
      </w:r>
    </w:p>
    <w:p>
      <w:pPr>
        <w:spacing w:before="0" w:after="140" w:line="300" w:lineRule="auto"/>
        <w:jc w:val="both"/>
      </w:pPr>
      <w:r>
        <w:rPr>
          <w:rFonts w:ascii="Barlow" w:hAnsi="Barlow" w:cs="Barlow" w:eastAsia="Barlow"/>
          <w:color w:val="0F2440"/>
          <w:sz w:val="20"/>
          <w:szCs w:val="20"/>
        </w:rPr>
        <w:t xml:space="preserve">O INS distingue-se, ainda, de três conceitos vizinhos. </w:t>
      </w:r>
      <w:r>
        <w:rPr>
          <w:rFonts w:ascii="Barlow SemiBold" w:hAnsi="Barlow SemiBold" w:cs="Barlow SemiBold" w:eastAsia="Barlow SemiBold"/>
          <w:color w:val="01366F"/>
          <w:sz w:val="20"/>
          <w:szCs w:val="20"/>
        </w:rPr>
        <w:t xml:space="preserve">Privação</w:t>
      </w:r>
      <w:r>
        <w:rPr>
          <w:rFonts w:ascii="Barlow" w:hAnsi="Barlow" w:cs="Barlow" w:eastAsia="Barlow"/>
          <w:color w:val="0F2440"/>
          <w:sz w:val="20"/>
          <w:szCs w:val="20"/>
        </w:rPr>
        <w:t xml:space="preserve"> é o estado de desvantagem material e social em relação à comunidade de referência (TOWNSEND; PHILLIMORE; BEATTIE, 1988); o INS a inclui, mas a ela acrescenta a composição demográfica. </w:t>
      </w:r>
      <w:r>
        <w:rPr>
          <w:rFonts w:ascii="Barlow SemiBold" w:hAnsi="Barlow SemiBold" w:cs="Barlow SemiBold" w:eastAsia="Barlow SemiBold"/>
          <w:color w:val="01366F"/>
          <w:sz w:val="20"/>
          <w:szCs w:val="20"/>
        </w:rPr>
        <w:t xml:space="preserve">Vulnerabilidade territorial</w:t>
      </w:r>
      <w:r>
        <w:rPr>
          <w:rFonts w:ascii="Barlow" w:hAnsi="Barlow" w:cs="Barlow" w:eastAsia="Barlow"/>
          <w:color w:val="0F2440"/>
          <w:sz w:val="20"/>
          <w:szCs w:val="20"/>
        </w:rPr>
        <w:t xml:space="preserve"> é a probabilidade de dano diante de uma ameaça, dada a exposição do lugar e a sensibilidade da população; é lida dentro do território, e não pelo INS. </w:t>
      </w:r>
      <w:r>
        <w:rPr>
          <w:rFonts w:ascii="Barlow SemiBold" w:hAnsi="Barlow SemiBold" w:cs="Barlow SemiBold" w:eastAsia="Barlow SemiBold"/>
          <w:color w:val="01366F"/>
          <w:sz w:val="20"/>
          <w:szCs w:val="20"/>
        </w:rPr>
        <w:t xml:space="preserve">Risco</w:t>
      </w:r>
      <w:r>
        <w:rPr>
          <w:rFonts w:ascii="Barlow" w:hAnsi="Barlow" w:cs="Barlow" w:eastAsia="Barlow"/>
          <w:color w:val="0F2440"/>
          <w:sz w:val="20"/>
          <w:szCs w:val="20"/>
        </w:rPr>
        <w:t xml:space="preserve"> combina vulnerabilidade com ameaça e capacidade de resposta (UNDRR, 2017) e também não é objeto do índice.</w:t>
      </w:r>
    </w:p>
    <w:p>
      <w:pPr>
        <w:pStyle w:val="Heading2"/>
        <w:keepNext/>
        <w:spacing w:before="340" w:after="120" w:line="264" w:lineRule="auto"/>
        <w:jc w:val="left"/>
      </w:pPr>
      <w:bookmarkStart w:id="7" w:name="_h6"/>
      <w:r>
        <w:rPr>
          <w:rFonts w:ascii="Barlow Condensed SemiBold" w:hAnsi="Barlow Condensed SemiBold" w:cs="Barlow Condensed SemiBold" w:eastAsia="Barlow Condensed SemiBold"/>
          <w:color w:val="007614"/>
          <w:sz w:val="30"/>
          <w:szCs w:val="30"/>
        </w:rPr>
        <w:t xml:space="preserve">3.2 A tradição dos índices de privação em pequenas áreas</w:t>
      </w:r>
      <w:bookmarkEnd w:id="7"/>
    </w:p>
    <w:p>
      <w:pPr>
        <w:spacing w:before="0" w:after="140" w:line="300" w:lineRule="auto"/>
        <w:jc w:val="both"/>
      </w:pPr>
      <w:r>
        <w:rPr>
          <w:rFonts w:ascii="Barlow" w:hAnsi="Barlow" w:cs="Barlow" w:eastAsia="Barlow"/>
          <w:color w:val="0F2440"/>
          <w:sz w:val="20"/>
          <w:szCs w:val="20"/>
        </w:rPr>
        <w:t xml:space="preserve">A mensuração de desvantagem territorial para fins de alocação em saúde tem genealogia definida. Jarman (1983) construiu o </w:t>
      </w:r>
      <w:r>
        <w:rPr>
          <w:rFonts w:ascii="Barlow" w:hAnsi="Barlow" w:cs="Barlow" w:eastAsia="Barlow"/>
          <w:i/>
          <w:iCs/>
          <w:color w:val="0F2440"/>
          <w:sz w:val="20"/>
          <w:szCs w:val="20"/>
        </w:rPr>
        <w:t xml:space="preserve">underprivileged area score</w:t>
      </w:r>
      <w:r>
        <w:rPr>
          <w:rFonts w:ascii="Barlow" w:hAnsi="Barlow" w:cs="Barlow" w:eastAsia="Barlow"/>
          <w:color w:val="0F2440"/>
          <w:sz w:val="20"/>
          <w:szCs w:val="20"/>
        </w:rPr>
        <w:t xml:space="preserve"> para distribuir recursos na atenção primária inglesa. Townsend, Phillimore e Beattie (1988) formalizaram o conceito de privação material como estado observável de desvantagem relativa à comunidade a que o indivíduo pertence. Carstairs e Morris (1991) fixaram a técnica que se tornou padrão: seleção parcimoniosa de variáveis censitárias (quatro, no índice original), padronização por escore z, soma com pesos iguais e classificação em quantis. O </w:t>
      </w:r>
      <w:r>
        <w:rPr>
          <w:rFonts w:ascii="Barlow" w:hAnsi="Barlow" w:cs="Barlow" w:eastAsia="Barlow"/>
          <w:i/>
          <w:iCs/>
          <w:color w:val="0F2440"/>
          <w:sz w:val="20"/>
          <w:szCs w:val="20"/>
        </w:rPr>
        <w:t xml:space="preserve">Index of Multiple Deprivation</w:t>
      </w:r>
      <w:r>
        <w:rPr>
          <w:rFonts w:ascii="Barlow" w:hAnsi="Barlow" w:cs="Barlow" w:eastAsia="Barlow"/>
          <w:color w:val="0F2440"/>
          <w:sz w:val="20"/>
          <w:szCs w:val="20"/>
        </w:rPr>
        <w:t xml:space="preserve"> inglês institucionalizou a família, ao custo de abandonar a parcimônia, com dezenas de indicadores em sete domínios, em troca de ponderação explícita e negociada.</w:t>
      </w:r>
    </w:p>
    <w:p>
      <w:pPr>
        <w:spacing w:before="0" w:after="140" w:line="300" w:lineRule="auto"/>
        <w:jc w:val="both"/>
      </w:pPr>
      <w:r>
        <w:rPr>
          <w:rFonts w:ascii="Barlow" w:hAnsi="Barlow" w:cs="Barlow" w:eastAsia="Barlow"/>
          <w:color w:val="0F2440"/>
          <w:sz w:val="20"/>
          <w:szCs w:val="20"/>
        </w:rPr>
        <w:t xml:space="preserve">O que essa tradição tem em comum, e o que a distingue de índices de desenvolvimento como o IDHM, é a finalidade: ela não nasceu de um interesse descritivo pela estratificação social, mas do problema prático de repartir recursos públicos entre territórios de um sistema universal (ALLIK et al., 2020a). O INS inscreve-se nessa linhagem e herda dela três compromissos: parcimônia, transparência do procedimento e auditabilidade por terceiros.</w:t>
      </w:r>
    </w:p>
    <w:p>
      <w:pPr>
        <w:pStyle w:val="Heading2"/>
        <w:keepNext/>
        <w:spacing w:before="340" w:after="120" w:line="264" w:lineRule="auto"/>
        <w:jc w:val="left"/>
      </w:pPr>
      <w:bookmarkStart w:id="8" w:name="_h7"/>
      <w:r>
        <w:rPr>
          <w:rFonts w:ascii="Barlow Condensed SemiBold" w:hAnsi="Barlow Condensed SemiBold" w:cs="Barlow Condensed SemiBold" w:eastAsia="Barlow Condensed SemiBold"/>
          <w:color w:val="007614"/>
          <w:sz w:val="30"/>
          <w:szCs w:val="30"/>
        </w:rPr>
        <w:t xml:space="preserve">3.3 A escolha central: exogeneidade</w:t>
      </w:r>
      <w:bookmarkEnd w:id="8"/>
    </w:p>
    <w:p>
      <w:pPr>
        <w:spacing w:before="0" w:after="140" w:line="300" w:lineRule="auto"/>
        <w:jc w:val="both"/>
      </w:pPr>
      <w:r>
        <w:rPr>
          <w:rFonts w:ascii="Barlow" w:hAnsi="Barlow" w:cs="Barlow" w:eastAsia="Barlow"/>
          <w:color w:val="0F2440"/>
          <w:sz w:val="20"/>
          <w:szCs w:val="20"/>
        </w:rPr>
        <w:t xml:space="preserve">A decisão estruturante deste projeto é construir o INS exclusivamente sobre determinantes sociais e composição demográfica, excluindo do escore toda variável de morbidade, mortalidade e oferta assistencial. A escolha tem três fundamentos distintos, e convém separá-los, porque cada um a sustenta por conta própria.</w:t>
      </w:r>
    </w:p>
    <w:p>
      <w:pPr>
        <w:spacing w:before="0" w:after="140" w:line="300" w:lineRule="auto"/>
        <w:jc w:val="both"/>
      </w:pPr>
      <w:r>
        <w:rPr>
          <w:rFonts w:ascii="Barlow" w:hAnsi="Barlow" w:cs="Barlow" w:eastAsia="Barlow"/>
          <w:color w:val="0F2440"/>
          <w:sz w:val="20"/>
          <w:szCs w:val="20"/>
        </w:rPr>
        <w:t xml:space="preserve">O primeiro é </w:t>
      </w:r>
      <w:r>
        <w:rPr>
          <w:rFonts w:ascii="Barlow SemiBold" w:hAnsi="Barlow SemiBold" w:cs="Barlow SemiBold" w:eastAsia="Barlow SemiBold"/>
          <w:color w:val="01366F"/>
          <w:sz w:val="20"/>
          <w:szCs w:val="20"/>
        </w:rPr>
        <w:t xml:space="preserve">lógico</w:t>
      </w:r>
      <w:r>
        <w:rPr>
          <w:rFonts w:ascii="Barlow" w:hAnsi="Barlow" w:cs="Barlow" w:eastAsia="Barlow"/>
          <w:color w:val="0F2440"/>
          <w:sz w:val="20"/>
          <w:szCs w:val="20"/>
        </w:rPr>
        <w:t xml:space="preserve">. Um índice que contém taxas de mortalidade não pode ser usado para predizer mortalidade sem circularidade: a variável explicativa contém a variável explicada. Um índice construído sobre determinantes permanece disponível como variável independente para a predição de múltiplos desfechos (mortalidade na infância, internações por condições sensíveis à atenção primária, incidência de tuberculose, mortalidade prematura por doenças crônicas), sem que nenhum deles esteja embutido na medida.</w:t>
      </w:r>
    </w:p>
    <w:p>
      <w:pPr>
        <w:spacing w:before="0" w:after="140" w:line="300" w:lineRule="auto"/>
        <w:jc w:val="both"/>
      </w:pPr>
      <w:r>
        <w:rPr>
          <w:rFonts w:ascii="Barlow" w:hAnsi="Barlow" w:cs="Barlow" w:eastAsia="Barlow"/>
          <w:color w:val="0F2440"/>
          <w:sz w:val="20"/>
          <w:szCs w:val="20"/>
        </w:rPr>
        <w:t xml:space="preserve">O segundo é </w:t>
      </w:r>
      <w:r>
        <w:rPr>
          <w:rFonts w:ascii="Barlow SemiBold" w:hAnsi="Barlow SemiBold" w:cs="Barlow SemiBold" w:eastAsia="Barlow SemiBold"/>
          <w:color w:val="01366F"/>
          <w:sz w:val="20"/>
          <w:szCs w:val="20"/>
        </w:rPr>
        <w:t xml:space="preserve">normativo</w:t>
      </w:r>
      <w:r>
        <w:rPr>
          <w:rFonts w:ascii="Barlow" w:hAnsi="Barlow" w:cs="Barlow" w:eastAsia="Barlow"/>
          <w:color w:val="0F2440"/>
          <w:sz w:val="20"/>
          <w:szCs w:val="20"/>
        </w:rPr>
        <w:t xml:space="preserve"> e diz respeito à oferta. Indicadores de leitos, unidades básicas, equipes de Saúde da Família ou cobertura vacinal medem a resposta instalada, não a necessidade. Incorporá-los inverte o sentido do índice. A recomendação já registrada no Relatório INS/SES-DF (SECRETARIA DE ESTADO DE SAÚDE DO DISTRITO FEDERAL, [s.d.]), de realocar esses indicadores a uma camada complementar de Oferta e Cobertura, que se cruza com o índice na análise de lacunas mas não o compõe, é integralmente mantida.</w:t>
      </w:r>
    </w:p>
    <w:p>
      <w:pPr>
        <w:spacing w:before="0" w:after="140" w:line="300" w:lineRule="auto"/>
        <w:jc w:val="both"/>
      </w:pPr>
      <w:r>
        <w:rPr>
          <w:rFonts w:ascii="Barlow" w:hAnsi="Barlow" w:cs="Barlow" w:eastAsia="Barlow"/>
          <w:color w:val="0F2440"/>
          <w:sz w:val="20"/>
          <w:szCs w:val="20"/>
        </w:rPr>
        <w:t xml:space="preserve">O terceiro é </w:t>
      </w:r>
      <w:r>
        <w:rPr>
          <w:rFonts w:ascii="Barlow SemiBold" w:hAnsi="Barlow SemiBold" w:cs="Barlow SemiBold" w:eastAsia="Barlow SemiBold"/>
          <w:color w:val="01366F"/>
          <w:sz w:val="20"/>
          <w:szCs w:val="20"/>
        </w:rPr>
        <w:t xml:space="preserve">empírico</w:t>
      </w:r>
      <w:r>
        <w:rPr>
          <w:rFonts w:ascii="Barlow" w:hAnsi="Barlow" w:cs="Barlow" w:eastAsia="Barlow"/>
          <w:color w:val="0F2440"/>
          <w:sz w:val="20"/>
          <w:szCs w:val="20"/>
        </w:rPr>
        <w:t xml:space="preserve">, específico do recorte municipal brasileiro, e é tratado na seção seguinte.</w:t>
      </w:r>
    </w:p>
    <w:p>
      <w:pPr>
        <w:pStyle w:val="Heading2"/>
        <w:keepNext/>
        <w:spacing w:before="340" w:after="120" w:line="264" w:lineRule="auto"/>
        <w:jc w:val="left"/>
      </w:pPr>
      <w:bookmarkStart w:id="9" w:name="_h8"/>
      <w:r>
        <w:rPr>
          <w:rFonts w:ascii="Barlow Condensed SemiBold" w:hAnsi="Barlow Condensed SemiBold" w:cs="Barlow Condensed SemiBold" w:eastAsia="Barlow Condensed SemiBold"/>
          <w:color w:val="007614"/>
          <w:sz w:val="30"/>
          <w:szCs w:val="30"/>
        </w:rPr>
        <w:t xml:space="preserve">3.4 O erro de medida diferencial: por que a mortalidade não pode entrar no escore</w:t>
      </w:r>
      <w:bookmarkEnd w:id="9"/>
    </w:p>
    <w:p>
      <w:pPr>
        <w:spacing w:before="0" w:after="140" w:line="300" w:lineRule="auto"/>
        <w:jc w:val="both"/>
      </w:pPr>
      <w:r>
        <w:rPr>
          <w:rFonts w:ascii="Barlow" w:hAnsi="Barlow" w:cs="Barlow" w:eastAsia="Barlow"/>
          <w:color w:val="0F2440"/>
          <w:sz w:val="20"/>
          <w:szCs w:val="20"/>
        </w:rPr>
        <w:t xml:space="preserve">Há um argumento contra a inclusão de indicadores de mortalidade em um índice municipal de necessidade que independe da discussão sobre endogeneidade: no Brasil, a qualidade do registro de óbitos é ela própria função da privação do município.</w:t>
      </w:r>
    </w:p>
    <w:p>
      <w:pPr>
        <w:spacing w:before="0" w:after="140" w:line="300" w:lineRule="auto"/>
        <w:jc w:val="both"/>
      </w:pPr>
      <w:r>
        <w:rPr>
          <w:rFonts w:ascii="Barlow" w:hAnsi="Barlow" w:cs="Barlow" w:eastAsia="Barlow"/>
          <w:color w:val="0F2440"/>
          <w:sz w:val="20"/>
          <w:szCs w:val="20"/>
        </w:rPr>
        <w:t xml:space="preserve">Diógenes et al. (2025), comparando a contagem de óbitos do Sistema de Informações sobre Mortalidade (SIM) com a do Censo 2010 para o período de referência censitário, verificaram que, no agregado nacional, o SIM captou 7,75% mais óbitos que o Censo, mas que, na Região Norte, registrou apenas 91,12% dos óbitos captados pelo Censo. A análise espacial por índice local de associação de Moran bivariado mostrou que os agrupamentos em que o Censo supera o SIM se concentram nos municípios mais privados, com explicação atribuída à infraestrutura dos órgãos municipais de saúde e à presença de cartório. A relação entre privação e cobertura do registro de óbitos nas menores áreas geográficas do país foi documentada também por Rameh et al. (2025).</w:t>
      </w:r>
    </w:p>
    <w:p>
      <w:pPr>
        <w:spacing w:before="0" w:after="140" w:line="300" w:lineRule="auto"/>
        <w:jc w:val="both"/>
      </w:pPr>
      <w:r>
        <w:rPr>
          <w:rFonts w:ascii="Barlow" w:hAnsi="Barlow" w:cs="Barlow" w:eastAsia="Barlow"/>
          <w:color w:val="0F2440"/>
          <w:sz w:val="20"/>
          <w:szCs w:val="20"/>
        </w:rPr>
        <w:t xml:space="preserve">A consequência para o desenho do índice é direta. Incluir taxas de mortalidade no escore introduz um erro de medida diferencial correlacionado com o próprio construto: os municípios mais privados, que são os de maior necessidade, aparecem com mortalidade artificialmente baixa porque registram pior. O índice subestimaria sistematicamente a necessidade exatamente onde ela é maior, e o faria de modo invisível ao usuário final. Nenhum ajuste de ponderação corrige esse viés. A correção exigiria modelagem bayesiana de completude por município, procedimento tecnicamente disponível, mas incompatível com a atualização anual e com a auditabilidade que um instrumento de alocação interfederativa precisa ter.</w:t>
      </w:r>
    </w:p>
    <w:p>
      <w:pPr>
        <w:spacing w:before="0" w:after="140" w:line="300" w:lineRule="auto"/>
        <w:jc w:val="both"/>
      </w:pPr>
      <w:r>
        <w:rPr>
          <w:rFonts w:ascii="Barlow" w:hAnsi="Barlow" w:cs="Barlow" w:eastAsia="Barlow"/>
          <w:color w:val="0F2440"/>
          <w:sz w:val="20"/>
          <w:szCs w:val="20"/>
        </w:rPr>
        <w:t xml:space="preserve">Some-se o problema dos pequenos números. Populações pequenas, com ampla variabilidade aleatória nas mortes registradas, e registro vital incompleto tornam as estimativas de mortalidade em pequenas áreas um desafio (GONZAGA et al., 2025). Em municípios de poucos milhares de habitantes, mortalidade materna, mortalidade infantil e incidência de agravos raros produzem taxas dominadas por variação estocástica. Um índice que se move por flutuação aleatória não é sensível: é ruidoso.</w:t>
      </w:r>
    </w:p>
    <w:p>
      <w:pPr>
        <w:spacing w:before="0" w:after="140" w:line="300" w:lineRule="auto"/>
        <w:jc w:val="both"/>
      </w:pPr>
      <w:r>
        <w:rPr>
          <w:rFonts w:ascii="Barlow" w:hAnsi="Barlow" w:cs="Barlow" w:eastAsia="Barlow"/>
          <w:color w:val="0F2440"/>
          <w:sz w:val="20"/>
          <w:szCs w:val="20"/>
        </w:rPr>
        <w:t xml:space="preserve">Decorre daí uma vantagem estrutural do desenho proposto. Como nenhum indicador da cesta depende de eventos raros (todos são proporções sobre denominadores populacionais amplos), a instabilidade estocástica que inviabiliza indicadores epidemiológicos em municípios pequenos não incide. Um índice construído sobre determinantes é mais estável em pequenas populações do que um construído sobre desfechos.</w:t>
      </w:r>
    </w:p>
    <w:p>
      <w:pPr>
        <w:spacing w:before="0" w:after="140" w:line="300" w:lineRule="auto"/>
        <w:jc w:val="both"/>
      </w:pPr>
      <w:r>
        <w:rPr>
          <w:rFonts w:ascii="Barlow" w:hAnsi="Barlow" w:cs="Barlow" w:eastAsia="Barlow"/>
          <w:color w:val="0F2440"/>
          <w:sz w:val="20"/>
          <w:szCs w:val="20"/>
        </w:rPr>
        <w:t xml:space="preserve">Excluir a mortalidade do escore só é defensável se o gradiente entre privação e desfecho for forte e estável o bastante para que o determinante substitua o desfecho como base de alocação. A literatura recente mostra que os percentuais de óbitos em menores de cinco anos por doenças infecciosas e parasitárias, respiratórias e nutricionais crescem monotonicamente com o nível de privação (PINTO JÚNIOR et al., 2025), e que a mortalidade por doenças crônicas não transmissíveis acompanha o mesmo gradiente (MALTA et al., 2025). O determinante prediz o desfecho com margem suficiente para substituí-lo, e o faz com dado mais bem medido. Essa evidência é também especificação do plano de validação (seção 6): o INS deve ser submetido ao mesmo teste, com os mesmos desfechos e a mesma métrica de fração atribuível.</w:t>
      </w:r>
    </w:p>
    <w:p>
      <w:pPr>
        <w:pStyle w:val="Heading2"/>
        <w:keepNext/>
        <w:spacing w:before="340" w:after="120" w:line="264" w:lineRule="auto"/>
        <w:jc w:val="left"/>
      </w:pPr>
      <w:bookmarkStart w:id="10" w:name="_h9"/>
      <w:r>
        <w:rPr>
          <w:rFonts w:ascii="Barlow Condensed SemiBold" w:hAnsi="Barlow Condensed SemiBold" w:cs="Barlow Condensed SemiBold" w:eastAsia="Barlow Condensed SemiBold"/>
          <w:color w:val="007614"/>
          <w:sz w:val="30"/>
          <w:szCs w:val="30"/>
        </w:rPr>
        <w:t xml:space="preserve">3.5 Critérios de seleção: exogeneidade e responsividade</w:t>
      </w:r>
      <w:bookmarkEnd w:id="10"/>
    </w:p>
    <w:p>
      <w:pPr>
        <w:spacing w:before="0" w:after="140" w:line="300" w:lineRule="auto"/>
        <w:jc w:val="both"/>
      </w:pPr>
      <w:r>
        <w:rPr>
          <w:rFonts w:ascii="Barlow" w:hAnsi="Barlow" w:cs="Barlow" w:eastAsia="Barlow"/>
          <w:color w:val="0F2440"/>
          <w:sz w:val="20"/>
          <w:szCs w:val="20"/>
        </w:rPr>
        <w:t xml:space="preserve">Indicadores de cestas muito extensas ou de coleta muito espaçada não se movem: não captam as mudanças ocorridas, especialmente as produzidas por políticas públicas. Para um instrumento de pesquisa, essa é uma limitação administrável. Para um instrumento de alocação e de monitoramento, é incapacitante: um índice que não muda não pode indicar deterioração, não pode registrar efeito de política e não pode servir de desfecho em avaliação.</w:t>
      </w:r>
    </w:p>
    <w:p>
      <w:pPr>
        <w:spacing w:before="0" w:after="140" w:line="300" w:lineRule="auto"/>
        <w:jc w:val="both"/>
      </w:pPr>
      <w:r>
        <w:rPr>
          <w:rFonts w:ascii="Barlow" w:hAnsi="Barlow" w:cs="Barlow" w:eastAsia="Barlow"/>
          <w:color w:val="0F2440"/>
          <w:sz w:val="20"/>
          <w:szCs w:val="20"/>
        </w:rPr>
        <w:t xml:space="preserve">O princípio de seleção é, portanto, duplo e ordenado. O primeiro critério é a </w:t>
      </w:r>
      <w:r>
        <w:rPr>
          <w:rFonts w:ascii="Barlow SemiBold" w:hAnsi="Barlow SemiBold" w:cs="Barlow SemiBold" w:eastAsia="Barlow SemiBold"/>
          <w:color w:val="01366F"/>
          <w:sz w:val="20"/>
          <w:szCs w:val="20"/>
        </w:rPr>
        <w:t xml:space="preserve">exogeneidade</w:t>
      </w:r>
      <w:r>
        <w:rPr>
          <w:rFonts w:ascii="Barlow" w:hAnsi="Barlow" w:cs="Barlow" w:eastAsia="Barlow"/>
          <w:color w:val="0F2440"/>
          <w:sz w:val="20"/>
          <w:szCs w:val="20"/>
        </w:rPr>
        <w:t xml:space="preserve">: o indicador deve ser anterior ao adoecimento e independente da oferta de serviços. O segundo, aplicado entre indicadores igualmente válidos, é a </w:t>
      </w:r>
      <w:r>
        <w:rPr>
          <w:rFonts w:ascii="Barlow SemiBold" w:hAnsi="Barlow SemiBold" w:cs="Barlow SemiBold" w:eastAsia="Barlow SemiBold"/>
          <w:color w:val="01366F"/>
          <w:sz w:val="20"/>
          <w:szCs w:val="20"/>
        </w:rPr>
        <w:t xml:space="preserve">responsividade</w:t>
      </w:r>
      <w:r>
        <w:rPr>
          <w:rFonts w:ascii="Barlow" w:hAnsi="Barlow" w:cs="Barlow" w:eastAsia="Barlow"/>
          <w:color w:val="0F2440"/>
          <w:sz w:val="20"/>
          <w:szCs w:val="20"/>
        </w:rPr>
        <w:t xml:space="preserve">: prefere-se o de atualização mais frequente e maior plausibilidade de mudança em horizonte de três a cinco anos.</w:t>
      </w:r>
    </w:p>
    <w:p>
      <w:pPr>
        <w:spacing w:before="0" w:after="140" w:line="300" w:lineRule="auto"/>
        <w:jc w:val="both"/>
      </w:pPr>
      <w:r>
        <w:rPr>
          <w:rFonts w:ascii="Barlow" w:hAnsi="Barlow" w:cs="Barlow" w:eastAsia="Barlow"/>
          <w:color w:val="0F2440"/>
          <w:sz w:val="20"/>
          <w:szCs w:val="20"/>
        </w:rPr>
        <w:t xml:space="preserve">Esse segundo critério reordena a cesta de forma não trivial, e o caso mais claro é o do analfabetismo. Ele é escolha correta para um índice decenal: universal, estável, de definição inequívoca. Para um índice anual, é escolha ruim. Mede um estoque determinado por coortes alfabetizadas há décadas, é fortemente condicionado pela estrutura etária do município e não responde a política alguma no horizonte relevante. Os indicadores do Censo Escolar (distorção idade-série e abandono) medem o mesmo domínio de forma prospectiva, anual e responsiva, captando a produção corrente de desvantagem educacional em vez do seu resíduo histórico.</w:t>
      </w:r>
    </w:p>
    <w:p>
      <w:pPr>
        <w:pStyle w:val="Heading2"/>
        <w:keepNext/>
        <w:spacing w:before="340" w:after="120" w:line="264" w:lineRule="auto"/>
        <w:jc w:val="left"/>
      </w:pPr>
      <w:bookmarkStart w:id="11" w:name="_h10"/>
      <w:r>
        <w:rPr>
          <w:rFonts w:ascii="Barlow Condensed SemiBold" w:hAnsi="Barlow Condensed SemiBold" w:cs="Barlow Condensed SemiBold" w:eastAsia="Barlow Condensed SemiBold"/>
          <w:color w:val="007614"/>
          <w:sz w:val="30"/>
          <w:szCs w:val="30"/>
        </w:rPr>
        <w:t xml:space="preserve">3.6 A regra de encadeamento censo-registro</w:t>
      </w:r>
      <w:bookmarkEnd w:id="11"/>
    </w:p>
    <w:p>
      <w:pPr>
        <w:spacing w:before="0" w:after="140" w:line="300" w:lineRule="auto"/>
        <w:jc w:val="both"/>
      </w:pPr>
      <w:r>
        <w:rPr>
          <w:rFonts w:ascii="Barlow" w:hAnsi="Barlow" w:cs="Barlow" w:eastAsia="Barlow"/>
          <w:color w:val="0F2440"/>
          <w:sz w:val="20"/>
          <w:szCs w:val="20"/>
        </w:rPr>
        <w:t xml:space="preserve">A substituição de fontes censitárias por registros administrativos resolve o problema da periodicidade, mas cria outro: os registros têm cobertura variável, dependente da capacidade de gestão municipal. O Cadastro Único é o exemplo canônico: a inscrição depende de busca ativa, de modo que municípios com gestão social frágil subestimam a própria pobreza. Adotar o Cadastro Único ingenuamente como medida de pobreza reintroduziria, por outra porta, a contaminação por capacidade instalada que se quis evitar ao excluir a oferta.</w:t>
      </w:r>
    </w:p>
    <w:p>
      <w:pPr>
        <w:spacing w:before="0" w:after="140" w:line="300" w:lineRule="auto"/>
        <w:jc w:val="both"/>
      </w:pPr>
      <w:r>
        <w:rPr>
          <w:rFonts w:ascii="Barlow" w:hAnsi="Barlow" w:cs="Barlow" w:eastAsia="Barlow"/>
          <w:color w:val="0F2440"/>
          <w:sz w:val="20"/>
          <w:szCs w:val="20"/>
        </w:rPr>
        <w:t xml:space="preserve">A solução é a regra de encadeamento, procedimento padrão da teoria dos números-índice: o </w:t>
      </w:r>
      <w:r>
        <w:rPr>
          <w:rFonts w:ascii="Barlow SemiBold" w:hAnsi="Barlow SemiBold" w:cs="Barlow SemiBold" w:eastAsia="Barlow SemiBold"/>
          <w:color w:val="01366F"/>
          <w:sz w:val="20"/>
          <w:szCs w:val="20"/>
        </w:rPr>
        <w:t xml:space="preserve">nível</w:t>
      </w:r>
      <w:r>
        <w:rPr>
          <w:rFonts w:ascii="Barlow" w:hAnsi="Barlow" w:cs="Barlow" w:eastAsia="Barlow"/>
          <w:color w:val="0F2440"/>
          <w:sz w:val="20"/>
          <w:szCs w:val="20"/>
        </w:rPr>
        <w:t xml:space="preserve"> do indicador é fixado pelo Censo, livre de viés de capacidade administrativa; a </w:t>
      </w:r>
      <w:r>
        <w:rPr>
          <w:rFonts w:ascii="Barlow SemiBold" w:hAnsi="Barlow SemiBold" w:cs="Barlow SemiBold" w:eastAsia="Barlow SemiBold"/>
          <w:color w:val="01366F"/>
          <w:sz w:val="20"/>
          <w:szCs w:val="20"/>
        </w:rPr>
        <w:t xml:space="preserve">variação</w:t>
      </w:r>
      <w:r>
        <w:rPr>
          <w:rFonts w:ascii="Barlow" w:hAnsi="Barlow" w:cs="Barlow" w:eastAsia="Barlow"/>
          <w:color w:val="0F2440"/>
          <w:sz w:val="20"/>
          <w:szCs w:val="20"/>
        </w:rPr>
        <w:t xml:space="preserve"> é tomada do registro, cujo viés de cobertura, se aproximadamente constante no curto prazo, se cancela na razão.</w:t>
      </w:r>
    </w:p>
    <w:p>
      <w:pPr>
        <w:spacing w:before="0" w:after="140" w:line="300" w:lineRule="auto"/>
        <w:jc w:val="both"/>
      </w:pPr>
      <w:r>
        <w:rPr>
          <w:rFonts w:ascii="Barlow" w:hAnsi="Barlow" w:cs="Barlow" w:eastAsia="Barlow"/>
          <w:color w:val="0F2440"/>
          <w:sz w:val="20"/>
          <w:szCs w:val="20"/>
        </w:rPr>
        <w:t xml:space="preserve">A versão 1.0 aplicava a razão das contagens do registro diretamente sobre a proporção censitária. Esse procedimento incorpora o crescimento populacional à variação do indicador: um município cuja população cresce 10% com a mesma taxa de pobreza veria a proporção de pobres crescer 10%. A forma correta aplica a razão às contagens e a divide pela razão do denominador. Para o município </w:t>
      </w:r>
      <w:r>
        <w:rPr>
          <w:rFonts w:ascii="Barlow" w:hAnsi="Barlow" w:cs="Barlow" w:eastAsia="Barlow"/>
          <w:i/>
          <w:iCs/>
          <w:color w:val="0F2440"/>
          <w:sz w:val="20"/>
          <w:szCs w:val="20"/>
        </w:rPr>
        <w:t xml:space="preserve">m</w:t>
      </w:r>
      <w:r>
        <w:rPr>
          <w:rFonts w:ascii="Barlow" w:hAnsi="Barlow" w:cs="Barlow" w:eastAsia="Barlow"/>
          <w:color w:val="0F2440"/>
          <w:sz w:val="20"/>
          <w:szCs w:val="20"/>
        </w:rPr>
        <w:t xml:space="preserve"> no ano </w:t>
      </w:r>
      <w:r>
        <w:rPr>
          <w:rFonts w:ascii="Barlow" w:hAnsi="Barlow" w:cs="Barlow" w:eastAsia="Barlow"/>
          <w:i/>
          <w:iCs/>
          <w:color w:val="0F2440"/>
          <w:sz w:val="20"/>
          <w:szCs w:val="20"/>
        </w:rPr>
        <w:t xml:space="preserve">t</w:t>
      </w:r>
      <w:r>
        <w:rPr>
          <w:rFonts w:ascii="Barlow" w:hAnsi="Barlow" w:cs="Barlow" w:eastAsia="Barlow"/>
          <w:color w:val="0F2440"/>
          <w:sz w:val="20"/>
          <w:szCs w:val="20"/>
        </w:rPr>
        <w:t xml:space="preserve">:</w:t>
      </w:r>
    </w:p>
    <w:p>
      <w:pPr>
        <w:keepNext/>
        <w:spacing w:before="0" w:after="0" w:line="120" w:lineRule="exact"/>
        <w:jc w:val="both"/>
      </w:pPr>
    </w:p>
    <w:tbl>
      <w:tblPr>
        <w:tblW w:w="8844" w:type="dxa"/>
        <w:tblInd w:w="0" w:type="dxa"/>
        <w:tblBorders>
          <w:top w:val="nil"/>
          <w:left w:val="single" w:sz="36" w:space="0" w:color="01366F"/>
          <w:bottom w:val="nil"/>
          <w:right w:val="nil"/>
          <w:insideH w:val="nil"/>
          <w:insideV w:val="nil"/>
        </w:tblBorders>
        <w:tblLayout w:type="fixed"/>
        <w:tblCellMar>
          <w:top w:w="120" w:type="dxa"/>
          <w:left w:w="220" w:type="dxa"/>
          <w:bottom w:w="140" w:type="dxa"/>
          <w:right w:w="220" w:type="dxa"/>
        </w:tblCellMar>
        <w:tblLook w:val="0000"/>
      </w:tblPr>
      <w:tblGrid>
        <w:gridCol w:w="8844"/>
      </w:tblGrid>
      <w:tr>
        <w:trPr>
          <w:cantSplit/>
        </w:trPr>
        <w:tc>
          <w:tcPr>
            <w:tcW w:w="8844" w:type="dxa"/>
            <w:shd w:val="clear" w:color="auto" w:fill="E8EEF5"/>
          </w:tcPr>
          <w:p>
            <w:pPr>
              <w:spacing w:before="0" w:after="0" w:line="300" w:lineRule="auto"/>
              <w:jc w:val="center"/>
            </w:pPr>
            <w:r>
              <w:rPr>
                <w:rFonts w:ascii="Barlow" w:hAnsi="Barlow" w:cs="Barlow" w:eastAsia="Barlow"/>
                <w:i/>
                <w:iCs/>
                <w:color w:val="01366F"/>
                <w:sz w:val="23"/>
                <w:szCs w:val="23"/>
              </w:rPr>
              <w:t xml:space="preserve">X̂(m,t) = X(m,c) × [ N(m,t) / N(m,c) ] / [ P(m,t) / P(m,c) ]</w:t>
            </w:r>
          </w:p>
        </w:tc>
      </w:tr>
    </w:tbl>
    <w:p>
      <w:pPr>
        <w:spacing w:before="0" w:after="0" w:line="160" w:lineRule="exact"/>
        <w:jc w:val="both"/>
      </w:pPr>
    </w:p>
    <w:p>
      <w:pPr>
        <w:spacing w:before="0" w:after="140" w:line="300" w:lineRule="auto"/>
        <w:jc w:val="both"/>
      </w:pPr>
      <w:r>
        <w:rPr>
          <w:rFonts w:ascii="Barlow" w:hAnsi="Barlow" w:cs="Barlow" w:eastAsia="Barlow"/>
          <w:color w:val="0F2440"/>
          <w:sz w:val="20"/>
          <w:szCs w:val="20"/>
        </w:rPr>
        <w:t xml:space="preserve">em que X(m,c) é a proporção medida no Censo, N é a contagem correspondente no registro administrativo e P é a população (ou o total de domicílios) segundo as estimativas do IBGE, no ano </w:t>
      </w:r>
      <w:r>
        <w:rPr>
          <w:rFonts w:ascii="Barlow" w:hAnsi="Barlow" w:cs="Barlow" w:eastAsia="Barlow"/>
          <w:i/>
          <w:iCs/>
          <w:color w:val="0F2440"/>
          <w:sz w:val="20"/>
          <w:szCs w:val="20"/>
        </w:rPr>
        <w:t xml:space="preserve">t</w:t>
      </w:r>
      <w:r>
        <w:rPr>
          <w:rFonts w:ascii="Barlow" w:hAnsi="Barlow" w:cs="Barlow" w:eastAsia="Barlow"/>
          <w:color w:val="0F2440"/>
          <w:sz w:val="20"/>
          <w:szCs w:val="20"/>
        </w:rPr>
        <w:t xml:space="preserve"> e no ano do Censo (</w:t>
      </w:r>
      <w:r>
        <w:rPr>
          <w:rFonts w:ascii="Barlow" w:hAnsi="Barlow" w:cs="Barlow" w:eastAsia="Barlow"/>
          <w:i/>
          <w:iCs/>
          <w:color w:val="0F2440"/>
          <w:sz w:val="20"/>
          <w:szCs w:val="20"/>
        </w:rPr>
        <w:t xml:space="preserve">c</w:t>
      </w:r>
      <w:r>
        <w:rPr>
          <w:rFonts w:ascii="Barlow" w:hAnsi="Barlow" w:cs="Barlow" w:eastAsia="Barlow"/>
          <w:color w:val="0F2440"/>
          <w:sz w:val="20"/>
          <w:szCs w:val="20"/>
        </w:rPr>
        <w:t xml:space="preserve">). Para indicadores que o registro já publica como proporção (por exemplo, índices de atendimento de saneamento), a razão aplica-se diretamente às proporções:</w:t>
      </w:r>
    </w:p>
    <w:p>
      <w:pPr>
        <w:keepNext/>
        <w:spacing w:before="0" w:after="0" w:line="120" w:lineRule="exact"/>
        <w:jc w:val="both"/>
      </w:pPr>
    </w:p>
    <w:tbl>
      <w:tblPr>
        <w:tblW w:w="8844" w:type="dxa"/>
        <w:tblInd w:w="0" w:type="dxa"/>
        <w:tblBorders>
          <w:top w:val="nil"/>
          <w:left w:val="single" w:sz="36" w:space="0" w:color="01366F"/>
          <w:bottom w:val="nil"/>
          <w:right w:val="nil"/>
          <w:insideH w:val="nil"/>
          <w:insideV w:val="nil"/>
        </w:tblBorders>
        <w:tblLayout w:type="fixed"/>
        <w:tblCellMar>
          <w:top w:w="120" w:type="dxa"/>
          <w:left w:w="220" w:type="dxa"/>
          <w:bottom w:w="140" w:type="dxa"/>
          <w:right w:w="220" w:type="dxa"/>
        </w:tblCellMar>
        <w:tblLook w:val="0000"/>
      </w:tblPr>
      <w:tblGrid>
        <w:gridCol w:w="8844"/>
      </w:tblGrid>
      <w:tr>
        <w:trPr>
          <w:cantSplit/>
        </w:trPr>
        <w:tc>
          <w:tcPr>
            <w:tcW w:w="8844" w:type="dxa"/>
            <w:shd w:val="clear" w:color="auto" w:fill="E8EEF5"/>
          </w:tcPr>
          <w:p>
            <w:pPr>
              <w:spacing w:before="0" w:after="0" w:line="300" w:lineRule="auto"/>
              <w:jc w:val="center"/>
            </w:pPr>
            <w:r>
              <w:rPr>
                <w:rFonts w:ascii="Barlow" w:hAnsi="Barlow" w:cs="Barlow" w:eastAsia="Barlow"/>
                <w:i/>
                <w:iCs/>
                <w:color w:val="01366F"/>
                <w:sz w:val="23"/>
                <w:szCs w:val="23"/>
              </w:rPr>
              <w:t xml:space="preserve">X̂(m,t) = X(m,c) × [ r(m,t) / r(m,c) ]</w:t>
            </w:r>
          </w:p>
        </w:tc>
      </w:tr>
    </w:tbl>
    <w:p>
      <w:pPr>
        <w:spacing w:before="0" w:after="0" w:line="160" w:lineRule="exact"/>
        <w:jc w:val="both"/>
      </w:pPr>
    </w:p>
    <w:p>
      <w:pPr>
        <w:spacing w:before="0" w:after="140" w:line="300" w:lineRule="auto"/>
        <w:jc w:val="both"/>
      </w:pPr>
      <w:r>
        <w:rPr>
          <w:rFonts w:ascii="Barlow" w:hAnsi="Barlow" w:cs="Barlow" w:eastAsia="Barlow"/>
          <w:color w:val="0F2440"/>
          <w:sz w:val="20"/>
          <w:szCs w:val="20"/>
        </w:rPr>
        <w:t xml:space="preserve">A razão de encadeamento é truncada no intervalo de 0,5 a 2,0, para impedir que saltos puramente administrativos (um mutirão de recadastramento, a adesão tardia a um sistema de informação) se convertam em variação espúria. Os limites são convenção, e não resultado empírico: municípios cuja razão atinja o limite são sinalizados no relatório de qualidade, e o efeito do truncamento é testado na análise de sensibilidade. O pressuposto de cobertura aproximadamente constante é verificado a cada ano pelo metaindicador de cobertura (Q1). Quando o valor de base é zero (por exemplo, déficit censitário nulo em um componente de saneamento), a razão é indefinida, e a atualização passa a ser aditiva: X̂(m,t) = X(m,c) + [r(m,t) − r(m,c)].</w:t>
      </w:r>
    </w:p>
    <w:p>
      <w:pPr>
        <w:spacing w:before="0" w:after="140" w:line="300" w:lineRule="auto"/>
        <w:jc w:val="both"/>
      </w:pPr>
      <w:r>
        <w:rPr>
          <w:rFonts w:ascii="Barlow" w:hAnsi="Barlow" w:cs="Barlow" w:eastAsia="Barlow"/>
          <w:color w:val="0F2440"/>
          <w:sz w:val="20"/>
          <w:szCs w:val="20"/>
        </w:rPr>
        <w:t xml:space="preserve">A variação mensal do Cadastro Único deve ser lida com cautela. A atualização cadastral das famílias é feita, em regra, a cada dois anos, e revisões cadastrais em massa, como a de 2023, alteram as contagens sem mudança na situação das famílias. Parte da variação mensal é, portanto, administrativa. Por isso, usa-se média móvel de doze meses, a razão é truncada e os anos de revisão cadastral em massa são sinalizados na série.</w:t>
      </w:r>
    </w:p>
    <w:p>
      <w:pPr>
        <w:pStyle w:val="Heading2"/>
        <w:keepNext/>
        <w:spacing w:before="340" w:after="120" w:line="264" w:lineRule="auto"/>
        <w:jc w:val="left"/>
      </w:pPr>
      <w:bookmarkStart w:id="12" w:name="_h11"/>
      <w:r>
        <w:rPr>
          <w:rFonts w:ascii="Barlow Condensed SemiBold" w:hAnsi="Barlow Condensed SemiBold" w:cs="Barlow Condensed SemiBold" w:eastAsia="Barlow Condensed SemiBold"/>
          <w:color w:val="007614"/>
          <w:sz w:val="30"/>
          <w:szCs w:val="30"/>
        </w:rPr>
        <w:t xml:space="preserve">3.7 Critérios de qualidade: OCDE e Jannuzzi</w:t>
      </w:r>
      <w:bookmarkEnd w:id="12"/>
    </w:p>
    <w:p>
      <w:pPr>
        <w:spacing w:before="0" w:after="140" w:line="300" w:lineRule="auto"/>
        <w:jc w:val="both"/>
      </w:pPr>
      <w:r>
        <w:rPr>
          <w:rFonts w:ascii="Barlow" w:hAnsi="Barlow" w:cs="Barlow" w:eastAsia="Barlow"/>
          <w:color w:val="0F2440"/>
          <w:sz w:val="20"/>
          <w:szCs w:val="20"/>
        </w:rPr>
        <w:t xml:space="preserve">Os critérios de qualidade são usados neste projeto como regra de seleção e de construção, com aplicação documentada indicador a indicador (seção 4.4), e não como lista declaratória.</w:t>
      </w:r>
    </w:p>
    <w:p>
      <w:pPr>
        <w:spacing w:before="0" w:after="140" w:line="300" w:lineRule="auto"/>
        <w:jc w:val="both"/>
      </w:pPr>
      <w:r>
        <w:rPr>
          <w:rFonts w:ascii="Barlow SemiBold" w:hAnsi="Barlow SemiBold" w:cs="Barlow SemiBold" w:eastAsia="Barlow SemiBold"/>
          <w:color w:val="01366F"/>
          <w:sz w:val="20"/>
          <w:szCs w:val="20"/>
        </w:rPr>
        <w:t xml:space="preserve">Critérios da OCDE para indicadores.</w:t>
      </w:r>
      <w:r>
        <w:rPr>
          <w:rFonts w:ascii="Barlow" w:hAnsi="Barlow" w:cs="Barlow" w:eastAsia="Barlow"/>
          <w:color w:val="0F2440"/>
          <w:sz w:val="20"/>
          <w:szCs w:val="20"/>
        </w:rPr>
        <w:t xml:space="preserve"> A OCDE agrupa os critérios em três famílias: relevância para as políticas e utilidade para os usuários (representatividade, simplicidade, sensibilidade às mudanças, abrangência e existência de referência de comparação); solidez analítica (fundamento teórico e técnico, compatibilidade com padrões reconhecidos); e mensurabilidade (dados disponíveis a custo razoável, documentados e atualizados em intervalos regulares) (OECD, 1993; 2003).</w:t>
      </w:r>
    </w:p>
    <w:p>
      <w:pPr>
        <w:spacing w:before="0" w:after="140" w:line="300" w:lineRule="auto"/>
        <w:jc w:val="both"/>
      </w:pPr>
      <w:r>
        <w:rPr>
          <w:rFonts w:ascii="Barlow SemiBold" w:hAnsi="Barlow SemiBold" w:cs="Barlow SemiBold" w:eastAsia="Barlow SemiBold"/>
          <w:color w:val="01366F"/>
          <w:sz w:val="20"/>
          <w:szCs w:val="20"/>
        </w:rPr>
        <w:t xml:space="preserve">Etapas da OCDE/JRC para índices compostos.</w:t>
      </w:r>
      <w:r>
        <w:rPr>
          <w:rFonts w:ascii="Barlow" w:hAnsi="Barlow" w:cs="Barlow" w:eastAsia="Barlow"/>
          <w:color w:val="0F2440"/>
          <w:sz w:val="20"/>
          <w:szCs w:val="20"/>
        </w:rPr>
        <w:t xml:space="preserve"> O manual da OCDE e do Centro Comum de Investigação da Comissão Europeia prescreve dez etapas (NARDO et al., 2008). O Quadro 1 indica onde cada uma é cumprida.</w:t>
      </w:r>
    </w:p>
    <w:p>
      <w:pPr>
        <w:keepNext/>
        <w:spacing w:before="200" w:after="100" w:line="264" w:lineRule="auto"/>
        <w:jc w:val="left"/>
      </w:pPr>
      <w:bookmarkStart w:id="13" w:name="_q_1"/>
      <w:r>
        <w:rPr>
          <w:rFonts w:ascii="Barlow Condensed SemiBold" w:hAnsi="Barlow Condensed SemiBold" w:cs="Barlow Condensed SemiBold" w:eastAsia="Barlow Condensed SemiBold"/>
          <w:color w:val="007614"/>
          <w:sz w:val="21"/>
          <w:szCs w:val="21"/>
        </w:rPr>
        <w:t xml:space="preserve">Quadro 1 – </w:t>
      </w:r>
      <w:r>
        <w:rPr>
          <w:rFonts w:ascii="Barlow Condensed SemiBold" w:hAnsi="Barlow Condensed SemiBold" w:cs="Barlow Condensed SemiBold" w:eastAsia="Barlow Condensed SemiBold"/>
          <w:color w:val="01366F"/>
          <w:sz w:val="21"/>
          <w:szCs w:val="21"/>
        </w:rPr>
        <w:t xml:space="preserve">As dez etapas da OCDE/JRC e seu cumprimento no INS</w:t>
      </w:r>
      <w:bookmarkEnd w:id="13"/>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2652"/>
        <w:gridCol w:w="4244"/>
        <w:gridCol w:w="1948"/>
      </w:tblGrid>
      <w:tr>
        <w:trPr>
          <w:tblHeader/>
          <w:cantSplit/>
        </w:trPr>
        <w:tc>
          <w:tcPr>
            <w:tcW w:w="265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Etapa (OCDE/JRC)</w:t>
            </w:r>
          </w:p>
        </w:tc>
        <w:tc>
          <w:tcPr>
            <w:tcW w:w="424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Como o INS a cumpre</w:t>
            </w:r>
          </w:p>
        </w:tc>
        <w:tc>
          <w:tcPr>
            <w:tcW w:w="1948"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Seção</w:t>
            </w:r>
          </w:p>
        </w:tc>
      </w:tr>
      <w:tr>
        <w:trPr>
          <w:cantSplit/>
        </w:trPr>
        <w:tc>
          <w:tcPr>
            <w:tcW w:w="265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1. Marco teórico</w:t>
            </w:r>
          </w:p>
        </w:tc>
        <w:tc>
          <w:tcPr>
            <w:tcW w:w="424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Necessidade potencial definida e distinguida de privação, vulnerabilidade e risco</w:t>
            </w:r>
          </w:p>
        </w:tc>
        <w:tc>
          <w:tcPr>
            <w:tcW w:w="194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3.1 a 3.4</w:t>
            </w:r>
          </w:p>
        </w:tc>
      </w:tr>
      <w:tr>
        <w:trPr>
          <w:cantSplit/>
        </w:trPr>
        <w:tc>
          <w:tcPr>
            <w:tcW w:w="265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2. Seleção de variáveis</w:t>
            </w:r>
          </w:p>
        </w:tc>
        <w:tc>
          <w:tcPr>
            <w:tcW w:w="424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Critérios de inclusão e exclusão explícitos; matriz de aderência por indicador</w:t>
            </w:r>
          </w:p>
        </w:tc>
        <w:tc>
          <w:tcPr>
            <w:tcW w:w="194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4.1, 4.2, 4.4</w:t>
            </w:r>
          </w:p>
        </w:tc>
      </w:tr>
      <w:tr>
        <w:trPr>
          <w:cantSplit/>
        </w:trPr>
        <w:tc>
          <w:tcPr>
            <w:tcW w:w="265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3. Dados ausentes</w:t>
            </w:r>
          </w:p>
        </w:tc>
        <w:tc>
          <w:tcPr>
            <w:tcW w:w="424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Imputação pela mediana da microrregião, nunca por exclusão do município; metaindicadores</w:t>
            </w:r>
          </w:p>
        </w:tc>
        <w:tc>
          <w:tcPr>
            <w:tcW w:w="194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5.1, Anexo A</w:t>
            </w:r>
          </w:p>
        </w:tc>
      </w:tr>
      <w:tr>
        <w:trPr>
          <w:cantSplit/>
        </w:trPr>
        <w:tc>
          <w:tcPr>
            <w:tcW w:w="265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4. Análise multivariada</w:t>
            </w:r>
          </w:p>
        </w:tc>
        <w:tc>
          <w:tcPr>
            <w:tcW w:w="424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Correlações, inflação da variância, adequação amostral, análise fatorial por dimensão</w:t>
            </w:r>
          </w:p>
        </w:tc>
        <w:tc>
          <w:tcPr>
            <w:tcW w:w="194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6.1</w:t>
            </w:r>
          </w:p>
        </w:tc>
      </w:tr>
      <w:tr>
        <w:trPr>
          <w:cantSplit/>
        </w:trPr>
        <w:tc>
          <w:tcPr>
            <w:tcW w:w="265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5. Normalização</w:t>
            </w:r>
          </w:p>
        </w:tc>
        <w:tc>
          <w:tcPr>
            <w:tcW w:w="424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Escore z sobre o universo nacional, com parâmetros fixos da edição de referência</w:t>
            </w:r>
          </w:p>
        </w:tc>
        <w:tc>
          <w:tcPr>
            <w:tcW w:w="194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5.3</w:t>
            </w:r>
          </w:p>
        </w:tc>
      </w:tr>
      <w:tr>
        <w:trPr>
          <w:cantSplit/>
        </w:trPr>
        <w:tc>
          <w:tcPr>
            <w:tcW w:w="265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6. Ponderação e agregação</w:t>
            </w:r>
          </w:p>
        </w:tc>
        <w:tc>
          <w:tcPr>
            <w:tcW w:w="424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Pesos iguais declarados como escolha normativa; agregação aditiva e versão geométrica de controle</w:t>
            </w:r>
          </w:p>
        </w:tc>
        <w:tc>
          <w:tcPr>
            <w:tcW w:w="194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5.4, 5.5</w:t>
            </w:r>
          </w:p>
        </w:tc>
      </w:tr>
      <w:tr>
        <w:trPr>
          <w:cantSplit/>
        </w:trPr>
        <w:tc>
          <w:tcPr>
            <w:tcW w:w="265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7. Incerteza e sensibilidade</w:t>
            </w:r>
          </w:p>
        </w:tc>
        <w:tc>
          <w:tcPr>
            <w:tcW w:w="424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Variação aleatória de pesos, simulação de numeradores e análise de escolhas metodológicas</w:t>
            </w:r>
          </w:p>
        </w:tc>
        <w:tc>
          <w:tcPr>
            <w:tcW w:w="194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5.8</w:t>
            </w:r>
          </w:p>
        </w:tc>
      </w:tr>
      <w:tr>
        <w:trPr>
          <w:cantSplit/>
        </w:trPr>
        <w:tc>
          <w:tcPr>
            <w:tcW w:w="2652"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8. Retorno aos dados</w:t>
            </w:r>
          </w:p>
        </w:tc>
        <w:tc>
          <w:tcPr>
            <w:tcW w:w="424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Publicação dos escores por dimensão e dos indicadores</w:t>
            </w:r>
          </w:p>
        </w:tc>
        <w:tc>
          <w:tcPr>
            <w:tcW w:w="194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5.7, Anexo A</w:t>
            </w:r>
          </w:p>
        </w:tc>
      </w:tr>
      <w:tr>
        <w:trPr>
          <w:cantSplit/>
        </w:trPr>
        <w:tc>
          <w:tcPr>
            <w:tcW w:w="2652"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9. Associação a outros indicadores</w:t>
            </w:r>
          </w:p>
        </w:tc>
        <w:tc>
          <w:tcPr>
            <w:tcW w:w="424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Validação de critério com desfechos reservados e validação convergente com IBP, IVS e GeoSES</w:t>
            </w:r>
          </w:p>
        </w:tc>
        <w:tc>
          <w:tcPr>
            <w:tcW w:w="194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6.2 a 6.4</w:t>
            </w:r>
          </w:p>
        </w:tc>
      </w:tr>
      <w:tr>
        <w:trPr>
          <w:cantSplit/>
        </w:trPr>
        <w:tc>
          <w:tcPr>
            <w:tcW w:w="2652" w:type="dxa"/>
            <w:shd w:val="clear" w:color="auto" w:fill="E9F2EB"/>
            <w:vAlign w:val="top"/>
          </w:tcPr>
          <w:p>
            <w:pPr>
              <w:keepNext/>
              <w:spacing w:before="0" w:after="0" w:line="252" w:lineRule="auto"/>
              <w:jc w:val="left"/>
            </w:pPr>
            <w:r>
              <w:rPr>
                <w:rFonts w:ascii="Barlow SemiBold" w:hAnsi="Barlow SemiBold" w:cs="Barlow SemiBold" w:eastAsia="Barlow SemiBold"/>
                <w:color w:val="01366F"/>
                <w:sz w:val="17"/>
                <w:szCs w:val="17"/>
              </w:rPr>
              <w:t xml:space="preserve">10. Apresentação</w:t>
            </w:r>
          </w:p>
        </w:tc>
        <w:tc>
          <w:tcPr>
            <w:tcW w:w="4244"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Escala de 0 a 1 com advertência de leitura; percentil empírico; intervalos de posição</w:t>
            </w:r>
          </w:p>
        </w:tc>
        <w:tc>
          <w:tcPr>
            <w:tcW w:w="1948"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5.6, 5.7</w:t>
            </w:r>
          </w:p>
        </w:tc>
      </w:tr>
    </w:tbl>
    <w:p>
      <w:pPr>
        <w:spacing w:before="60" w:after="220" w:line="240" w:lineRule="auto"/>
        <w:jc w:val="left"/>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 com base em Nardo et al. (2008).</w:t>
      </w:r>
    </w:p>
    <w:p>
      <w:pPr>
        <w:spacing w:before="0" w:after="140" w:line="300" w:lineRule="auto"/>
        <w:jc w:val="both"/>
      </w:pPr>
      <w:r>
        <w:rPr>
          <w:rFonts w:ascii="Barlow SemiBold" w:hAnsi="Barlow SemiBold" w:cs="Barlow SemiBold" w:eastAsia="Barlow SemiBold"/>
          <w:color w:val="01366F"/>
          <w:sz w:val="20"/>
          <w:szCs w:val="20"/>
        </w:rPr>
        <w:t xml:space="preserve">Propriedades de Jannuzzi.</w:t>
      </w:r>
      <w:r>
        <w:rPr>
          <w:rFonts w:ascii="Barlow" w:hAnsi="Barlow" w:cs="Barlow" w:eastAsia="Barlow"/>
          <w:color w:val="0F2440"/>
          <w:sz w:val="20"/>
          <w:szCs w:val="20"/>
        </w:rPr>
        <w:t xml:space="preserve"> Jannuzzi (2001; 2005) sistematiza as propriedades desejáveis de um indicador social: relevância social, validade, confiabilidade, cobertura, sensibilidade, especificidade, inteligibilidade de construção, comunicabilidade, factibilidade de obtenção, periodicidade de atualização, desagregabilidade e historicidade (comparabilidade no tempo). A matriz da seção 4.4 aplica essas propriedades a cada indicador.</w:t>
      </w:r>
    </w:p>
    <w:p>
      <w:pPr>
        <w:spacing w:before="0" w:after="140" w:line="300" w:lineRule="auto"/>
        <w:jc w:val="both"/>
      </w:pPr>
      <w:r>
        <w:rPr>
          <w:rFonts w:ascii="Barlow" w:hAnsi="Barlow" w:cs="Barlow" w:eastAsia="Barlow"/>
          <w:color w:val="0F2440"/>
          <w:sz w:val="20"/>
          <w:szCs w:val="20"/>
        </w:rPr>
        <w:t xml:space="preserve">Dois predicados são frequentemente invocados e raramente cumpridos na prática brasileira, e sobre eles este projeto assume compromisso expresso: a análise de incerteza e de sensibilidade (seção 5.8) e o registro documental (Anexos A e B).</w:t>
      </w:r>
    </w:p>
    <w:p>
      <w:pPr>
        <w:pStyle w:val="Heading2"/>
        <w:keepNext/>
        <w:spacing w:before="340" w:after="120" w:line="264" w:lineRule="auto"/>
        <w:jc w:val="left"/>
      </w:pPr>
      <w:bookmarkStart w:id="14" w:name="_h12"/>
      <w:r>
        <w:rPr>
          <w:rFonts w:ascii="Barlow Condensed SemiBold" w:hAnsi="Barlow Condensed SemiBold" w:cs="Barlow Condensed SemiBold" w:eastAsia="Barlow Condensed SemiBold"/>
          <w:color w:val="007614"/>
          <w:sz w:val="30"/>
          <w:szCs w:val="30"/>
        </w:rPr>
        <w:t xml:space="preserve">3.8 Articulação com o Protocolo de Inteligência Territorial</w:t>
      </w:r>
      <w:bookmarkEnd w:id="14"/>
    </w:p>
    <w:p>
      <w:pPr>
        <w:spacing w:before="0" w:after="140" w:line="300" w:lineRule="auto"/>
        <w:jc w:val="both"/>
      </w:pPr>
      <w:r>
        <w:rPr>
          <w:rFonts w:ascii="Barlow" w:hAnsi="Barlow" w:cs="Barlow" w:eastAsia="Barlow"/>
          <w:color w:val="0F2440"/>
          <w:sz w:val="20"/>
          <w:szCs w:val="20"/>
        </w:rPr>
        <w:t xml:space="preserve">O INS e o Painel de Vigilância Integrada do Protocolo de Inteligência Territorial (FIOCRUZ BRASÍLIA, 2026b) respondem a perguntas diferentes e, por isso, não são somados, comparados diretamente ou usados um no lugar do outro.</w:t>
      </w:r>
    </w:p>
    <w:p>
      <w:pPr>
        <w:keepNext/>
        <w:spacing w:before="200" w:after="100" w:line="264" w:lineRule="auto"/>
        <w:jc w:val="left"/>
      </w:pPr>
      <w:bookmarkStart w:id="15" w:name="_q_2"/>
      <w:r>
        <w:rPr>
          <w:rFonts w:ascii="Barlow Condensed SemiBold" w:hAnsi="Barlow Condensed SemiBold" w:cs="Barlow Condensed SemiBold" w:eastAsia="Barlow Condensed SemiBold"/>
          <w:color w:val="007614"/>
          <w:sz w:val="21"/>
          <w:szCs w:val="21"/>
        </w:rPr>
        <w:t xml:space="preserve">Quadro 2 – </w:t>
      </w:r>
      <w:r>
        <w:rPr>
          <w:rFonts w:ascii="Barlow Condensed SemiBold" w:hAnsi="Barlow Condensed SemiBold" w:cs="Barlow Condensed SemiBold" w:eastAsia="Barlow Condensed SemiBold"/>
          <w:color w:val="01366F"/>
          <w:sz w:val="21"/>
          <w:szCs w:val="21"/>
        </w:rPr>
        <w:t xml:space="preserve">INS e Painel de Vigilância Integrada: o que cada instrumento responde</w:t>
      </w:r>
      <w:bookmarkEnd w:id="15"/>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1944"/>
        <w:gridCol w:w="3449"/>
        <w:gridCol w:w="3451"/>
      </w:tblGrid>
      <w:tr>
        <w:trPr>
          <w:tblHeader/>
          <w:cantSplit/>
        </w:trPr>
        <w:tc>
          <w:tcPr>
            <w:tcW w:w="194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Atributo</w:t>
            </w:r>
          </w:p>
        </w:tc>
        <w:tc>
          <w:tcPr>
            <w:tcW w:w="344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INS</w:t>
            </w:r>
          </w:p>
        </w:tc>
        <w:tc>
          <w:tcPr>
            <w:tcW w:w="3451"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Painel de Vigilância Integrada</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Pergunta</w:t>
            </w:r>
          </w:p>
        </w:tc>
        <w:tc>
          <w:tcPr>
            <w:tcW w:w="344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Onde a necessidade de saúde é maior?</w:t>
            </w:r>
          </w:p>
        </w:tc>
        <w:tc>
          <w:tcPr>
            <w:tcW w:w="3451" w:type="dxa"/>
            <w:shd w:val="clear" w:color="auto" w:fill="FFFFFF"/>
            <w:vAlign w:val="top"/>
          </w:tcPr>
          <w:p>
            <w:pPr>
              <w:spacing w:before="0" w:after="0" w:line="252" w:lineRule="auto"/>
              <w:jc w:val="left"/>
            </w:pPr>
            <w:r>
              <w:rPr>
                <w:rFonts w:ascii="Barlow" w:hAnsi="Barlow" w:cs="Barlow" w:eastAsia="Barlow"/>
                <w:color w:val="0F2440"/>
                <w:sz w:val="17"/>
                <w:szCs w:val="17"/>
              </w:rPr>
              <w:t xml:space="preserve">O que as duas vigilâncias sinalizam e o que foi feito?</w:t>
            </w:r>
          </w:p>
        </w:tc>
      </w:tr>
      <w:tr>
        <w:trPr>
          <w:cantSplit/>
        </w:trPr>
        <w:tc>
          <w:tcPr>
            <w:tcW w:w="194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Construto</w:t>
            </w:r>
          </w:p>
        </w:tc>
        <w:tc>
          <w:tcPr>
            <w:tcW w:w="344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Necessidade potencial de cuidado</w:t>
            </w:r>
          </w:p>
        </w:tc>
        <w:tc>
          <w:tcPr>
            <w:tcW w:w="3451"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Articulação entre a vigilância popular e a tradicional: sinais, convergência, visibilização e resposta</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Unidade</w:t>
            </w:r>
          </w:p>
        </w:tc>
        <w:tc>
          <w:tcPr>
            <w:tcW w:w="344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Município; Região Administrativa do DF</w:t>
            </w:r>
          </w:p>
        </w:tc>
        <w:tc>
          <w:tcPr>
            <w:tcW w:w="3451"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Microárea e território da Sala de Cooperação Social</w:t>
            </w:r>
          </w:p>
        </w:tc>
      </w:tr>
      <w:tr>
        <w:trPr>
          <w:cantSplit/>
        </w:trPr>
        <w:tc>
          <w:tcPr>
            <w:tcW w:w="194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Comparação</w:t>
            </w:r>
          </w:p>
        </w:tc>
        <w:tc>
          <w:tcPr>
            <w:tcW w:w="344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Entre territórios</w:t>
            </w:r>
          </w:p>
        </w:tc>
        <w:tc>
          <w:tcPr>
            <w:tcW w:w="3451"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Ao longo do tempo, no mesmo território</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Periodicidade</w:t>
            </w:r>
          </w:p>
        </w:tc>
        <w:tc>
          <w:tcPr>
            <w:tcW w:w="344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Anual (INS Dinâmico)</w:t>
            </w:r>
          </w:p>
        </w:tc>
        <w:tc>
          <w:tcPr>
            <w:tcW w:w="3451"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Mensal (dois indicadores trimestrais)</w:t>
            </w:r>
          </w:p>
        </w:tc>
      </w:tr>
      <w:tr>
        <w:trPr>
          <w:cantSplit/>
        </w:trPr>
        <w:tc>
          <w:tcPr>
            <w:tcW w:w="1944" w:type="dxa"/>
            <w:shd w:val="clear" w:color="auto" w:fill="E9F2EB"/>
            <w:vAlign w:val="top"/>
          </w:tcPr>
          <w:p>
            <w:pPr>
              <w:keepNext/>
              <w:spacing w:before="0" w:after="0" w:line="252" w:lineRule="auto"/>
              <w:jc w:val="left"/>
            </w:pPr>
            <w:r>
              <w:rPr>
                <w:rFonts w:ascii="Barlow SemiBold" w:hAnsi="Barlow SemiBold" w:cs="Barlow SemiBold" w:eastAsia="Barlow SemiBold"/>
                <w:color w:val="01366F"/>
                <w:sz w:val="17"/>
                <w:szCs w:val="17"/>
              </w:rPr>
              <w:t xml:space="preserve">Uso no Protocolo</w:t>
            </w:r>
          </w:p>
        </w:tc>
        <w:tc>
          <w:tcPr>
            <w:tcW w:w="3449"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Escolha de territórios prioritários; alocação; reivindicação de recursos</w:t>
            </w:r>
          </w:p>
        </w:tc>
        <w:tc>
          <w:tcPr>
            <w:tcW w:w="3451"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Condução da reunião mensal da Sala de Cooperação Social; cobrança de resposta; avaliação da articulação</w:t>
            </w:r>
          </w:p>
        </w:tc>
      </w:tr>
    </w:tbl>
    <w:p>
      <w:pPr>
        <w:spacing w:before="60" w:after="220" w:line="240" w:lineRule="auto"/>
        <w:jc w:val="left"/>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w:t>
      </w:r>
    </w:p>
    <w:p>
      <w:pPr>
        <w:keepNext/>
        <w:spacing w:before="0" w:after="0" w:line="200" w:lineRule="exact"/>
        <w:jc w:val="both"/>
      </w:pPr>
    </w:p>
    <w:tbl>
      <w:tblPr>
        <w:tblW w:w="8844" w:type="dxa"/>
        <w:jc w:val="center"/>
        <w:tblBorders>
          <w:top w:val="single" w:sz="6" w:space="0" w:color="D9DEE3"/>
          <w:left w:val="single" w:sz="6" w:space="0" w:color="D9DEE3"/>
          <w:bottom w:val="single" w:sz="6" w:space="0" w:color="D9DEE3"/>
          <w:right w:val="single" w:sz="6" w:space="0" w:color="D9DEE3"/>
          <w:insideH w:val="nil"/>
          <w:insideV w:val="nil"/>
        </w:tblBorders>
        <w:tblLayout w:type="fixed"/>
        <w:tblCellMar>
          <w:top w:w="180" w:type="dxa"/>
          <w:left w:w="180" w:type="dxa"/>
          <w:bottom w:w="160" w:type="dxa"/>
          <w:right w:w="180" w:type="dxa"/>
        </w:tblCellMar>
        <w:tblLook w:val="0000"/>
      </w:tblPr>
      <w:tblGrid>
        <w:gridCol w:w="8844"/>
      </w:tblGrid>
      <w:tr>
        <w:trPr>
          <w:cantSplit/>
        </w:trPr>
        <w:tc>
          <w:tcPr>
            <w:tcW w:w="8844" w:type="dxa"/>
            <w:shd w:val="clear" w:color="auto" w:fill="FFFFFF"/>
          </w:tcPr>
          <w:p>
            <w:pPr>
              <w:keepNext/>
              <w:spacing w:before="0" w:after="120" w:line="264" w:lineRule="auto"/>
              <w:jc w:val="left"/>
            </w:pPr>
            <w:bookmarkStart w:id="16" w:name="_f_1"/>
            <w:r>
              <w:rPr>
                <w:rFonts w:ascii="Barlow Condensed SemiBold" w:hAnsi="Barlow Condensed SemiBold" w:cs="Barlow Condensed SemiBold" w:eastAsia="Barlow Condensed SemiBold"/>
                <w:color w:val="007614"/>
                <w:sz w:val="21"/>
                <w:szCs w:val="21"/>
              </w:rPr>
              <w:t xml:space="preserve">Figura 1 – </w:t>
            </w:r>
            <w:r>
              <w:rPr>
                <w:rFonts w:ascii="Barlow Condensed SemiBold" w:hAnsi="Barlow Condensed SemiBold" w:cs="Barlow Condensed SemiBold" w:eastAsia="Barlow Condensed SemiBold"/>
                <w:color w:val="01366F"/>
                <w:sz w:val="21"/>
                <w:szCs w:val="21"/>
              </w:rPr>
              <w:t xml:space="preserve">Arquitetura de leitura do Protocolo de Inteligência Territorial: dois instrumentos, duas perguntas</w:t>
            </w:r>
            <w:bookmarkEnd w:id="16"/>
          </w:p>
          <w:p>
            <w:pPr>
              <w:spacing w:before="0" w:after="0" w:line="240" w:lineRule="auto"/>
              <w:jc w:val="center"/>
            </w:pPr>
            <w:r>
              <w:drawing>
                <wp:inline distT="0" distB="0" distL="0" distR="0">
                  <wp:extent cx="5387340" cy="3753180"/>
                  <wp:effectExtent l="0" t="0" r="0" b="0"/>
                  <wp:docPr id="6" name="im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5.png"/>
                          <pic:cNvPicPr/>
                        </pic:nvPicPr>
                        <pic:blipFill>
                          <a:blip r:embed="rId10"/>
                          <a:stretch>
                            <a:fillRect/>
                          </a:stretch>
                        </pic:blipFill>
                        <pic:spPr>
                          <a:xfrm>
                            <a:off x="0" y="0"/>
                            <a:ext cx="5387340" cy="3753180"/>
                          </a:xfrm>
                          <a:prstGeom prst="rect">
                            <a:avLst/>
                          </a:prstGeom>
                        </pic:spPr>
                      </pic:pic>
                    </a:graphicData>
                  </a:graphic>
                </wp:inline>
              </w:drawing>
            </w:r>
          </w:p>
          <w:p>
            <w:pPr>
              <w:spacing w:before="60" w:after="0" w:line="240" w:lineRule="auto"/>
              <w:jc w:val="left"/>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w:t>
            </w:r>
          </w:p>
        </w:tc>
      </w:tr>
    </w:tbl>
    <w:p>
      <w:pPr>
        <w:spacing w:before="0" w:after="0" w:line="240" w:lineRule="exact"/>
        <w:jc w:val="both"/>
      </w:pPr>
    </w:p>
    <w:p>
      <w:pPr>
        <w:spacing w:before="0" w:after="140" w:line="300" w:lineRule="auto"/>
        <w:jc w:val="both"/>
      </w:pPr>
      <w:r>
        <w:rPr>
          <w:rFonts w:ascii="Barlow" w:hAnsi="Barlow" w:cs="Barlow" w:eastAsia="Barlow"/>
          <w:color w:val="0F2440"/>
          <w:sz w:val="20"/>
          <w:szCs w:val="20"/>
        </w:rPr>
        <w:t xml:space="preserve">O INS não desce ao interior dos territórios: B1, B2, C3 e D1 não têm dado abaixo do município ou da Região Administrativa. Dentro de cada território, onde olhar primeiro é lido no mapa da cartografia social, produzido e atualizado pelo próprio território, sobre o qual o Protocolo georreferencia os alertas da vigilância popular e os registros da vigilância tradicional. A leitura vai do INS ao mapa: a Região Administrativa ordenada pelo INS-DF é examinada, pela cartografia social, nas áreas que concentram riscos e invisibilidades.</w:t>
      </w:r>
    </w:p>
    <w:p>
      <w:pPr>
        <w:spacing w:before="0" w:after="140" w:line="300" w:lineRule="auto"/>
        <w:jc w:val="both"/>
      </w:pPr>
      <w:r>
        <w:rPr>
          <w:rFonts w:ascii="Barlow" w:hAnsi="Barlow" w:cs="Barlow" w:eastAsia="Barlow"/>
          <w:color w:val="0F2440"/>
          <w:sz w:val="20"/>
          <w:szCs w:val="20"/>
        </w:rPr>
        <w:t xml:space="preserve">A divisão de tarefas também resolve um problema de cobertura. A exposição a riscos ambientais, presente na versão 1.0 do INS, não dispõe de fonte nacional com cobertura universal e atualização regular (seção 4.2), mas pode ser identificada dentro do território, onde a Defesa Civil mapeia as áreas de risco e a cartografia social as complementa. Por isso, essa exposição passou a ser lida no mapa da cartografia social, e não no índice.</w:t>
      </w:r>
    </w:p>
    <w:p>
      <w:pPr>
        <w:spacing w:before="0" w:after="140" w:line="300" w:lineRule="auto"/>
        <w:jc w:val="both"/>
        <w:sectPr>
          <w:headerReference w:type="default" r:id="rId19"/>
          <w:headerReference w:type="even" r:id="rId15"/>
          <w:footerReference w:type="default" r:id="rId16"/>
          <w:footerReference w:type="even" r:id="rId17"/>
          <w:type w:val="nextPage"/>
          <w:pgSz w:w="11906" w:h="16838"/>
          <w:pgMar w:top="1474" w:right="1531" w:bottom="1814" w:left="1531" w:header="850" w:footer="330" w:gutter="0"/>
          <w:cols w:space="720"/>
          <w:docGrid w:linePitch="360"/>
        </w:sectPr>
      </w:pPr>
      <w:r>
        <w:rPr>
          <w:rFonts w:ascii="Barlow" w:hAnsi="Barlow" w:cs="Barlow" w:eastAsia="Barlow"/>
          <w:color w:val="0F2440"/>
          <w:sz w:val="20"/>
          <w:szCs w:val="20"/>
        </w:rPr>
        <w:t xml:space="preserve">No Protocolo de Inteligência Territorial, o INS é atualizado anualmente na fase de integração e análise e cumpre três funções: subsidiar a escolha dos territórios onde serão implantadas as Salas de Cooperação Social; fornecer aos territórios um argumento público e auditável para reivindicar recursos junto à gestão, o que é parte da governança participativa que o Protocolo organiza; e oferecer a linha de base de equidade contra a qual se lê a evolução dos territórios. O INS não é desfecho de avaliação da PICAPS: seus componentes são condições estruturais que a intervenção pode influenciar apenas indiretamente e em prazos longos.</w:t>
      </w:r>
    </w:p>
    <w:p>
      <w:pPr>
        <w:pStyle w:val="Heading1"/>
        <w:pBdr>
          <w:bottom w:val="single" w:sz="12" w:space="10" w:color="007614"/>
        </w:pBdr>
        <w:spacing w:before="120" w:after="380" w:line="600" w:lineRule="exact"/>
        <w:jc w:val="left"/>
      </w:pPr>
      <w:bookmarkStart w:id="17" w:name="_h13"/>
      <w:r>
        <w:rPr>
          <w:rFonts w:ascii="Barlow Condensed" w:hAnsi="Barlow Condensed" w:cs="Barlow Condensed" w:eastAsia="Barlow Condensed"/>
          <w:b/>
          <w:bCs/>
          <w:color w:val="007614"/>
          <w:sz w:val="52"/>
          <w:szCs w:val="52"/>
        </w:rPr>
        <w:t xml:space="preserve">4 </w:t>
      </w:r>
      <w:r>
        <w:rPr>
          <w:rFonts w:ascii="Barlow Condensed" w:hAnsi="Barlow Condensed" w:cs="Barlow Condensed" w:eastAsia="Barlow Condensed"/>
          <w:b/>
          <w:bCs/>
          <w:color w:val="01366F"/>
          <w:sz w:val="52"/>
          <w:szCs w:val="52"/>
        </w:rPr>
        <w:t xml:space="preserve">CESTA DE INDICADORES</w:t>
      </w:r>
      <w:bookmarkEnd w:id="17"/>
    </w:p>
    <w:p>
      <w:pPr>
        <w:pStyle w:val="Heading2"/>
        <w:keepNext/>
        <w:spacing w:before="340" w:after="120" w:line="264" w:lineRule="auto"/>
        <w:jc w:val="left"/>
      </w:pPr>
      <w:bookmarkStart w:id="18" w:name="_h14"/>
      <w:r>
        <w:rPr>
          <w:rFonts w:ascii="Barlow Condensed SemiBold" w:hAnsi="Barlow Condensed SemiBold" w:cs="Barlow Condensed SemiBold" w:eastAsia="Barlow Condensed SemiBold"/>
          <w:color w:val="007614"/>
          <w:sz w:val="30"/>
          <w:szCs w:val="30"/>
        </w:rPr>
        <w:t xml:space="preserve">4.1 Critérios de inclusão</w:t>
      </w:r>
      <w:bookmarkEnd w:id="18"/>
    </w:p>
    <w:p>
      <w:pPr>
        <w:spacing w:before="0" w:after="140" w:line="300" w:lineRule="auto"/>
        <w:jc w:val="both"/>
      </w:pPr>
      <w:r>
        <w:rPr>
          <w:rFonts w:ascii="Barlow" w:hAnsi="Barlow" w:cs="Barlow" w:eastAsia="Barlow"/>
          <w:color w:val="0F2440"/>
          <w:sz w:val="20"/>
          <w:szCs w:val="20"/>
        </w:rPr>
        <w:t xml:space="preserve">Todo indicador candidato deve satisfazer, cumulativamente, seis critérios:</w:t>
      </w:r>
    </w:p>
    <w:p>
      <w:pPr>
        <w:pStyle w:val="ListParagraph"/>
        <w:numPr>
          <w:ilvl w:val="0"/>
          <w:numId w:val="12"/>
        </w:numPr>
        <w:spacing w:before="0" w:after="80" w:line="290" w:lineRule="auto"/>
        <w:jc w:val="both"/>
      </w:pPr>
      <w:r>
        <w:rPr>
          <w:rFonts w:ascii="Barlow SemiBold" w:hAnsi="Barlow SemiBold" w:cs="Barlow SemiBold" w:eastAsia="Barlow SemiBold"/>
          <w:color w:val="01366F"/>
          <w:sz w:val="20"/>
          <w:szCs w:val="20"/>
        </w:rPr>
        <w:t xml:space="preserve">Exogeneidade:</w:t>
      </w:r>
      <w:r>
        <w:rPr>
          <w:rFonts w:ascii="Barlow" w:hAnsi="Barlow" w:cs="Barlow" w:eastAsia="Barlow"/>
          <w:color w:val="0F2440"/>
          <w:sz w:val="20"/>
          <w:szCs w:val="20"/>
        </w:rPr>
        <w:t xml:space="preserve"> ser anterior ao adoecimento e independente da oferta de serviços de saúde.</w:t>
      </w:r>
    </w:p>
    <w:p>
      <w:pPr>
        <w:pStyle w:val="ListParagraph"/>
        <w:numPr>
          <w:ilvl w:val="0"/>
          <w:numId w:val="12"/>
        </w:numPr>
        <w:spacing w:before="0" w:after="80" w:line="290" w:lineRule="auto"/>
        <w:jc w:val="both"/>
      </w:pPr>
      <w:r>
        <w:rPr>
          <w:rFonts w:ascii="Barlow SemiBold" w:hAnsi="Barlow SemiBold" w:cs="Barlow SemiBold" w:eastAsia="Barlow SemiBold"/>
          <w:color w:val="01366F"/>
          <w:sz w:val="20"/>
          <w:szCs w:val="20"/>
        </w:rPr>
        <w:t xml:space="preserve">Fundamento teórico:</w:t>
      </w:r>
      <w:r>
        <w:rPr>
          <w:rFonts w:ascii="Barlow" w:hAnsi="Barlow" w:cs="Barlow" w:eastAsia="Barlow"/>
          <w:color w:val="0F2440"/>
          <w:sz w:val="20"/>
          <w:szCs w:val="20"/>
        </w:rPr>
        <w:t xml:space="preserve"> pertencer a dimensão com mecanismo estabelecido de produção de necessidade de saúde, e não ser incluído por mera disponibilidade.</w:t>
      </w:r>
    </w:p>
    <w:p>
      <w:pPr>
        <w:pStyle w:val="ListParagraph"/>
        <w:numPr>
          <w:ilvl w:val="0"/>
          <w:numId w:val="12"/>
        </w:numPr>
        <w:spacing w:before="0" w:after="80" w:line="290" w:lineRule="auto"/>
        <w:jc w:val="both"/>
      </w:pPr>
      <w:r>
        <w:rPr>
          <w:rFonts w:ascii="Barlow SemiBold" w:hAnsi="Barlow SemiBold" w:cs="Barlow SemiBold" w:eastAsia="Barlow SemiBold"/>
          <w:color w:val="01366F"/>
          <w:sz w:val="20"/>
          <w:szCs w:val="20"/>
        </w:rPr>
        <w:t xml:space="preserve">Cobertura universal:</w:t>
      </w:r>
      <w:r>
        <w:rPr>
          <w:rFonts w:ascii="Barlow" w:hAnsi="Barlow" w:cs="Barlow" w:eastAsia="Barlow"/>
          <w:color w:val="0F2440"/>
          <w:sz w:val="20"/>
          <w:szCs w:val="20"/>
        </w:rPr>
        <w:t xml:space="preserve"> estar disponível para a totalidade ou quase totalidade dos 5.570 municípios, sem lacunas sistematicamente correlacionadas com a privação.</w:t>
      </w:r>
    </w:p>
    <w:p>
      <w:pPr>
        <w:pStyle w:val="ListParagraph"/>
        <w:numPr>
          <w:ilvl w:val="0"/>
          <w:numId w:val="12"/>
        </w:numPr>
        <w:spacing w:before="0" w:after="80" w:line="290" w:lineRule="auto"/>
        <w:jc w:val="both"/>
      </w:pPr>
      <w:r>
        <w:rPr>
          <w:rFonts w:ascii="Barlow SemiBold" w:hAnsi="Barlow SemiBold" w:cs="Barlow SemiBold" w:eastAsia="Barlow SemiBold"/>
          <w:color w:val="01366F"/>
          <w:sz w:val="20"/>
          <w:szCs w:val="20"/>
        </w:rPr>
        <w:t xml:space="preserve">Poder discriminante:</w:t>
      </w:r>
      <w:r>
        <w:rPr>
          <w:rFonts w:ascii="Barlow" w:hAnsi="Barlow" w:cs="Barlow" w:eastAsia="Barlow"/>
          <w:color w:val="0F2440"/>
          <w:sz w:val="20"/>
          <w:szCs w:val="20"/>
        </w:rPr>
        <w:t xml:space="preserve"> apresentar variabilidade suficiente entre municípios, sem efeito de piso ou de teto que colapse a variância.</w:t>
      </w:r>
    </w:p>
    <w:p>
      <w:pPr>
        <w:pStyle w:val="ListParagraph"/>
        <w:numPr>
          <w:ilvl w:val="0"/>
          <w:numId w:val="12"/>
        </w:numPr>
        <w:spacing w:before="0" w:after="80" w:line="290" w:lineRule="auto"/>
        <w:jc w:val="both"/>
      </w:pPr>
      <w:r>
        <w:rPr>
          <w:rFonts w:ascii="Barlow SemiBold" w:hAnsi="Barlow SemiBold" w:cs="Barlow SemiBold" w:eastAsia="Barlow SemiBold"/>
          <w:color w:val="01366F"/>
          <w:sz w:val="20"/>
          <w:szCs w:val="20"/>
        </w:rPr>
        <w:t xml:space="preserve">Responsividade:</w:t>
      </w:r>
      <w:r>
        <w:rPr>
          <w:rFonts w:ascii="Barlow" w:hAnsi="Barlow" w:cs="Barlow" w:eastAsia="Barlow"/>
          <w:color w:val="0F2440"/>
          <w:sz w:val="20"/>
          <w:szCs w:val="20"/>
        </w:rPr>
        <w:t xml:space="preserve"> ter, preferencialmente, atualização anual ou mais frequente e plausibilidade de mudança em horizonte de três a cinco anos.</w:t>
      </w:r>
    </w:p>
    <w:p>
      <w:pPr>
        <w:pStyle w:val="ListParagraph"/>
        <w:numPr>
          <w:ilvl w:val="0"/>
          <w:numId w:val="12"/>
        </w:numPr>
        <w:spacing w:before="0" w:after="180" w:line="290" w:lineRule="auto"/>
        <w:jc w:val="both"/>
      </w:pPr>
      <w:r>
        <w:rPr>
          <w:rFonts w:ascii="Barlow SemiBold" w:hAnsi="Barlow SemiBold" w:cs="Barlow SemiBold" w:eastAsia="Barlow SemiBold"/>
          <w:color w:val="01366F"/>
          <w:sz w:val="20"/>
          <w:szCs w:val="20"/>
        </w:rPr>
        <w:t xml:space="preserve">Estabilidade em pequenas populações:</w:t>
      </w:r>
      <w:r>
        <w:rPr>
          <w:rFonts w:ascii="Barlow" w:hAnsi="Barlow" w:cs="Barlow" w:eastAsia="Barlow"/>
          <w:color w:val="0F2440"/>
          <w:sz w:val="20"/>
          <w:szCs w:val="20"/>
        </w:rPr>
        <w:t xml:space="preserve"> ser proporção sobre denominador populacional amplo, e não taxa de evento raro.</w:t>
      </w:r>
    </w:p>
    <w:p>
      <w:pPr>
        <w:pStyle w:val="Heading2"/>
        <w:keepNext/>
        <w:spacing w:before="340" w:after="120" w:line="264" w:lineRule="auto"/>
        <w:jc w:val="left"/>
      </w:pPr>
      <w:bookmarkStart w:id="19" w:name="_h15"/>
      <w:r>
        <w:rPr>
          <w:rFonts w:ascii="Barlow Condensed SemiBold" w:hAnsi="Barlow Condensed SemiBold" w:cs="Barlow Condensed SemiBold" w:eastAsia="Barlow Condensed SemiBold"/>
          <w:color w:val="007614"/>
          <w:sz w:val="30"/>
          <w:szCs w:val="30"/>
        </w:rPr>
        <w:t xml:space="preserve">4.2 Regras de exclusão</w:t>
      </w:r>
      <w:bookmarkEnd w:id="19"/>
    </w:p>
    <w:p>
      <w:pPr>
        <w:spacing w:before="0" w:after="140" w:line="300" w:lineRule="auto"/>
        <w:jc w:val="both"/>
      </w:pPr>
      <w:r>
        <w:rPr>
          <w:rFonts w:ascii="Barlow" w:hAnsi="Barlow" w:cs="Barlow" w:eastAsia="Barlow"/>
          <w:color w:val="0F2440"/>
          <w:sz w:val="20"/>
          <w:szCs w:val="20"/>
        </w:rPr>
        <w:t xml:space="preserve">Ficam excluídos do escore, sem exceção:</w:t>
      </w:r>
    </w:p>
    <w:p>
      <w:pPr>
        <w:pStyle w:val="ListParagraph"/>
        <w:numPr>
          <w:ilvl w:val="0"/>
          <w:numId w:val="13"/>
        </w:numPr>
        <w:spacing w:before="0" w:after="80" w:line="290" w:lineRule="auto"/>
        <w:jc w:val="both"/>
      </w:pPr>
      <w:r>
        <w:rPr>
          <w:rFonts w:ascii="Barlow" w:hAnsi="Barlow" w:cs="Barlow" w:eastAsia="Barlow"/>
          <w:color w:val="0F2440"/>
          <w:sz w:val="20"/>
          <w:szCs w:val="20"/>
        </w:rPr>
        <w:t xml:space="preserve">todo indicador de morbidade ou mortalidade, por endogeneidade e por erro de medida diferencial correlacionado com a privação;</w:t>
      </w:r>
    </w:p>
    <w:p>
      <w:pPr>
        <w:pStyle w:val="ListParagraph"/>
        <w:numPr>
          <w:ilvl w:val="0"/>
          <w:numId w:val="13"/>
        </w:numPr>
        <w:spacing w:before="0" w:after="80" w:line="290" w:lineRule="auto"/>
        <w:jc w:val="both"/>
      </w:pPr>
      <w:r>
        <w:rPr>
          <w:rFonts w:ascii="Barlow" w:hAnsi="Barlow" w:cs="Barlow" w:eastAsia="Barlow"/>
          <w:color w:val="0F2440"/>
          <w:sz w:val="20"/>
          <w:szCs w:val="20"/>
        </w:rPr>
        <w:t xml:space="preserve">todo indicador de oferta e cobertura assistencial (leitos, unidades básicas, equipes de Saúde da Família, equipes multiprofissionais, cobertura vacinal), por inversão de sentido;</w:t>
      </w:r>
    </w:p>
    <w:p>
      <w:pPr>
        <w:pStyle w:val="ListParagraph"/>
        <w:numPr>
          <w:ilvl w:val="0"/>
          <w:numId w:val="13"/>
        </w:numPr>
        <w:spacing w:before="0" w:after="80" w:line="290" w:lineRule="auto"/>
        <w:jc w:val="both"/>
      </w:pPr>
      <w:r>
        <w:rPr>
          <w:rFonts w:ascii="Barlow" w:hAnsi="Barlow" w:cs="Barlow" w:eastAsia="Barlow"/>
          <w:color w:val="0F2440"/>
          <w:sz w:val="20"/>
          <w:szCs w:val="20"/>
        </w:rPr>
        <w:t xml:space="preserve">todo índice composto preexistente cujas variáveis-fonte também integrem a cesta (IVS, IDHM, IBP), por dupla contagem e colinearidade;</w:t>
      </w:r>
    </w:p>
    <w:p>
      <w:pPr>
        <w:pStyle w:val="ListParagraph"/>
        <w:numPr>
          <w:ilvl w:val="0"/>
          <w:numId w:val="13"/>
        </w:numPr>
        <w:spacing w:before="0" w:after="80" w:line="290" w:lineRule="auto"/>
        <w:jc w:val="both"/>
      </w:pPr>
      <w:r>
        <w:rPr>
          <w:rFonts w:ascii="Barlow" w:hAnsi="Barlow" w:cs="Barlow" w:eastAsia="Barlow"/>
          <w:color w:val="0F2440"/>
          <w:sz w:val="20"/>
          <w:szCs w:val="20"/>
        </w:rPr>
        <w:t xml:space="preserve">todo indicador de capacidade fiscal ou de gestão municipal, por ser condição de resposta e não de necessidade;</w:t>
      </w:r>
    </w:p>
    <w:p>
      <w:pPr>
        <w:pStyle w:val="ListParagraph"/>
        <w:numPr>
          <w:ilvl w:val="0"/>
          <w:numId w:val="13"/>
        </w:numPr>
        <w:spacing w:before="0" w:after="180" w:line="290" w:lineRule="auto"/>
        <w:jc w:val="both"/>
      </w:pPr>
      <w:r>
        <w:rPr>
          <w:rFonts w:ascii="Barlow" w:hAnsi="Barlow" w:cs="Barlow" w:eastAsia="Barlow"/>
          <w:color w:val="0F2440"/>
          <w:sz w:val="20"/>
          <w:szCs w:val="20"/>
        </w:rPr>
        <w:t xml:space="preserve">todo indicador que não atenda ao critério de cobertura universal.</w:t>
      </w:r>
    </w:p>
    <w:p>
      <w:pPr>
        <w:spacing w:before="0" w:after="140" w:line="300" w:lineRule="auto"/>
        <w:jc w:val="both"/>
      </w:pPr>
      <w:r>
        <w:rPr>
          <w:rFonts w:ascii="Barlow" w:hAnsi="Barlow" w:cs="Barlow" w:eastAsia="Barlow"/>
          <w:color w:val="0F2440"/>
          <w:sz w:val="20"/>
          <w:szCs w:val="20"/>
        </w:rPr>
        <w:t xml:space="preserve">Os indicadores excluídos pelas duas primeiras regras não são descartados: constituem, respectivamente, o conjunto de desfechos reservados para validação e a camada complementar de Oferta e Cobertura, cujo cruzamento com o índice produz a análise de lacunas.</w:t>
      </w:r>
    </w:p>
    <w:p>
      <w:pPr>
        <w:spacing w:before="0" w:after="140" w:line="300" w:lineRule="auto"/>
        <w:jc w:val="both"/>
      </w:pPr>
      <w:r>
        <w:rPr>
          <w:rFonts w:ascii="Barlow" w:hAnsi="Barlow" w:cs="Barlow" w:eastAsia="Barlow"/>
          <w:color w:val="0F2440"/>
          <w:sz w:val="20"/>
          <w:szCs w:val="20"/>
        </w:rPr>
        <w:t xml:space="preserve">A última regra levou à exclusão do indicador de população residente em áreas de risco geomorfológico ou de inundação, que integrava a versão 1.0. A base nacional que o sustentaria, o estudo População em Áreas de Risco no Brasil, cobre 872 municípios monitorados pelo Centro Nacional de Monitoramento e Alertas de Desastres Naturais (CEMADEN) e usa dados populacionais do Censo 2010, sem atualização posterior (IBGE, 2018). O indicador não atende à cobertura universal nem à periodicidade, e imputá-lo pela microrregião em mais de 80% dos municípios produziria um valor que não descreve o município. A exposição a riscos passa a ser lida dentro do território, no mapa da cartografia social.</w:t>
      </w:r>
    </w:p>
    <w:p>
      <w:pPr>
        <w:pStyle w:val="Heading2"/>
        <w:keepNext/>
        <w:spacing w:before="340" w:after="120" w:line="264" w:lineRule="auto"/>
        <w:jc w:val="left"/>
      </w:pPr>
      <w:bookmarkStart w:id="20" w:name="_h16"/>
      <w:r>
        <w:rPr>
          <w:rFonts w:ascii="Barlow Condensed SemiBold" w:hAnsi="Barlow Condensed SemiBold" w:cs="Barlow Condensed SemiBold" w:eastAsia="Barlow Condensed SemiBold"/>
          <w:color w:val="007614"/>
          <w:sz w:val="30"/>
          <w:szCs w:val="30"/>
        </w:rPr>
        <w:t xml:space="preserve">4.3 Estrutura em quatro dimensões</w:t>
      </w:r>
      <w:bookmarkEnd w:id="20"/>
    </w:p>
    <w:p>
      <w:pPr>
        <w:spacing w:before="0" w:after="140" w:line="300" w:lineRule="auto"/>
        <w:jc w:val="both"/>
      </w:pPr>
      <w:r>
        <w:rPr>
          <w:rFonts w:ascii="Barlow" w:hAnsi="Barlow" w:cs="Barlow" w:eastAsia="Barlow"/>
          <w:color w:val="0F2440"/>
          <w:sz w:val="20"/>
          <w:szCs w:val="20"/>
        </w:rPr>
        <w:t xml:space="preserve">A cesta compreende onze indicadores em quatro dimensões. As dimensões têm números distintos de indicadores (três, três, três e dois). Isso não distorce a ponderação, porque o escore de cada dimensão é repadronizado antes da agregação (seção 5.4): cada dimensão contribui com variância unitária, qualquer que seja o número de seus componentes.</w:t>
      </w:r>
    </w:p>
    <w:p>
      <w:pPr>
        <w:pStyle w:val="Heading3"/>
        <w:keepNext/>
        <w:spacing w:before="260" w:after="100" w:line="264" w:lineRule="auto"/>
        <w:jc w:val="left"/>
      </w:pPr>
      <w:bookmarkStart w:id="21" w:name="_h17"/>
      <w:r>
        <w:rPr>
          <w:rFonts w:ascii="Barlow Condensed SemiBold" w:hAnsi="Barlow Condensed SemiBold" w:cs="Barlow Condensed SemiBold" w:eastAsia="Barlow Condensed SemiBold"/>
          <w:i/>
          <w:iCs/>
          <w:color w:val="01366F"/>
          <w:sz w:val="25"/>
          <w:szCs w:val="25"/>
        </w:rPr>
        <w:t xml:space="preserve">Dimensão A — Privação material e de renda</w:t>
      </w:r>
      <w:bookmarkEnd w:id="21"/>
    </w:p>
    <w:p>
      <w:pPr>
        <w:keepNext/>
        <w:spacing w:before="200" w:after="100" w:line="264" w:lineRule="auto"/>
        <w:jc w:val="left"/>
      </w:pPr>
      <w:bookmarkStart w:id="22" w:name="_q_3"/>
      <w:r>
        <w:rPr>
          <w:rFonts w:ascii="Barlow Condensed SemiBold" w:hAnsi="Barlow Condensed SemiBold" w:cs="Barlow Condensed SemiBold" w:eastAsia="Barlow Condensed SemiBold"/>
          <w:color w:val="007614"/>
          <w:sz w:val="21"/>
          <w:szCs w:val="21"/>
        </w:rPr>
        <w:t xml:space="preserve">Quadro 3 – </w:t>
      </w:r>
      <w:r>
        <w:rPr>
          <w:rFonts w:ascii="Barlow Condensed SemiBold" w:hAnsi="Barlow Condensed SemiBold" w:cs="Barlow Condensed SemiBold" w:eastAsia="Barlow Condensed SemiBold"/>
          <w:color w:val="01366F"/>
          <w:sz w:val="21"/>
          <w:szCs w:val="21"/>
        </w:rPr>
        <w:t xml:space="preserve">Indicadores da Dimensão A</w:t>
      </w:r>
      <w:bookmarkEnd w:id="22"/>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619"/>
        <w:gridCol w:w="3625"/>
        <w:gridCol w:w="2476"/>
        <w:gridCol w:w="1060"/>
        <w:gridCol w:w="1064"/>
      </w:tblGrid>
      <w:tr>
        <w:trPr>
          <w:tblHeader/>
          <w:cantSplit/>
        </w:trPr>
        <w:tc>
          <w:tcPr>
            <w:tcW w:w="61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Cód.</w:t>
            </w:r>
          </w:p>
        </w:tc>
        <w:tc>
          <w:tcPr>
            <w:tcW w:w="3625"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Indicador</w:t>
            </w:r>
          </w:p>
        </w:tc>
        <w:tc>
          <w:tcPr>
            <w:tcW w:w="2476"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Fonte (nível; variação)</w:t>
            </w:r>
          </w:p>
        </w:tc>
        <w:tc>
          <w:tcPr>
            <w:tcW w:w="106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Atualização</w:t>
            </w:r>
          </w:p>
        </w:tc>
        <w:tc>
          <w:tcPr>
            <w:tcW w:w="106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Polaridade</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A1</w:t>
            </w:r>
          </w:p>
        </w:tc>
        <w:tc>
          <w:tcPr>
            <w:tcW w:w="362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Proporção da população em famílias com renda per capita igual ou inferior a meio salário-mínimo (linha fixada em termos reais)</w:t>
            </w:r>
          </w:p>
        </w:tc>
        <w:tc>
          <w:tcPr>
            <w:tcW w:w="247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Censo 2022; CadÚnico</w:t>
            </w:r>
          </w:p>
        </w:tc>
        <w:tc>
          <w:tcPr>
            <w:tcW w:w="106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Mensal</w:t>
            </w:r>
          </w:p>
        </w:tc>
        <w:tc>
          <w:tcPr>
            <w:tcW w:w="106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Positiva</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A2</w:t>
            </w:r>
          </w:p>
        </w:tc>
        <w:tc>
          <w:tcPr>
            <w:tcW w:w="362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Proporção de domicílios com saneamento inadequado (média das carências de água, esgotamento e coleta de lixo)</w:t>
            </w:r>
          </w:p>
        </w:tc>
        <w:tc>
          <w:tcPr>
            <w:tcW w:w="247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Censo 2022; SINISA</w:t>
            </w:r>
          </w:p>
        </w:tc>
        <w:tc>
          <w:tcPr>
            <w:tcW w:w="106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Anual</w:t>
            </w:r>
          </w:p>
        </w:tc>
        <w:tc>
          <w:tcPr>
            <w:tcW w:w="106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Positiva</w:t>
            </w:r>
          </w:p>
        </w:tc>
      </w:tr>
      <w:tr>
        <w:trPr>
          <w:cantSplit/>
        </w:trPr>
        <w:tc>
          <w:tcPr>
            <w:tcW w:w="619" w:type="dxa"/>
            <w:shd w:val="clear" w:color="auto" w:fill="FFFFFF"/>
            <w:vAlign w:val="top"/>
          </w:tcPr>
          <w:p>
            <w:pPr>
              <w:keepNext/>
              <w:spacing w:before="0" w:after="0" w:line="252" w:lineRule="auto"/>
              <w:jc w:val="left"/>
            </w:pPr>
            <w:r>
              <w:rPr>
                <w:rFonts w:ascii="Barlow SemiBold" w:hAnsi="Barlow SemiBold" w:cs="Barlow SemiBold" w:eastAsia="Barlow SemiBold"/>
                <w:color w:val="01366F"/>
                <w:sz w:val="17"/>
                <w:szCs w:val="17"/>
              </w:rPr>
              <w:t xml:space="preserve">A3</w:t>
            </w:r>
          </w:p>
        </w:tc>
        <w:tc>
          <w:tcPr>
            <w:tcW w:w="3625"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Proporção de domicílios com adensamento excessivo (mais de três moradores por dormitório)</w:t>
            </w:r>
          </w:p>
        </w:tc>
        <w:tc>
          <w:tcPr>
            <w:tcW w:w="2476"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Censo 2022; CadÚnico</w:t>
            </w:r>
          </w:p>
        </w:tc>
        <w:tc>
          <w:tcPr>
            <w:tcW w:w="1060"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Mensal</w:t>
            </w:r>
          </w:p>
        </w:tc>
        <w:tc>
          <w:tcPr>
            <w:tcW w:w="1064"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Positiva</w:t>
            </w:r>
          </w:p>
        </w:tc>
      </w:tr>
    </w:tbl>
    <w:p>
      <w:pPr>
        <w:spacing w:before="60" w:after="220" w:line="240" w:lineRule="auto"/>
        <w:jc w:val="left"/>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w:t>
      </w:r>
    </w:p>
    <w:p>
      <w:pPr>
        <w:spacing w:before="0" w:after="140" w:line="300" w:lineRule="auto"/>
        <w:jc w:val="both"/>
      </w:pPr>
      <w:r>
        <w:rPr>
          <w:rFonts w:ascii="Barlow" w:hAnsi="Barlow" w:cs="Barlow" w:eastAsia="Barlow"/>
          <w:color w:val="0F2440"/>
          <w:sz w:val="20"/>
          <w:szCs w:val="20"/>
        </w:rPr>
        <w:t xml:space="preserve">A3 substitui a inadequação habitacional grave da Fundação João Pinheiro (FJP). O indicador anterior combinava adensamento, coabitação involuntária e ônus excessivo com aluguel, tinha metodologia revista entre edições (o que compromete a historicidade) e periodicidade trienal, e seu componente de coabitação involuntária não é observável no Censo. O adensamento excessivo recupera o componente clássico de superlotação de Townsend e de Carstairs, tem definição estável e pode ser encadeado ao Cadastro Único.</w:t>
      </w:r>
    </w:p>
    <w:p>
      <w:pPr>
        <w:pStyle w:val="Heading3"/>
        <w:keepNext/>
        <w:spacing w:before="260" w:after="100" w:line="264" w:lineRule="auto"/>
        <w:jc w:val="left"/>
      </w:pPr>
      <w:bookmarkStart w:id="23" w:name="_h18"/>
      <w:r>
        <w:rPr>
          <w:rFonts w:ascii="Barlow Condensed SemiBold" w:hAnsi="Barlow Condensed SemiBold" w:cs="Barlow Condensed SemiBold" w:eastAsia="Barlow Condensed SemiBold"/>
          <w:i/>
          <w:iCs/>
          <w:color w:val="01366F"/>
          <w:sz w:val="25"/>
          <w:szCs w:val="25"/>
        </w:rPr>
        <w:t xml:space="preserve">Dimensão B — Privação educacional</w:t>
      </w:r>
      <w:bookmarkEnd w:id="23"/>
    </w:p>
    <w:p>
      <w:pPr>
        <w:keepNext/>
        <w:spacing w:before="200" w:after="100" w:line="264" w:lineRule="auto"/>
        <w:jc w:val="left"/>
      </w:pPr>
      <w:bookmarkStart w:id="24" w:name="_q_4"/>
      <w:r>
        <w:rPr>
          <w:rFonts w:ascii="Barlow Condensed SemiBold" w:hAnsi="Barlow Condensed SemiBold" w:cs="Barlow Condensed SemiBold" w:eastAsia="Barlow Condensed SemiBold"/>
          <w:color w:val="007614"/>
          <w:sz w:val="21"/>
          <w:szCs w:val="21"/>
        </w:rPr>
        <w:t xml:space="preserve">Quadro 4 – </w:t>
      </w:r>
      <w:r>
        <w:rPr>
          <w:rFonts w:ascii="Barlow Condensed SemiBold" w:hAnsi="Barlow Condensed SemiBold" w:cs="Barlow Condensed SemiBold" w:eastAsia="Barlow Condensed SemiBold"/>
          <w:color w:val="01366F"/>
          <w:sz w:val="21"/>
          <w:szCs w:val="21"/>
        </w:rPr>
        <w:t xml:space="preserve">Indicadores da Dimensão B</w:t>
      </w:r>
      <w:bookmarkEnd w:id="24"/>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619"/>
        <w:gridCol w:w="3625"/>
        <w:gridCol w:w="2476"/>
        <w:gridCol w:w="1060"/>
        <w:gridCol w:w="1064"/>
      </w:tblGrid>
      <w:tr>
        <w:trPr>
          <w:tblHeader/>
          <w:cantSplit/>
        </w:trPr>
        <w:tc>
          <w:tcPr>
            <w:tcW w:w="61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Cód.</w:t>
            </w:r>
          </w:p>
        </w:tc>
        <w:tc>
          <w:tcPr>
            <w:tcW w:w="3625"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Indicador</w:t>
            </w:r>
          </w:p>
        </w:tc>
        <w:tc>
          <w:tcPr>
            <w:tcW w:w="2476"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Fonte</w:t>
            </w:r>
          </w:p>
        </w:tc>
        <w:tc>
          <w:tcPr>
            <w:tcW w:w="106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Atualização</w:t>
            </w:r>
          </w:p>
        </w:tc>
        <w:tc>
          <w:tcPr>
            <w:tcW w:w="106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Polaridade</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B1</w:t>
            </w:r>
          </w:p>
        </w:tc>
        <w:tc>
          <w:tcPr>
            <w:tcW w:w="362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Taxa de distorção idade-série nos anos finais do ensino fundamental</w:t>
            </w:r>
          </w:p>
        </w:tc>
        <w:tc>
          <w:tcPr>
            <w:tcW w:w="247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Censo Escolar (INEP)</w:t>
            </w:r>
          </w:p>
        </w:tc>
        <w:tc>
          <w:tcPr>
            <w:tcW w:w="106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Anual</w:t>
            </w:r>
          </w:p>
        </w:tc>
        <w:tc>
          <w:tcPr>
            <w:tcW w:w="106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Positiva</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B2</w:t>
            </w:r>
          </w:p>
        </w:tc>
        <w:tc>
          <w:tcPr>
            <w:tcW w:w="362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Taxa de abandono escolar no ensino médio</w:t>
            </w:r>
          </w:p>
        </w:tc>
        <w:tc>
          <w:tcPr>
            <w:tcW w:w="247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Censo Escolar (INEP)</w:t>
            </w:r>
          </w:p>
        </w:tc>
        <w:tc>
          <w:tcPr>
            <w:tcW w:w="106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Anual</w:t>
            </w:r>
          </w:p>
        </w:tc>
        <w:tc>
          <w:tcPr>
            <w:tcW w:w="106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Positiva</w:t>
            </w:r>
          </w:p>
        </w:tc>
      </w:tr>
      <w:tr>
        <w:trPr>
          <w:cantSplit/>
        </w:trPr>
        <w:tc>
          <w:tcPr>
            <w:tcW w:w="619" w:type="dxa"/>
            <w:shd w:val="clear" w:color="auto" w:fill="FFFFFF"/>
            <w:vAlign w:val="top"/>
          </w:tcPr>
          <w:p>
            <w:pPr>
              <w:keepNext/>
              <w:spacing w:before="0" w:after="0" w:line="252" w:lineRule="auto"/>
              <w:jc w:val="left"/>
            </w:pPr>
            <w:r>
              <w:rPr>
                <w:rFonts w:ascii="Barlow SemiBold" w:hAnsi="Barlow SemiBold" w:cs="Barlow SemiBold" w:eastAsia="Barlow SemiBold"/>
                <w:color w:val="01366F"/>
                <w:sz w:val="17"/>
                <w:szCs w:val="17"/>
              </w:rPr>
              <w:t xml:space="preserve">B3</w:t>
            </w:r>
          </w:p>
        </w:tc>
        <w:tc>
          <w:tcPr>
            <w:tcW w:w="3625"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Proporção de pessoas de 25 anos ou mais sem ensino fundamental completo</w:t>
            </w:r>
          </w:p>
        </w:tc>
        <w:tc>
          <w:tcPr>
            <w:tcW w:w="2476"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Censo 2022</w:t>
            </w:r>
          </w:p>
        </w:tc>
        <w:tc>
          <w:tcPr>
            <w:tcW w:w="1060"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Decenal</w:t>
            </w:r>
          </w:p>
        </w:tc>
        <w:tc>
          <w:tcPr>
            <w:tcW w:w="1064"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Positiva</w:t>
            </w:r>
          </w:p>
        </w:tc>
      </w:tr>
    </w:tbl>
    <w:p>
      <w:pPr>
        <w:spacing w:before="60" w:after="220" w:line="240" w:lineRule="auto"/>
        <w:jc w:val="left"/>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w:t>
      </w:r>
    </w:p>
    <w:p>
      <w:pPr>
        <w:spacing w:before="0" w:after="140" w:line="300" w:lineRule="auto"/>
        <w:jc w:val="both"/>
      </w:pPr>
      <w:r>
        <w:rPr>
          <w:rFonts w:ascii="Barlow" w:hAnsi="Barlow" w:cs="Barlow" w:eastAsia="Barlow"/>
          <w:color w:val="0F2440"/>
          <w:sz w:val="20"/>
          <w:szCs w:val="20"/>
        </w:rPr>
        <w:t xml:space="preserve">A dimensão, chamada na versão anterior de "privação educacional e formação de capital humano", passa a chamar-se apenas "privação educacional". O termo "capital humano" introduzia um referencial teórico, o da economia da educação, que não é o do projeto e não acrescentava precisão ao construto.</w:t>
      </w:r>
    </w:p>
    <w:p>
      <w:pPr>
        <w:spacing w:before="0" w:after="140" w:line="300" w:lineRule="auto"/>
        <w:jc w:val="both"/>
      </w:pPr>
      <w:r>
        <w:rPr>
          <w:rFonts w:ascii="Barlow" w:hAnsi="Barlow" w:cs="Barlow" w:eastAsia="Barlow"/>
          <w:color w:val="0F2440"/>
          <w:sz w:val="20"/>
          <w:szCs w:val="20"/>
        </w:rPr>
        <w:t xml:space="preserve">B1 e B2 têm duas limitações de validade que precisam ser declaradas. Ambos referem-se à rede escolar localizada no município, e não à população residente. E a distorção idade-série é sensível a regimes de fluxo escolar (progressão continuada, ciclos, programas de correção de fluxo) que variam entre redes estaduais e municipais, o que pode produzir diferenças entre unidades da federação não atribuíveis à necessidade. Por isso, a análise de sensibilidade inclui uma leitura com padronização dentro de cada unidade da federação, e os municípios com fluxo intermunicipal expressivo de estudantes são sinalizados.</w:t>
      </w:r>
    </w:p>
    <w:p>
      <w:pPr>
        <w:pStyle w:val="Heading3"/>
        <w:keepNext/>
        <w:spacing w:before="260" w:after="100" w:line="264" w:lineRule="auto"/>
        <w:jc w:val="left"/>
      </w:pPr>
      <w:bookmarkStart w:id="25" w:name="_h19"/>
      <w:r>
        <w:rPr>
          <w:rFonts w:ascii="Barlow Condensed SemiBold" w:hAnsi="Barlow Condensed SemiBold" w:cs="Barlow Condensed SemiBold" w:eastAsia="Barlow Condensed SemiBold"/>
          <w:i/>
          <w:iCs/>
          <w:color w:val="01366F"/>
          <w:sz w:val="25"/>
          <w:szCs w:val="25"/>
        </w:rPr>
        <w:t xml:space="preserve">Dimensão C — Composição demográfica e dependência do SUS</w:t>
      </w:r>
      <w:bookmarkEnd w:id="25"/>
    </w:p>
    <w:p>
      <w:pPr>
        <w:keepNext/>
        <w:spacing w:before="200" w:after="100" w:line="264" w:lineRule="auto"/>
        <w:jc w:val="left"/>
      </w:pPr>
      <w:bookmarkStart w:id="26" w:name="_q_5"/>
      <w:r>
        <w:rPr>
          <w:rFonts w:ascii="Barlow Condensed SemiBold" w:hAnsi="Barlow Condensed SemiBold" w:cs="Barlow Condensed SemiBold" w:eastAsia="Barlow Condensed SemiBold"/>
          <w:color w:val="007614"/>
          <w:sz w:val="21"/>
          <w:szCs w:val="21"/>
        </w:rPr>
        <w:t xml:space="preserve">Quadro 5 – </w:t>
      </w:r>
      <w:r>
        <w:rPr>
          <w:rFonts w:ascii="Barlow Condensed SemiBold" w:hAnsi="Barlow Condensed SemiBold" w:cs="Barlow Condensed SemiBold" w:eastAsia="Barlow Condensed SemiBold"/>
          <w:color w:val="01366F"/>
          <w:sz w:val="21"/>
          <w:szCs w:val="21"/>
        </w:rPr>
        <w:t xml:space="preserve">Indicadores da Dimensão C</w:t>
      </w:r>
      <w:bookmarkEnd w:id="26"/>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619"/>
        <w:gridCol w:w="3625"/>
        <w:gridCol w:w="2476"/>
        <w:gridCol w:w="1060"/>
        <w:gridCol w:w="1064"/>
      </w:tblGrid>
      <w:tr>
        <w:trPr>
          <w:tblHeader/>
          <w:cantSplit/>
        </w:trPr>
        <w:tc>
          <w:tcPr>
            <w:tcW w:w="61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Cód.</w:t>
            </w:r>
          </w:p>
        </w:tc>
        <w:tc>
          <w:tcPr>
            <w:tcW w:w="3625"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Indicador</w:t>
            </w:r>
          </w:p>
        </w:tc>
        <w:tc>
          <w:tcPr>
            <w:tcW w:w="2476"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Fonte</w:t>
            </w:r>
          </w:p>
        </w:tc>
        <w:tc>
          <w:tcPr>
            <w:tcW w:w="106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Atualização</w:t>
            </w:r>
          </w:p>
        </w:tc>
        <w:tc>
          <w:tcPr>
            <w:tcW w:w="106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Polaridade</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C1</w:t>
            </w:r>
          </w:p>
        </w:tc>
        <w:tc>
          <w:tcPr>
            <w:tcW w:w="362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Proporção da população de 0 a 4 anos</w:t>
            </w:r>
          </w:p>
        </w:tc>
        <w:tc>
          <w:tcPr>
            <w:tcW w:w="247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Estimativas populacionais por município, sexo e idade (Ministério da Saúde, ancoradas no Censo 2022)</w:t>
            </w:r>
          </w:p>
        </w:tc>
        <w:tc>
          <w:tcPr>
            <w:tcW w:w="106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Anual</w:t>
            </w:r>
          </w:p>
        </w:tc>
        <w:tc>
          <w:tcPr>
            <w:tcW w:w="106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Positiva</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C2</w:t>
            </w:r>
          </w:p>
        </w:tc>
        <w:tc>
          <w:tcPr>
            <w:tcW w:w="3625"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Proporção da população de 75 anos ou mais</w:t>
            </w:r>
          </w:p>
        </w:tc>
        <w:tc>
          <w:tcPr>
            <w:tcW w:w="247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Estimativas populacionais por município, sexo e idade (Ministério da Saúde, ancoradas no Censo 2022)</w:t>
            </w:r>
          </w:p>
        </w:tc>
        <w:tc>
          <w:tcPr>
            <w:tcW w:w="106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Anual</w:t>
            </w:r>
          </w:p>
        </w:tc>
        <w:tc>
          <w:tcPr>
            <w:tcW w:w="106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Positiva</w:t>
            </w:r>
          </w:p>
        </w:tc>
      </w:tr>
      <w:tr>
        <w:trPr>
          <w:cantSplit/>
        </w:trPr>
        <w:tc>
          <w:tcPr>
            <w:tcW w:w="619" w:type="dxa"/>
            <w:shd w:val="clear" w:color="auto" w:fill="FFFFFF"/>
            <w:vAlign w:val="top"/>
          </w:tcPr>
          <w:p>
            <w:pPr>
              <w:keepNext/>
              <w:spacing w:before="0" w:after="0" w:line="252" w:lineRule="auto"/>
              <w:jc w:val="left"/>
            </w:pPr>
            <w:r>
              <w:rPr>
                <w:rFonts w:ascii="Barlow SemiBold" w:hAnsi="Barlow SemiBold" w:cs="Barlow SemiBold" w:eastAsia="Barlow SemiBold"/>
                <w:color w:val="01366F"/>
                <w:sz w:val="17"/>
                <w:szCs w:val="17"/>
              </w:rPr>
              <w:t xml:space="preserve">C3</w:t>
            </w:r>
          </w:p>
        </w:tc>
        <w:tc>
          <w:tcPr>
            <w:tcW w:w="3625"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Proporção da população sem plano privado de assistência médica (dependência exclusiva do SUS)</w:t>
            </w:r>
          </w:p>
        </w:tc>
        <w:tc>
          <w:tcPr>
            <w:tcW w:w="2476"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ANS (SIB) e estimativas do IBGE</w:t>
            </w:r>
          </w:p>
        </w:tc>
        <w:tc>
          <w:tcPr>
            <w:tcW w:w="1060"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Mensal</w:t>
            </w:r>
          </w:p>
        </w:tc>
        <w:tc>
          <w:tcPr>
            <w:tcW w:w="1064"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Positiva</w:t>
            </w:r>
          </w:p>
        </w:tc>
      </w:tr>
    </w:tbl>
    <w:p>
      <w:pPr>
        <w:spacing w:before="60" w:after="220" w:line="240" w:lineRule="auto"/>
        <w:jc w:val="left"/>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w:t>
      </w:r>
    </w:p>
    <w:p>
      <w:pPr>
        <w:spacing w:before="0" w:after="140" w:line="300" w:lineRule="auto"/>
        <w:jc w:val="both"/>
      </w:pPr>
      <w:r>
        <w:rPr>
          <w:rFonts w:ascii="Barlow" w:hAnsi="Barlow" w:cs="Barlow" w:eastAsia="Barlow"/>
          <w:color w:val="0F2440"/>
          <w:sz w:val="20"/>
          <w:szCs w:val="20"/>
        </w:rPr>
        <w:t xml:space="preserve">Esta é a dimensão que distingue um índice de necessidade de um índice de privação, e sua inclusão é o que justifica o nome. Necessidade de saúde não é função apenas de desvantagem material: dois municípios igualmente privados, um com pirâmide etária jovem e outro envelhecido, demandam volumes e composições de cuidado substancialmente diferentes. Como o IBGE publica anualmente apenas a população total de cada município, sem estrutura etária, C1 e C2 usam as estimativas por sexo e idade disponibilizadas pelo Ministério da Saúde, cujo método deve ser declarado em cada edição. C1 e C2 captam os dois extremos etários de maior consumo per capita de cuidado e são preferíveis à razão de dependência total, que os agrega e, ao fazê-lo, cancela informação relevante para o dimensionamento da rede.</w:t>
      </w:r>
    </w:p>
    <w:p>
      <w:pPr>
        <w:spacing w:before="0" w:after="140" w:line="300" w:lineRule="auto"/>
        <w:jc w:val="both"/>
      </w:pPr>
      <w:r>
        <w:rPr>
          <w:rFonts w:ascii="Barlow" w:hAnsi="Barlow" w:cs="Barlow" w:eastAsia="Barlow"/>
          <w:color w:val="0F2440"/>
          <w:sz w:val="20"/>
          <w:szCs w:val="20"/>
        </w:rPr>
        <w:t xml:space="preserve">C3 é marcador direto da demanda potencial sobre o SUS e medida indireta de inserção no mercado formal de trabalho, exógena ao sistema público e publicada mensalmente pela Agência Nacional de Saúde Suplementar. Não é indicador de oferta: mede quantas pessoas dependem do sistema, e não quanto sistema existe. Por sua forte associação esperada com a renda (A1), a colinearidade entre os dois é verificada na validação da estrutura interna (seção 6.1).</w:t>
      </w:r>
    </w:p>
    <w:p>
      <w:pPr>
        <w:pStyle w:val="Heading3"/>
        <w:keepNext/>
        <w:spacing w:before="260" w:after="100" w:line="264" w:lineRule="auto"/>
        <w:jc w:val="left"/>
      </w:pPr>
      <w:bookmarkStart w:id="27" w:name="_h20"/>
      <w:r>
        <w:rPr>
          <w:rFonts w:ascii="Barlow Condensed SemiBold" w:hAnsi="Barlow Condensed SemiBold" w:cs="Barlow Condensed SemiBold" w:eastAsia="Barlow Condensed SemiBold"/>
          <w:i/>
          <w:iCs/>
          <w:color w:val="01366F"/>
          <w:sz w:val="25"/>
          <w:szCs w:val="25"/>
        </w:rPr>
        <w:t xml:space="preserve">Dimensão D — Barreiras territoriais</w:t>
      </w:r>
      <w:bookmarkEnd w:id="27"/>
    </w:p>
    <w:p>
      <w:pPr>
        <w:keepNext/>
        <w:spacing w:before="200" w:after="100" w:line="264" w:lineRule="auto"/>
        <w:jc w:val="left"/>
      </w:pPr>
      <w:bookmarkStart w:id="28" w:name="_q_6"/>
      <w:r>
        <w:rPr>
          <w:rFonts w:ascii="Barlow Condensed SemiBold" w:hAnsi="Barlow Condensed SemiBold" w:cs="Barlow Condensed SemiBold" w:eastAsia="Barlow Condensed SemiBold"/>
          <w:color w:val="007614"/>
          <w:sz w:val="21"/>
          <w:szCs w:val="21"/>
        </w:rPr>
        <w:t xml:space="preserve">Quadro 6 – </w:t>
      </w:r>
      <w:r>
        <w:rPr>
          <w:rFonts w:ascii="Barlow Condensed SemiBold" w:hAnsi="Barlow Condensed SemiBold" w:cs="Barlow Condensed SemiBold" w:eastAsia="Barlow Condensed SemiBold"/>
          <w:color w:val="01366F"/>
          <w:sz w:val="21"/>
          <w:szCs w:val="21"/>
        </w:rPr>
        <w:t xml:space="preserve">Indicadores da Dimensão D</w:t>
      </w:r>
      <w:bookmarkEnd w:id="28"/>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619"/>
        <w:gridCol w:w="3625"/>
        <w:gridCol w:w="2476"/>
        <w:gridCol w:w="1060"/>
        <w:gridCol w:w="1064"/>
      </w:tblGrid>
      <w:tr>
        <w:trPr>
          <w:tblHeader/>
          <w:cantSplit/>
        </w:trPr>
        <w:tc>
          <w:tcPr>
            <w:tcW w:w="61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Cód.</w:t>
            </w:r>
          </w:p>
        </w:tc>
        <w:tc>
          <w:tcPr>
            <w:tcW w:w="3625"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Indicador</w:t>
            </w:r>
          </w:p>
        </w:tc>
        <w:tc>
          <w:tcPr>
            <w:tcW w:w="2476"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Fonte</w:t>
            </w:r>
          </w:p>
        </w:tc>
        <w:tc>
          <w:tcPr>
            <w:tcW w:w="106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Atualização</w:t>
            </w:r>
          </w:p>
        </w:tc>
        <w:tc>
          <w:tcPr>
            <w:tcW w:w="106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Polaridade</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D1</w:t>
            </w:r>
          </w:p>
        </w:tc>
        <w:tc>
          <w:tcPr>
            <w:tcW w:w="3625" w:type="dxa"/>
            <w:shd w:val="clear" w:color="auto" w:fill="FFFFFF"/>
            <w:vAlign w:val="top"/>
          </w:tcPr>
          <w:p>
            <w:pPr>
              <w:spacing w:before="0" w:after="0" w:line="252" w:lineRule="auto"/>
              <w:jc w:val="left"/>
            </w:pPr>
            <w:r>
              <w:rPr>
                <w:rFonts w:ascii="Barlow" w:hAnsi="Barlow" w:cs="Barlow" w:eastAsia="Barlow"/>
                <w:color w:val="0F2440"/>
                <w:sz w:val="17"/>
                <w:szCs w:val="17"/>
              </w:rPr>
              <w:t xml:space="preserve">Tempo mínimo de deslocamento até a sede do município-polo da Região Geográfica Imediata</w:t>
            </w:r>
          </w:p>
        </w:tc>
        <w:tc>
          <w:tcPr>
            <w:tcW w:w="247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IBGE (divisão regional e ligações rodoviárias e hidroviárias)</w:t>
            </w:r>
          </w:p>
        </w:tc>
        <w:tc>
          <w:tcPr>
            <w:tcW w:w="106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Irregular (estrutural)</w:t>
            </w:r>
          </w:p>
        </w:tc>
        <w:tc>
          <w:tcPr>
            <w:tcW w:w="106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Positiva</w:t>
            </w:r>
          </w:p>
        </w:tc>
      </w:tr>
      <w:tr>
        <w:trPr>
          <w:cantSplit/>
        </w:trPr>
        <w:tc>
          <w:tcPr>
            <w:tcW w:w="619" w:type="dxa"/>
            <w:shd w:val="clear" w:color="auto" w:fill="E9F2EB"/>
            <w:vAlign w:val="top"/>
          </w:tcPr>
          <w:p>
            <w:pPr>
              <w:keepNext/>
              <w:spacing w:before="0" w:after="0" w:line="252" w:lineRule="auto"/>
              <w:jc w:val="left"/>
            </w:pPr>
            <w:r>
              <w:rPr>
                <w:rFonts w:ascii="Barlow SemiBold" w:hAnsi="Barlow SemiBold" w:cs="Barlow SemiBold" w:eastAsia="Barlow SemiBold"/>
                <w:color w:val="01366F"/>
                <w:sz w:val="17"/>
                <w:szCs w:val="17"/>
              </w:rPr>
              <w:t xml:space="preserve">D2</w:t>
            </w:r>
          </w:p>
        </w:tc>
        <w:tc>
          <w:tcPr>
            <w:tcW w:w="3625"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Proporção da população em situação territorial precária (domicílio rural, em favela ou comunidade urbana, em terra indígena ou em território quilombola)</w:t>
            </w:r>
          </w:p>
        </w:tc>
        <w:tc>
          <w:tcPr>
            <w:tcW w:w="2476"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Censo 2022</w:t>
            </w:r>
          </w:p>
        </w:tc>
        <w:tc>
          <w:tcPr>
            <w:tcW w:w="1060"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Decenal</w:t>
            </w:r>
          </w:p>
        </w:tc>
        <w:tc>
          <w:tcPr>
            <w:tcW w:w="1064"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Positiva</w:t>
            </w:r>
          </w:p>
        </w:tc>
      </w:tr>
    </w:tbl>
    <w:p>
      <w:pPr>
        <w:spacing w:before="60" w:after="220" w:line="240" w:lineRule="auto"/>
        <w:jc w:val="left"/>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w:t>
      </w:r>
    </w:p>
    <w:p>
      <w:pPr>
        <w:spacing w:before="0" w:after="140" w:line="300" w:lineRule="auto"/>
        <w:jc w:val="both"/>
      </w:pPr>
      <w:r>
        <w:rPr>
          <w:rFonts w:ascii="Barlow" w:hAnsi="Barlow" w:cs="Barlow" w:eastAsia="Barlow"/>
          <w:color w:val="0F2440"/>
          <w:sz w:val="20"/>
          <w:szCs w:val="20"/>
        </w:rPr>
        <w:t xml:space="preserve">A dimensão, chamada na versão anterior de "exposição territorial e barreiras estruturais", passa a chamar-se "barreiras territoriais", porque a exposição a riscos passou a ser lida no mapa do território. Ela incorpora o que a família Townsend–Carstairs não vê e que o </w:t>
      </w:r>
      <w:r>
        <w:rPr>
          <w:rFonts w:ascii="Barlow" w:hAnsi="Barlow" w:cs="Barlow" w:eastAsia="Barlow"/>
          <w:i/>
          <w:iCs/>
          <w:color w:val="0F2440"/>
          <w:sz w:val="20"/>
          <w:szCs w:val="20"/>
        </w:rPr>
        <w:t xml:space="preserve">Index of Multiple Deprivation</w:t>
      </w:r>
      <w:r>
        <w:rPr>
          <w:rFonts w:ascii="Barlow" w:hAnsi="Barlow" w:cs="Barlow" w:eastAsia="Barlow"/>
          <w:color w:val="0F2440"/>
          <w:sz w:val="20"/>
          <w:szCs w:val="20"/>
        </w:rPr>
        <w:t xml:space="preserve"> trata como barreiras de acesso: a fricção do território. Em um país de dimensões continentais e dispersão territorial extrema, ignorar o isolamento é ignorar um determinante de primeira ordem da necessidade, que não se confunde com oferta, porque mede a distância a percorrer e não a presença de serviços.</w:t>
      </w:r>
    </w:p>
    <w:p>
      <w:pPr>
        <w:spacing w:before="0" w:after="140" w:line="300" w:lineRule="auto"/>
        <w:jc w:val="both"/>
      </w:pPr>
      <w:r>
        <w:rPr>
          <w:rFonts w:ascii="Barlow" w:hAnsi="Barlow" w:cs="Barlow" w:eastAsia="Barlow"/>
          <w:color w:val="0F2440"/>
          <w:sz w:val="20"/>
          <w:szCs w:val="20"/>
        </w:rPr>
        <w:t xml:space="preserve">O indicador de fricção territorial (D2 na versão 1.0) foi especificado, na versão anterior, como tempo de deslocamento extraído do estudo Regiões de Influência das Cidades (REGIC), com periodicidade quinquenal. A especificação continha dois erros: o REGIC classifica a hierarquia urbana e não publica tempos de deslocamento, e suas edições recentes são de 2007 e 2018. O indicador passa a ser calculado sobre a malha de ligações rodoviárias e hidroviárias do IBGE, tendo como destino a sede do município-polo da Região Geográfica Imediata. A inclusão do modal hidroviário corrige a subestimação da fricção nos municípios amazônicos, apontada como limitação na versão 1.0.</w:t>
      </w:r>
    </w:p>
    <w:p>
      <w:pPr>
        <w:pStyle w:val="Heading2"/>
        <w:keepNext/>
        <w:spacing w:before="340" w:after="120" w:line="264" w:lineRule="auto"/>
        <w:jc w:val="left"/>
      </w:pPr>
      <w:bookmarkStart w:id="29" w:name="_h21"/>
      <w:r>
        <w:rPr>
          <w:rFonts w:ascii="Barlow Condensed SemiBold" w:hAnsi="Barlow Condensed SemiBold" w:cs="Barlow Condensed SemiBold" w:eastAsia="Barlow Condensed SemiBold"/>
          <w:color w:val="007614"/>
          <w:sz w:val="30"/>
          <w:szCs w:val="30"/>
        </w:rPr>
        <w:t xml:space="preserve">4.4 Matriz de aderência aos critérios de qualidade</w:t>
      </w:r>
      <w:bookmarkEnd w:id="29"/>
    </w:p>
    <w:p>
      <w:pPr>
        <w:spacing w:before="0" w:after="140" w:line="300" w:lineRule="auto"/>
        <w:jc w:val="both"/>
      </w:pPr>
      <w:r>
        <w:rPr>
          <w:rFonts w:ascii="Barlow" w:hAnsi="Barlow" w:cs="Barlow" w:eastAsia="Barlow"/>
          <w:color w:val="0F2440"/>
          <w:sz w:val="20"/>
          <w:szCs w:val="20"/>
        </w:rPr>
        <w:t xml:space="preserve">O Quadro 7 aplica as propriedades de Jannuzzi a cada indicador. "A" indica que o indicador atende à propriedade; "P", que atende parcialmente, com a ressalva registrada e a mitigação descrita no Anexo B. Nenhum indicador que deixasse de atender a validade, cobertura ou desagregabilidade municipal foi mantido; três indicadores que não atendem à periodicidade anual (B3, D1 e D2) foram mantidos como âncoras estruturais e excluídos do INS Dinâmico.</w:t>
      </w:r>
    </w:p>
    <w:p>
      <w:pPr>
        <w:keepNext/>
        <w:spacing w:before="200" w:after="100" w:line="264" w:lineRule="auto"/>
        <w:jc w:val="left"/>
      </w:pPr>
      <w:bookmarkStart w:id="30" w:name="_q_7"/>
      <w:r>
        <w:rPr>
          <w:rFonts w:ascii="Barlow Condensed SemiBold" w:hAnsi="Barlow Condensed SemiBold" w:cs="Barlow Condensed SemiBold" w:eastAsia="Barlow Condensed SemiBold"/>
          <w:color w:val="007614"/>
          <w:sz w:val="21"/>
          <w:szCs w:val="21"/>
        </w:rPr>
        <w:t xml:space="preserve">Quadro 7 – </w:t>
      </w:r>
      <w:r>
        <w:rPr>
          <w:rFonts w:ascii="Barlow Condensed SemiBold" w:hAnsi="Barlow Condensed SemiBold" w:cs="Barlow Condensed SemiBold" w:eastAsia="Barlow Condensed SemiBold"/>
          <w:color w:val="01366F"/>
          <w:sz w:val="21"/>
          <w:szCs w:val="21"/>
        </w:rPr>
        <w:t xml:space="preserve">Matriz de aderência às propriedades de um indicador social</w:t>
      </w:r>
      <w:bookmarkEnd w:id="30"/>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533"/>
        <w:gridCol w:w="577"/>
        <w:gridCol w:w="577"/>
        <w:gridCol w:w="577"/>
        <w:gridCol w:w="577"/>
        <w:gridCol w:w="577"/>
        <w:gridCol w:w="577"/>
        <w:gridCol w:w="577"/>
        <w:gridCol w:w="577"/>
        <w:gridCol w:w="577"/>
        <w:gridCol w:w="577"/>
        <w:gridCol w:w="577"/>
        <w:gridCol w:w="1964"/>
      </w:tblGrid>
      <w:tr>
        <w:trPr>
          <w:tblHeader/>
          <w:cantSplit/>
        </w:trPr>
        <w:tc>
          <w:tcPr>
            <w:tcW w:w="533"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4"/>
                <w:szCs w:val="14"/>
              </w:rPr>
              <w:t xml:space="preserve">Ind.</w:t>
            </w:r>
          </w:p>
        </w:tc>
        <w:tc>
          <w:tcPr>
            <w:tcW w:w="577"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4"/>
                <w:szCs w:val="14"/>
              </w:rPr>
              <w:t xml:space="preserve">Rel</w:t>
            </w:r>
          </w:p>
        </w:tc>
        <w:tc>
          <w:tcPr>
            <w:tcW w:w="577"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4"/>
                <w:szCs w:val="14"/>
              </w:rPr>
              <w:t xml:space="preserve">Val</w:t>
            </w:r>
          </w:p>
        </w:tc>
        <w:tc>
          <w:tcPr>
            <w:tcW w:w="577"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4"/>
                <w:szCs w:val="14"/>
              </w:rPr>
              <w:t xml:space="preserve">Conf</w:t>
            </w:r>
          </w:p>
        </w:tc>
        <w:tc>
          <w:tcPr>
            <w:tcW w:w="577"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4"/>
                <w:szCs w:val="14"/>
              </w:rPr>
              <w:t xml:space="preserve">Cob</w:t>
            </w:r>
          </w:p>
        </w:tc>
        <w:tc>
          <w:tcPr>
            <w:tcW w:w="577"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4"/>
                <w:szCs w:val="14"/>
              </w:rPr>
              <w:t xml:space="preserve">Sens</w:t>
            </w:r>
          </w:p>
        </w:tc>
        <w:tc>
          <w:tcPr>
            <w:tcW w:w="577"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4"/>
                <w:szCs w:val="14"/>
              </w:rPr>
              <w:t xml:space="preserve">Esp</w:t>
            </w:r>
          </w:p>
        </w:tc>
        <w:tc>
          <w:tcPr>
            <w:tcW w:w="577"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4"/>
                <w:szCs w:val="14"/>
              </w:rPr>
              <w:t xml:space="preserve">Int</w:t>
            </w:r>
          </w:p>
        </w:tc>
        <w:tc>
          <w:tcPr>
            <w:tcW w:w="577"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4"/>
                <w:szCs w:val="14"/>
              </w:rPr>
              <w:t xml:space="preserve">Fac</w:t>
            </w:r>
          </w:p>
        </w:tc>
        <w:tc>
          <w:tcPr>
            <w:tcW w:w="577"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4"/>
                <w:szCs w:val="14"/>
              </w:rPr>
              <w:t xml:space="preserve">Per</w:t>
            </w:r>
          </w:p>
        </w:tc>
        <w:tc>
          <w:tcPr>
            <w:tcW w:w="577"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4"/>
                <w:szCs w:val="14"/>
              </w:rPr>
              <w:t xml:space="preserve">Des</w:t>
            </w:r>
          </w:p>
        </w:tc>
        <w:tc>
          <w:tcPr>
            <w:tcW w:w="577"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4"/>
                <w:szCs w:val="14"/>
              </w:rPr>
              <w:t xml:space="preserve">His</w:t>
            </w:r>
          </w:p>
        </w:tc>
        <w:tc>
          <w:tcPr>
            <w:tcW w:w="196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4"/>
                <w:szCs w:val="14"/>
              </w:rPr>
              <w:t xml:space="preserve">Principal ressalva e mitigação</w:t>
            </w:r>
          </w:p>
        </w:tc>
      </w:tr>
      <w:tr>
        <w:trPr>
          <w:cantSplit/>
        </w:trPr>
        <w:tc>
          <w:tcPr>
            <w:tcW w:w="533" w:type="dxa"/>
            <w:shd w:val="clear" w:color="auto" w:fill="FFFFFF"/>
            <w:vAlign w:val="top"/>
          </w:tcPr>
          <w:p>
            <w:pPr>
              <w:spacing w:before="0" w:after="0" w:line="252" w:lineRule="auto"/>
              <w:jc w:val="left"/>
            </w:pPr>
            <w:r>
              <w:rPr>
                <w:rFonts w:ascii="Barlow SemiBold" w:hAnsi="Barlow SemiBold" w:cs="Barlow SemiBold" w:eastAsia="Barlow SemiBold"/>
                <w:color w:val="01366F"/>
                <w:sz w:val="15"/>
                <w:szCs w:val="15"/>
              </w:rPr>
              <w:t xml:space="preserve">A1</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P</w:t>
            </w:r>
          </w:p>
        </w:tc>
        <w:tc>
          <w:tcPr>
            <w:tcW w:w="1964" w:type="dxa"/>
            <w:shd w:val="clear" w:color="auto" w:fill="FFFFFF"/>
            <w:vAlign w:val="top"/>
          </w:tcPr>
          <w:p>
            <w:pPr>
              <w:spacing w:before="0" w:after="0" w:line="252" w:lineRule="auto"/>
              <w:jc w:val="left"/>
            </w:pPr>
            <w:r>
              <w:rPr>
                <w:rFonts w:ascii="Barlow" w:hAnsi="Barlow" w:cs="Barlow" w:eastAsia="Barlow"/>
                <w:color w:val="0F2440"/>
                <w:sz w:val="15"/>
                <w:szCs w:val="15"/>
              </w:rPr>
              <w:t xml:space="preserve">Renda declarada; cobertura do CadÚnico; linha real fixa e encadeamento</w:t>
            </w:r>
          </w:p>
        </w:tc>
      </w:tr>
      <w:tr>
        <w:trPr>
          <w:cantSplit/>
        </w:trPr>
        <w:tc>
          <w:tcPr>
            <w:tcW w:w="533" w:type="dxa"/>
            <w:shd w:val="clear" w:color="auto" w:fill="E9F2EB"/>
            <w:vAlign w:val="top"/>
          </w:tcPr>
          <w:p>
            <w:pPr>
              <w:spacing w:before="0" w:after="0" w:line="252" w:lineRule="auto"/>
              <w:jc w:val="left"/>
            </w:pPr>
            <w:r>
              <w:rPr>
                <w:rFonts w:ascii="Barlow SemiBold" w:hAnsi="Barlow SemiBold" w:cs="Barlow SemiBold" w:eastAsia="Barlow SemiBold"/>
                <w:color w:val="01366F"/>
                <w:sz w:val="15"/>
                <w:szCs w:val="15"/>
              </w:rPr>
              <w:t xml:space="preserve">A2</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1964" w:type="dxa"/>
            <w:shd w:val="clear" w:color="auto" w:fill="E9F2EB"/>
            <w:vAlign w:val="top"/>
          </w:tcPr>
          <w:p>
            <w:pPr>
              <w:spacing w:before="0" w:after="0" w:line="252" w:lineRule="auto"/>
              <w:jc w:val="left"/>
            </w:pPr>
            <w:r>
              <w:rPr>
                <w:rFonts w:ascii="Barlow" w:hAnsi="Barlow" w:cs="Barlow" w:eastAsia="Barlow"/>
                <w:color w:val="0F2440"/>
                <w:sz w:val="15"/>
                <w:szCs w:val="15"/>
              </w:rPr>
              <w:t xml:space="preserve">Reporte parcial ao SINISA; valor censitário mantido e sinalizado</w:t>
            </w:r>
          </w:p>
        </w:tc>
      </w:tr>
      <w:tr>
        <w:trPr>
          <w:cantSplit/>
        </w:trPr>
        <w:tc>
          <w:tcPr>
            <w:tcW w:w="533" w:type="dxa"/>
            <w:shd w:val="clear" w:color="auto" w:fill="FFFFFF"/>
            <w:vAlign w:val="top"/>
          </w:tcPr>
          <w:p>
            <w:pPr>
              <w:spacing w:before="0" w:after="0" w:line="252" w:lineRule="auto"/>
              <w:jc w:val="left"/>
            </w:pPr>
            <w:r>
              <w:rPr>
                <w:rFonts w:ascii="Barlow SemiBold" w:hAnsi="Barlow SemiBold" w:cs="Barlow SemiBold" w:eastAsia="Barlow SemiBold"/>
                <w:color w:val="01366F"/>
                <w:sz w:val="15"/>
                <w:szCs w:val="15"/>
              </w:rPr>
              <w:t xml:space="preserve">A3</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1964" w:type="dxa"/>
            <w:shd w:val="clear" w:color="auto" w:fill="FFFFFF"/>
            <w:vAlign w:val="top"/>
          </w:tcPr>
          <w:p>
            <w:pPr>
              <w:spacing w:before="0" w:after="0" w:line="252" w:lineRule="auto"/>
              <w:jc w:val="left"/>
            </w:pPr>
            <w:r>
              <w:rPr>
                <w:rFonts w:ascii="Barlow" w:hAnsi="Barlow" w:cs="Barlow" w:eastAsia="Barlow"/>
                <w:color w:val="0F2440"/>
                <w:sz w:val="15"/>
                <w:szCs w:val="15"/>
              </w:rPr>
              <w:t xml:space="preserve">Variação só na população do CadÚnico; truncamento e metaindicador</w:t>
            </w:r>
          </w:p>
        </w:tc>
      </w:tr>
      <w:tr>
        <w:trPr>
          <w:cantSplit/>
        </w:trPr>
        <w:tc>
          <w:tcPr>
            <w:tcW w:w="533" w:type="dxa"/>
            <w:shd w:val="clear" w:color="auto" w:fill="E9F2EB"/>
            <w:vAlign w:val="top"/>
          </w:tcPr>
          <w:p>
            <w:pPr>
              <w:spacing w:before="0" w:after="0" w:line="252" w:lineRule="auto"/>
              <w:jc w:val="left"/>
            </w:pPr>
            <w:r>
              <w:rPr>
                <w:rFonts w:ascii="Barlow SemiBold" w:hAnsi="Barlow SemiBold" w:cs="Barlow SemiBold" w:eastAsia="Barlow SemiBold"/>
                <w:color w:val="01366F"/>
                <w:sz w:val="15"/>
                <w:szCs w:val="15"/>
              </w:rPr>
              <w:t xml:space="preserve">B1</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P</w:t>
            </w:r>
          </w:p>
        </w:tc>
        <w:tc>
          <w:tcPr>
            <w:tcW w:w="1964" w:type="dxa"/>
            <w:shd w:val="clear" w:color="auto" w:fill="E9F2EB"/>
            <w:vAlign w:val="top"/>
          </w:tcPr>
          <w:p>
            <w:pPr>
              <w:spacing w:before="0" w:after="0" w:line="252" w:lineRule="auto"/>
              <w:jc w:val="left"/>
            </w:pPr>
            <w:r>
              <w:rPr>
                <w:rFonts w:ascii="Barlow" w:hAnsi="Barlow" w:cs="Barlow" w:eastAsia="Barlow"/>
                <w:color w:val="0F2440"/>
                <w:sz w:val="15"/>
                <w:szCs w:val="15"/>
              </w:rPr>
              <w:t xml:space="preserve">Escola e não residência; regimes de fluxo; sensibilidade por UF</w:t>
            </w:r>
          </w:p>
        </w:tc>
      </w:tr>
      <w:tr>
        <w:trPr>
          <w:cantSplit/>
        </w:trPr>
        <w:tc>
          <w:tcPr>
            <w:tcW w:w="533" w:type="dxa"/>
            <w:shd w:val="clear" w:color="auto" w:fill="FFFFFF"/>
            <w:vAlign w:val="top"/>
          </w:tcPr>
          <w:p>
            <w:pPr>
              <w:spacing w:before="0" w:after="0" w:line="252" w:lineRule="auto"/>
              <w:jc w:val="left"/>
            </w:pPr>
            <w:r>
              <w:rPr>
                <w:rFonts w:ascii="Barlow SemiBold" w:hAnsi="Barlow SemiBold" w:cs="Barlow SemiBold" w:eastAsia="Barlow SemiBold"/>
                <w:color w:val="01366F"/>
                <w:sz w:val="15"/>
                <w:szCs w:val="15"/>
              </w:rPr>
              <w:t xml:space="preserve">B2</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P</w:t>
            </w:r>
          </w:p>
        </w:tc>
        <w:tc>
          <w:tcPr>
            <w:tcW w:w="1964" w:type="dxa"/>
            <w:shd w:val="clear" w:color="auto" w:fill="FFFFFF"/>
            <w:vAlign w:val="top"/>
          </w:tcPr>
          <w:p>
            <w:pPr>
              <w:spacing w:before="0" w:after="0" w:line="252" w:lineRule="auto"/>
              <w:jc w:val="left"/>
            </w:pPr>
            <w:r>
              <w:rPr>
                <w:rFonts w:ascii="Barlow" w:hAnsi="Barlow" w:cs="Barlow" w:eastAsia="Barlow"/>
                <w:color w:val="0F2440"/>
                <w:sz w:val="15"/>
                <w:szCs w:val="15"/>
              </w:rPr>
              <w:t xml:space="preserve">Municípios sem ensino médio; imputação e sinalização</w:t>
            </w:r>
          </w:p>
        </w:tc>
      </w:tr>
      <w:tr>
        <w:trPr>
          <w:cantSplit/>
        </w:trPr>
        <w:tc>
          <w:tcPr>
            <w:tcW w:w="533" w:type="dxa"/>
            <w:shd w:val="clear" w:color="auto" w:fill="E9F2EB"/>
            <w:vAlign w:val="top"/>
          </w:tcPr>
          <w:p>
            <w:pPr>
              <w:spacing w:before="0" w:after="0" w:line="252" w:lineRule="auto"/>
              <w:jc w:val="left"/>
            </w:pPr>
            <w:r>
              <w:rPr>
                <w:rFonts w:ascii="Barlow SemiBold" w:hAnsi="Barlow SemiBold" w:cs="Barlow SemiBold" w:eastAsia="Barlow SemiBold"/>
                <w:color w:val="01366F"/>
                <w:sz w:val="15"/>
                <w:szCs w:val="15"/>
              </w:rPr>
              <w:t xml:space="preserve">B3</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1964" w:type="dxa"/>
            <w:shd w:val="clear" w:color="auto" w:fill="E9F2EB"/>
            <w:vAlign w:val="top"/>
          </w:tcPr>
          <w:p>
            <w:pPr>
              <w:spacing w:before="0" w:after="0" w:line="252" w:lineRule="auto"/>
              <w:jc w:val="left"/>
            </w:pPr>
            <w:r>
              <w:rPr>
                <w:rFonts w:ascii="Barlow" w:hAnsi="Barlow" w:cs="Barlow" w:eastAsia="Barlow"/>
                <w:color w:val="0F2440"/>
                <w:sz w:val="15"/>
                <w:szCs w:val="15"/>
              </w:rPr>
              <w:t xml:space="preserve">Decenal; âncora estrutural fora do INS Dinâmico</w:t>
            </w:r>
          </w:p>
        </w:tc>
      </w:tr>
      <w:tr>
        <w:trPr>
          <w:cantSplit/>
        </w:trPr>
        <w:tc>
          <w:tcPr>
            <w:tcW w:w="533" w:type="dxa"/>
            <w:shd w:val="clear" w:color="auto" w:fill="FFFFFF"/>
            <w:vAlign w:val="top"/>
          </w:tcPr>
          <w:p>
            <w:pPr>
              <w:spacing w:before="0" w:after="0" w:line="252" w:lineRule="auto"/>
              <w:jc w:val="left"/>
            </w:pPr>
            <w:r>
              <w:rPr>
                <w:rFonts w:ascii="Barlow SemiBold" w:hAnsi="Barlow SemiBold" w:cs="Barlow SemiBold" w:eastAsia="Barlow SemiBold"/>
                <w:color w:val="01366F"/>
                <w:sz w:val="15"/>
                <w:szCs w:val="15"/>
              </w:rPr>
              <w:t xml:space="preserve">C1</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1964" w:type="dxa"/>
            <w:shd w:val="clear" w:color="auto" w:fill="FFFFFF"/>
            <w:vAlign w:val="top"/>
          </w:tcPr>
          <w:p>
            <w:pPr>
              <w:spacing w:before="0" w:after="0" w:line="252" w:lineRule="auto"/>
              <w:jc w:val="left"/>
            </w:pPr>
            <w:r>
              <w:rPr>
                <w:rFonts w:ascii="Barlow" w:hAnsi="Barlow" w:cs="Barlow" w:eastAsia="Barlow"/>
                <w:color w:val="0F2440"/>
                <w:sz w:val="15"/>
                <w:szCs w:val="15"/>
              </w:rPr>
              <w:t xml:space="preserve">Estimativas intercensitárias perdem precisão</w:t>
            </w:r>
          </w:p>
        </w:tc>
      </w:tr>
      <w:tr>
        <w:trPr>
          <w:cantSplit/>
        </w:trPr>
        <w:tc>
          <w:tcPr>
            <w:tcW w:w="533" w:type="dxa"/>
            <w:shd w:val="clear" w:color="auto" w:fill="E9F2EB"/>
            <w:vAlign w:val="top"/>
          </w:tcPr>
          <w:p>
            <w:pPr>
              <w:spacing w:before="0" w:after="0" w:line="252" w:lineRule="auto"/>
              <w:jc w:val="left"/>
            </w:pPr>
            <w:r>
              <w:rPr>
                <w:rFonts w:ascii="Barlow SemiBold" w:hAnsi="Barlow SemiBold" w:cs="Barlow SemiBold" w:eastAsia="Barlow SemiBold"/>
                <w:color w:val="01366F"/>
                <w:sz w:val="15"/>
                <w:szCs w:val="15"/>
              </w:rPr>
              <w:t xml:space="preserve">C2</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1964" w:type="dxa"/>
            <w:shd w:val="clear" w:color="auto" w:fill="E9F2EB"/>
            <w:vAlign w:val="top"/>
          </w:tcPr>
          <w:p>
            <w:pPr>
              <w:spacing w:before="0" w:after="0" w:line="252" w:lineRule="auto"/>
              <w:jc w:val="left"/>
            </w:pPr>
            <w:r>
              <w:rPr>
                <w:rFonts w:ascii="Barlow" w:hAnsi="Barlow" w:cs="Barlow" w:eastAsia="Barlow"/>
                <w:color w:val="0F2440"/>
                <w:sz w:val="15"/>
                <w:szCs w:val="15"/>
              </w:rPr>
              <w:t xml:space="preserve">Esvaziamento do denominador por emigração de jovens</w:t>
            </w:r>
          </w:p>
        </w:tc>
      </w:tr>
      <w:tr>
        <w:trPr>
          <w:cantSplit/>
        </w:trPr>
        <w:tc>
          <w:tcPr>
            <w:tcW w:w="533" w:type="dxa"/>
            <w:shd w:val="clear" w:color="auto" w:fill="FFFFFF"/>
            <w:vAlign w:val="top"/>
          </w:tcPr>
          <w:p>
            <w:pPr>
              <w:spacing w:before="0" w:after="0" w:line="252" w:lineRule="auto"/>
              <w:jc w:val="left"/>
            </w:pPr>
            <w:r>
              <w:rPr>
                <w:rFonts w:ascii="Barlow SemiBold" w:hAnsi="Barlow SemiBold" w:cs="Barlow SemiBold" w:eastAsia="Barlow SemiBold"/>
                <w:color w:val="01366F"/>
                <w:sz w:val="15"/>
                <w:szCs w:val="15"/>
              </w:rPr>
              <w:t xml:space="preserve">C3</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spacing w:before="0" w:after="0" w:line="252" w:lineRule="auto"/>
              <w:jc w:val="center"/>
            </w:pPr>
            <w:r>
              <w:rPr>
                <w:rFonts w:ascii="Barlow" w:hAnsi="Barlow" w:cs="Barlow" w:eastAsia="Barlow"/>
                <w:color w:val="0F2440"/>
                <w:sz w:val="15"/>
                <w:szCs w:val="15"/>
              </w:rPr>
              <w:t xml:space="preserve">A</w:t>
            </w:r>
          </w:p>
        </w:tc>
        <w:tc>
          <w:tcPr>
            <w:tcW w:w="1964" w:type="dxa"/>
            <w:shd w:val="clear" w:color="auto" w:fill="FFFFFF"/>
            <w:vAlign w:val="top"/>
          </w:tcPr>
          <w:p>
            <w:pPr>
              <w:spacing w:before="0" w:after="0" w:line="252" w:lineRule="auto"/>
              <w:jc w:val="left"/>
            </w:pPr>
            <w:r>
              <w:rPr>
                <w:rFonts w:ascii="Barlow" w:hAnsi="Barlow" w:cs="Barlow" w:eastAsia="Barlow"/>
                <w:color w:val="0F2440"/>
                <w:sz w:val="15"/>
                <w:szCs w:val="15"/>
              </w:rPr>
              <w:t xml:space="preserve">Cadastro das operadoras; leitura conjunta com A1</w:t>
            </w:r>
          </w:p>
        </w:tc>
      </w:tr>
      <w:tr>
        <w:trPr>
          <w:cantSplit/>
        </w:trPr>
        <w:tc>
          <w:tcPr>
            <w:tcW w:w="533" w:type="dxa"/>
            <w:shd w:val="clear" w:color="auto" w:fill="E9F2EB"/>
            <w:vAlign w:val="top"/>
          </w:tcPr>
          <w:p>
            <w:pPr>
              <w:spacing w:before="0" w:after="0" w:line="252" w:lineRule="auto"/>
              <w:jc w:val="left"/>
            </w:pPr>
            <w:r>
              <w:rPr>
                <w:rFonts w:ascii="Barlow SemiBold" w:hAnsi="Barlow SemiBold" w:cs="Barlow SemiBold" w:eastAsia="Barlow SemiBold"/>
                <w:color w:val="01366F"/>
                <w:sz w:val="15"/>
                <w:szCs w:val="15"/>
              </w:rPr>
              <w:t xml:space="preserve">D1</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P</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A</w:t>
            </w:r>
          </w:p>
        </w:tc>
        <w:tc>
          <w:tcPr>
            <w:tcW w:w="577" w:type="dxa"/>
            <w:shd w:val="clear" w:color="auto" w:fill="E9F2EB"/>
            <w:vAlign w:val="top"/>
          </w:tcPr>
          <w:p>
            <w:pPr>
              <w:spacing w:before="0" w:after="0" w:line="252" w:lineRule="auto"/>
              <w:jc w:val="center"/>
            </w:pPr>
            <w:r>
              <w:rPr>
                <w:rFonts w:ascii="Barlow" w:hAnsi="Barlow" w:cs="Barlow" w:eastAsia="Barlow"/>
                <w:color w:val="0F2440"/>
                <w:sz w:val="15"/>
                <w:szCs w:val="15"/>
              </w:rPr>
              <w:t xml:space="preserve">P</w:t>
            </w:r>
          </w:p>
        </w:tc>
        <w:tc>
          <w:tcPr>
            <w:tcW w:w="1964" w:type="dxa"/>
            <w:shd w:val="clear" w:color="auto" w:fill="E9F2EB"/>
            <w:vAlign w:val="top"/>
          </w:tcPr>
          <w:p>
            <w:pPr>
              <w:spacing w:before="0" w:after="0" w:line="252" w:lineRule="auto"/>
              <w:jc w:val="left"/>
            </w:pPr>
            <w:r>
              <w:rPr>
                <w:rFonts w:ascii="Barlow" w:hAnsi="Barlow" w:cs="Barlow" w:eastAsia="Barlow"/>
                <w:color w:val="0F2440"/>
                <w:sz w:val="15"/>
                <w:szCs w:val="15"/>
              </w:rPr>
              <w:t xml:space="preserve">Atualização irregular da malha; fora do INS Dinâmico</w:t>
            </w:r>
          </w:p>
        </w:tc>
      </w:tr>
      <w:tr>
        <w:trPr>
          <w:cantSplit/>
        </w:trPr>
        <w:tc>
          <w:tcPr>
            <w:tcW w:w="533" w:type="dxa"/>
            <w:shd w:val="clear" w:color="auto" w:fill="FFFFFF"/>
            <w:vAlign w:val="top"/>
          </w:tcPr>
          <w:p>
            <w:pPr>
              <w:keepNext/>
              <w:spacing w:before="0" w:after="0" w:line="252" w:lineRule="auto"/>
              <w:jc w:val="left"/>
            </w:pPr>
            <w:r>
              <w:rPr>
                <w:rFonts w:ascii="Barlow SemiBold" w:hAnsi="Barlow SemiBold" w:cs="Barlow SemiBold" w:eastAsia="Barlow SemiBold"/>
                <w:color w:val="01366F"/>
                <w:sz w:val="15"/>
                <w:szCs w:val="15"/>
              </w:rPr>
              <w:t xml:space="preserve">D2</w:t>
            </w:r>
          </w:p>
        </w:tc>
        <w:tc>
          <w:tcPr>
            <w:tcW w:w="577" w:type="dxa"/>
            <w:shd w:val="clear" w:color="auto" w:fill="FFFFFF"/>
            <w:vAlign w:val="top"/>
          </w:tcPr>
          <w:p>
            <w:pPr>
              <w:keepNext/>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keepNext/>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keepNext/>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keepNext/>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keepNext/>
              <w:spacing w:before="0" w:after="0" w:line="252" w:lineRule="auto"/>
              <w:jc w:val="center"/>
            </w:pPr>
            <w:r>
              <w:rPr>
                <w:rFonts w:ascii="Barlow" w:hAnsi="Barlow" w:cs="Barlow" w:eastAsia="Barlow"/>
                <w:color w:val="0F2440"/>
                <w:sz w:val="15"/>
                <w:szCs w:val="15"/>
              </w:rPr>
              <w:t xml:space="preserve">P</w:t>
            </w:r>
          </w:p>
        </w:tc>
        <w:tc>
          <w:tcPr>
            <w:tcW w:w="577" w:type="dxa"/>
            <w:shd w:val="clear" w:color="auto" w:fill="FFFFFF"/>
            <w:vAlign w:val="top"/>
          </w:tcPr>
          <w:p>
            <w:pPr>
              <w:keepNext/>
              <w:spacing w:before="0" w:after="0" w:line="252" w:lineRule="auto"/>
              <w:jc w:val="center"/>
            </w:pPr>
            <w:r>
              <w:rPr>
                <w:rFonts w:ascii="Barlow" w:hAnsi="Barlow" w:cs="Barlow" w:eastAsia="Barlow"/>
                <w:color w:val="0F2440"/>
                <w:sz w:val="15"/>
                <w:szCs w:val="15"/>
              </w:rPr>
              <w:t xml:space="preserve">P</w:t>
            </w:r>
          </w:p>
        </w:tc>
        <w:tc>
          <w:tcPr>
            <w:tcW w:w="577" w:type="dxa"/>
            <w:shd w:val="clear" w:color="auto" w:fill="FFFFFF"/>
            <w:vAlign w:val="top"/>
          </w:tcPr>
          <w:p>
            <w:pPr>
              <w:keepNext/>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keepNext/>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keepNext/>
              <w:spacing w:before="0" w:after="0" w:line="252" w:lineRule="auto"/>
              <w:jc w:val="center"/>
            </w:pPr>
            <w:r>
              <w:rPr>
                <w:rFonts w:ascii="Barlow" w:hAnsi="Barlow" w:cs="Barlow" w:eastAsia="Barlow"/>
                <w:color w:val="0F2440"/>
                <w:sz w:val="15"/>
                <w:szCs w:val="15"/>
              </w:rPr>
              <w:t xml:space="preserve">P</w:t>
            </w:r>
          </w:p>
        </w:tc>
        <w:tc>
          <w:tcPr>
            <w:tcW w:w="577" w:type="dxa"/>
            <w:shd w:val="clear" w:color="auto" w:fill="FFFFFF"/>
            <w:vAlign w:val="top"/>
          </w:tcPr>
          <w:p>
            <w:pPr>
              <w:keepNext/>
              <w:spacing w:before="0" w:after="0" w:line="252" w:lineRule="auto"/>
              <w:jc w:val="center"/>
            </w:pPr>
            <w:r>
              <w:rPr>
                <w:rFonts w:ascii="Barlow" w:hAnsi="Barlow" w:cs="Barlow" w:eastAsia="Barlow"/>
                <w:color w:val="0F2440"/>
                <w:sz w:val="15"/>
                <w:szCs w:val="15"/>
              </w:rPr>
              <w:t xml:space="preserve">A</w:t>
            </w:r>
          </w:p>
        </w:tc>
        <w:tc>
          <w:tcPr>
            <w:tcW w:w="577" w:type="dxa"/>
            <w:shd w:val="clear" w:color="auto" w:fill="FFFFFF"/>
            <w:vAlign w:val="top"/>
          </w:tcPr>
          <w:p>
            <w:pPr>
              <w:keepNext/>
              <w:spacing w:before="0" w:after="0" w:line="252" w:lineRule="auto"/>
              <w:jc w:val="center"/>
            </w:pPr>
            <w:r>
              <w:rPr>
                <w:rFonts w:ascii="Barlow" w:hAnsi="Barlow" w:cs="Barlow" w:eastAsia="Barlow"/>
                <w:color w:val="0F2440"/>
                <w:sz w:val="15"/>
                <w:szCs w:val="15"/>
              </w:rPr>
              <w:t xml:space="preserve">P</w:t>
            </w:r>
          </w:p>
        </w:tc>
        <w:tc>
          <w:tcPr>
            <w:tcW w:w="1964" w:type="dxa"/>
            <w:shd w:val="clear" w:color="auto" w:fill="FFFFFF"/>
            <w:vAlign w:val="top"/>
          </w:tcPr>
          <w:p>
            <w:pPr>
              <w:keepNext/>
              <w:spacing w:before="0" w:after="0" w:line="252" w:lineRule="auto"/>
              <w:jc w:val="left"/>
            </w:pPr>
            <w:r>
              <w:rPr>
                <w:rFonts w:ascii="Barlow" w:hAnsi="Barlow" w:cs="Barlow" w:eastAsia="Barlow"/>
                <w:color w:val="0F2440"/>
                <w:sz w:val="15"/>
                <w:szCs w:val="15"/>
              </w:rPr>
              <w:t xml:space="preserve">Revisão da delimitação de favelas no Censo 2022</w:t>
            </w:r>
          </w:p>
        </w:tc>
      </w:tr>
    </w:tbl>
    <w:p>
      <w:pPr>
        <w:spacing w:before="60" w:after="220" w:line="240" w:lineRule="auto"/>
        <w:jc w:val="left"/>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 com base em Jannuzzi (2005). Rel = relevância social; Val = validade; Conf = confiabilidade; Cob = cobertura; Sens = sensibilidade; Esp = especificidade; Int = inteligibilidade e comunicabilidade; Fac = factibilidade; Per = periodicidade; Des = desagregabilidade; His = historicidade. A = atende; P = atende parcialmente. Desagregabilidade avaliada no nível municipal.</w:t>
      </w:r>
    </w:p>
    <w:p>
      <w:pPr>
        <w:pStyle w:val="Heading2"/>
        <w:keepNext/>
        <w:spacing w:before="340" w:after="120" w:line="264" w:lineRule="auto"/>
        <w:jc w:val="left"/>
      </w:pPr>
      <w:bookmarkStart w:id="31" w:name="_h22"/>
      <w:r>
        <w:rPr>
          <w:rFonts w:ascii="Barlow Condensed SemiBold" w:hAnsi="Barlow Condensed SemiBold" w:cs="Barlow Condensed SemiBold" w:eastAsia="Barlow Condensed SemiBold"/>
          <w:color w:val="007614"/>
          <w:sz w:val="30"/>
          <w:szCs w:val="30"/>
        </w:rPr>
        <w:t xml:space="preserve">4.5 Fração responsiva e INS Dinâmico</w:t>
      </w:r>
      <w:bookmarkEnd w:id="31"/>
    </w:p>
    <w:p>
      <w:pPr>
        <w:spacing w:before="0" w:after="140" w:line="300" w:lineRule="auto"/>
        <w:jc w:val="both"/>
      </w:pPr>
      <w:r>
        <w:rPr>
          <w:rFonts w:ascii="Barlow" w:hAnsi="Barlow" w:cs="Barlow" w:eastAsia="Barlow"/>
          <w:color w:val="0F2440"/>
          <w:sz w:val="20"/>
          <w:szCs w:val="20"/>
        </w:rPr>
        <w:t xml:space="preserve">A classificação dos onze indicadores pela periodicidade efetiva de atualização define a propriedade que garante que o índice se mova.</w:t>
      </w:r>
    </w:p>
    <w:p>
      <w:pPr>
        <w:keepNext/>
        <w:spacing w:before="200" w:after="100" w:line="264" w:lineRule="auto"/>
        <w:jc w:val="left"/>
      </w:pPr>
      <w:bookmarkStart w:id="32" w:name="_q_8"/>
      <w:r>
        <w:rPr>
          <w:rFonts w:ascii="Barlow Condensed SemiBold" w:hAnsi="Barlow Condensed SemiBold" w:cs="Barlow Condensed SemiBold" w:eastAsia="Barlow Condensed SemiBold"/>
          <w:color w:val="007614"/>
          <w:sz w:val="21"/>
          <w:szCs w:val="21"/>
        </w:rPr>
        <w:t xml:space="preserve">Quadro 8 – </w:t>
      </w:r>
      <w:r>
        <w:rPr>
          <w:rFonts w:ascii="Barlow Condensed SemiBold" w:hAnsi="Barlow Condensed SemiBold" w:cs="Barlow Condensed SemiBold" w:eastAsia="Barlow Condensed SemiBold"/>
          <w:color w:val="01366F"/>
          <w:sz w:val="21"/>
          <w:szCs w:val="21"/>
        </w:rPr>
        <w:t xml:space="preserve">Indicadores por velocidade de atualização</w:t>
      </w:r>
      <w:bookmarkEnd w:id="32"/>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2298"/>
        <w:gridCol w:w="3006"/>
        <w:gridCol w:w="1414"/>
        <w:gridCol w:w="2126"/>
      </w:tblGrid>
      <w:tr>
        <w:trPr>
          <w:tblHeader/>
          <w:cantSplit/>
        </w:trPr>
        <w:tc>
          <w:tcPr>
            <w:tcW w:w="2298"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Velocidade</w:t>
            </w:r>
          </w:p>
        </w:tc>
        <w:tc>
          <w:tcPr>
            <w:tcW w:w="3006"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Indicadores</w:t>
            </w:r>
          </w:p>
        </w:tc>
        <w:tc>
          <w:tcPr>
            <w:tcW w:w="141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Contagem</w:t>
            </w:r>
          </w:p>
        </w:tc>
        <w:tc>
          <w:tcPr>
            <w:tcW w:w="2126"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Participação na cesta</w:t>
            </w:r>
          </w:p>
        </w:tc>
      </w:tr>
      <w:tr>
        <w:trPr>
          <w:cantSplit/>
        </w:trPr>
        <w:tc>
          <w:tcPr>
            <w:tcW w:w="2298"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Mensal</w:t>
            </w:r>
          </w:p>
        </w:tc>
        <w:tc>
          <w:tcPr>
            <w:tcW w:w="300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A1, A3, C3</w:t>
            </w:r>
          </w:p>
        </w:tc>
        <w:tc>
          <w:tcPr>
            <w:tcW w:w="141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3</w:t>
            </w:r>
          </w:p>
        </w:tc>
        <w:tc>
          <w:tcPr>
            <w:tcW w:w="212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27,3%</w:t>
            </w:r>
          </w:p>
        </w:tc>
      </w:tr>
      <w:tr>
        <w:trPr>
          <w:cantSplit/>
        </w:trPr>
        <w:tc>
          <w:tcPr>
            <w:tcW w:w="2298"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Anual</w:t>
            </w:r>
          </w:p>
        </w:tc>
        <w:tc>
          <w:tcPr>
            <w:tcW w:w="300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A2, B1, B2, C1, C2</w:t>
            </w:r>
          </w:p>
        </w:tc>
        <w:tc>
          <w:tcPr>
            <w:tcW w:w="141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5</w:t>
            </w:r>
          </w:p>
        </w:tc>
        <w:tc>
          <w:tcPr>
            <w:tcW w:w="212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45,5%</w:t>
            </w:r>
          </w:p>
        </w:tc>
      </w:tr>
      <w:tr>
        <w:trPr>
          <w:cantSplit/>
        </w:trPr>
        <w:tc>
          <w:tcPr>
            <w:tcW w:w="2298" w:type="dxa"/>
            <w:shd w:val="clear" w:color="auto" w:fill="FFFFFF"/>
            <w:vAlign w:val="top"/>
          </w:tcPr>
          <w:p>
            <w:pPr>
              <w:keepNext/>
              <w:spacing w:before="0" w:after="0" w:line="252" w:lineRule="auto"/>
              <w:jc w:val="left"/>
            </w:pPr>
            <w:r>
              <w:rPr>
                <w:rFonts w:ascii="Barlow SemiBold" w:hAnsi="Barlow SemiBold" w:cs="Barlow SemiBold" w:eastAsia="Barlow SemiBold"/>
                <w:color w:val="01366F"/>
                <w:sz w:val="17"/>
                <w:szCs w:val="17"/>
              </w:rPr>
              <w:t xml:space="preserve">Decenal ou irregular</w:t>
            </w:r>
          </w:p>
        </w:tc>
        <w:tc>
          <w:tcPr>
            <w:tcW w:w="3006"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B3, D1, D2</w:t>
            </w:r>
          </w:p>
        </w:tc>
        <w:tc>
          <w:tcPr>
            <w:tcW w:w="1414"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3</w:t>
            </w:r>
          </w:p>
        </w:tc>
        <w:tc>
          <w:tcPr>
            <w:tcW w:w="2126"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27,3%</w:t>
            </w:r>
          </w:p>
        </w:tc>
      </w:tr>
    </w:tbl>
    <w:p>
      <w:pPr>
        <w:spacing w:before="60" w:after="220" w:line="240" w:lineRule="auto"/>
        <w:jc w:val="left"/>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w:t>
      </w:r>
    </w:p>
    <w:p>
      <w:pPr>
        <w:spacing w:before="0" w:after="140" w:line="300" w:lineRule="auto"/>
        <w:jc w:val="both"/>
        <w:sectPr>
          <w:headerReference w:type="default" r:id="rId20"/>
          <w:headerReference w:type="even" r:id="rId15"/>
          <w:footerReference w:type="default" r:id="rId16"/>
          <w:footerReference w:type="even" r:id="rId17"/>
          <w:type w:val="nextPage"/>
          <w:pgSz w:w="11906" w:h="16838"/>
          <w:pgMar w:top="1474" w:right="1531" w:bottom="1814" w:left="1531" w:header="850" w:footer="330" w:gutter="0"/>
          <w:cols w:space="720"/>
          <w:docGrid w:linePitch="360"/>
        </w:sectPr>
      </w:pPr>
      <w:r>
        <w:rPr>
          <w:rFonts w:ascii="Barlow" w:hAnsi="Barlow" w:cs="Barlow" w:eastAsia="Barlow"/>
          <w:color w:val="0F2440"/>
          <w:sz w:val="20"/>
          <w:szCs w:val="20"/>
        </w:rPr>
        <w:t xml:space="preserve">A fração responsiva, formada pelos indicadores de atualização anual ou mais frequente, é de oito em onze (72,7%), contra 58,3% na versão anterior. Disso decorre uma recomendação operacional. Além do INS integral, deve-se calcular e publicar o </w:t>
      </w:r>
      <w:r>
        <w:rPr>
          <w:rFonts w:ascii="Barlow SemiBold" w:hAnsi="Barlow SemiBold" w:cs="Barlow SemiBold" w:eastAsia="Barlow SemiBold"/>
          <w:color w:val="01366F"/>
          <w:sz w:val="20"/>
          <w:szCs w:val="20"/>
        </w:rPr>
        <w:t xml:space="preserve">INS Dinâmico</w:t>
      </w:r>
      <w:r>
        <w:rPr>
          <w:rFonts w:ascii="Barlow" w:hAnsi="Barlow" w:cs="Barlow" w:eastAsia="Barlow"/>
          <w:color w:val="0F2440"/>
          <w:sz w:val="20"/>
          <w:szCs w:val="20"/>
        </w:rPr>
        <w:t xml:space="preserve">, restrito aos oito indicadores responsivos (A1, A2, A3, B1, B2, C1, C2 e C3), padronizados no mesmo universo e pelo mesmo procedimento. O INS Dinâmico cumpre funções que o índice integral não pode cumprir: monitoramento anual entre censos, sinalização precoce de deterioração e uso como desfecho de avaliações de políticas, para as quais o índice integral seria inerte. Como não contém a Dimensão D, o INS Dinâmico é um construto mais restrito, e essa diferença deve constar de toda publicação. O índice integral permanece como instrumento de diagnóstico estrutural e de alocação de médio prazo.</w:t>
      </w:r>
    </w:p>
    <w:p>
      <w:pPr>
        <w:pStyle w:val="Heading1"/>
        <w:pBdr>
          <w:bottom w:val="single" w:sz="12" w:space="10" w:color="007614"/>
        </w:pBdr>
        <w:spacing w:before="120" w:after="380" w:line="600" w:lineRule="exact"/>
        <w:jc w:val="left"/>
      </w:pPr>
      <w:bookmarkStart w:id="33" w:name="_h23"/>
      <w:r>
        <w:rPr>
          <w:rFonts w:ascii="Barlow Condensed" w:hAnsi="Barlow Condensed" w:cs="Barlow Condensed" w:eastAsia="Barlow Condensed"/>
          <w:b/>
          <w:bCs/>
          <w:color w:val="007614"/>
          <w:sz w:val="52"/>
          <w:szCs w:val="52"/>
        </w:rPr>
        <w:t xml:space="preserve">5 </w:t>
      </w:r>
      <w:r>
        <w:rPr>
          <w:rFonts w:ascii="Barlow Condensed" w:hAnsi="Barlow Condensed" w:cs="Barlow Condensed" w:eastAsia="Barlow Condensed"/>
          <w:b/>
          <w:bCs/>
          <w:color w:val="01366F"/>
          <w:sz w:val="52"/>
          <w:szCs w:val="52"/>
        </w:rPr>
        <w:t xml:space="preserve">METODOLOGIA DE CÁLCULO</w:t>
      </w:r>
      <w:bookmarkEnd w:id="33"/>
    </w:p>
    <w:p>
      <w:pPr>
        <w:spacing w:before="0" w:after="140" w:line="300" w:lineRule="auto"/>
        <w:jc w:val="both"/>
      </w:pPr>
      <w:r>
        <w:rPr>
          <w:rFonts w:ascii="Barlow" w:hAnsi="Barlow" w:cs="Barlow" w:eastAsia="Barlow"/>
          <w:color w:val="0F2440"/>
          <w:sz w:val="20"/>
          <w:szCs w:val="20"/>
        </w:rPr>
        <w:t xml:space="preserve">O protocolo replica a técnica de Carstairs, com a adaptação necessária à estrutura em quatro dimensões, especificada na Etapa 4.</w:t>
      </w:r>
    </w:p>
    <w:p>
      <w:pPr>
        <w:pStyle w:val="Heading2"/>
        <w:keepNext/>
        <w:spacing w:before="340" w:after="120" w:line="264" w:lineRule="auto"/>
        <w:jc w:val="left"/>
      </w:pPr>
      <w:bookmarkStart w:id="34" w:name="_h24"/>
      <w:r>
        <w:rPr>
          <w:rFonts w:ascii="Barlow Condensed SemiBold" w:hAnsi="Barlow Condensed SemiBold" w:cs="Barlow Condensed SemiBold" w:eastAsia="Barlow Condensed SemiBold"/>
          <w:color w:val="007614"/>
          <w:sz w:val="30"/>
          <w:szCs w:val="30"/>
        </w:rPr>
        <w:t xml:space="preserve">5.1 Etapa 1 — Preparação e harmonização</w:t>
      </w:r>
      <w:bookmarkEnd w:id="34"/>
    </w:p>
    <w:p>
      <w:pPr>
        <w:spacing w:before="0" w:after="140" w:line="300" w:lineRule="auto"/>
        <w:jc w:val="both"/>
      </w:pPr>
      <w:r>
        <w:rPr>
          <w:rFonts w:ascii="Barlow" w:hAnsi="Barlow" w:cs="Barlow" w:eastAsia="Barlow"/>
          <w:color w:val="0F2440"/>
          <w:sz w:val="20"/>
          <w:szCs w:val="20"/>
        </w:rPr>
        <w:t xml:space="preserve">Fixar o ano de referência e harmonizar todos os denominadores nas estimativas populacionais municipais do IBGE do mesmo ano, documentando a versão utilizada. Declarar a polaridade de cada indicador conforme o Anexo B. Compatibilizar à malha do Censo de referência os municípios criados ou com alteração de limites, com registro da compatibilização.</w:t>
      </w:r>
    </w:p>
    <w:p>
      <w:pPr>
        <w:spacing w:before="0" w:after="140" w:line="300" w:lineRule="auto"/>
        <w:jc w:val="both"/>
      </w:pPr>
      <w:r>
        <w:rPr>
          <w:rFonts w:ascii="Barlow" w:hAnsi="Barlow" w:cs="Barlow" w:eastAsia="Barlow"/>
          <w:color w:val="0F2440"/>
          <w:sz w:val="20"/>
          <w:szCs w:val="20"/>
        </w:rPr>
        <w:t xml:space="preserve">Tratar valores extremos por winsorização no percentil 99, aplicada apenas a valores identificados como extremos pelo critério do intervalo interquartílico multiplicado por três, registrando os municípios afetados. Tratar dados ausentes por imputação pela mediana da microrregião, e nunca por exclusão do município: a ausência de dado é, no Brasil, correlacionada com a privação, e excluir municípios sem informação retiraria do índice exatamente aqueles que mais precisariam constar. Aplicar transformação logarítmica a D1 antes da padronização, dada a assimetria acentuada de sua distribuição.</w:t>
      </w:r>
    </w:p>
    <w:p>
      <w:pPr>
        <w:pStyle w:val="Heading2"/>
        <w:keepNext/>
        <w:spacing w:before="340" w:after="120" w:line="264" w:lineRule="auto"/>
        <w:jc w:val="left"/>
      </w:pPr>
      <w:bookmarkStart w:id="35" w:name="_h25"/>
      <w:r>
        <w:rPr>
          <w:rFonts w:ascii="Barlow Condensed SemiBold" w:hAnsi="Barlow Condensed SemiBold" w:cs="Barlow Condensed SemiBold" w:eastAsia="Barlow Condensed SemiBold"/>
          <w:color w:val="007614"/>
          <w:sz w:val="30"/>
          <w:szCs w:val="30"/>
        </w:rPr>
        <w:t xml:space="preserve">5.2 Etapa 2 — Encadeamento censo-registro</w:t>
      </w:r>
      <w:bookmarkEnd w:id="35"/>
    </w:p>
    <w:p>
      <w:pPr>
        <w:spacing w:before="0" w:after="140" w:line="300" w:lineRule="auto"/>
        <w:jc w:val="both"/>
      </w:pPr>
      <w:r>
        <w:rPr>
          <w:rFonts w:ascii="Barlow" w:hAnsi="Barlow" w:cs="Barlow" w:eastAsia="Barlow"/>
          <w:color w:val="0F2440"/>
          <w:sz w:val="20"/>
          <w:szCs w:val="20"/>
        </w:rPr>
        <w:t xml:space="preserve">Aplicar a regra de encadeamento da seção 3.6 aos indicadores A1, A2 e A3, com truncamento da razão no intervalo de 0,5 a 2,0. Registrar, para cada município, a razão aplicada e sinalizar no relatório de qualidade os municípios cuja razão tenha atingido o limite ou cuja cobertura no registro tenha variado mais de 20% em relação ao ano anterior.</w:t>
      </w:r>
    </w:p>
    <w:p>
      <w:pPr>
        <w:spacing w:before="0" w:after="140" w:line="300" w:lineRule="auto"/>
        <w:jc w:val="both"/>
      </w:pPr>
      <w:r>
        <w:rPr>
          <w:rFonts w:ascii="Barlow" w:hAnsi="Barlow" w:cs="Barlow" w:eastAsia="Barlow"/>
          <w:color w:val="0F2440"/>
          <w:sz w:val="20"/>
          <w:szCs w:val="20"/>
        </w:rPr>
        <w:t xml:space="preserve">Para A1, a linha de meio salário-mínimo é fixada no ano do Censo e corrigida anualmente pelo Índice Nacional de Preços ao Consumidor (INPC). Sem essa correção, cada aumento real do salário-mínimo elevaria artificialmente a proporção de pobres e a série confundiria política salarial com variação da necessidade. A aplicação da linha real exige acesso às faixas de renda do Cadastro Único por município; enquanto esse acesso não estiver formalizado, usa-se a faixa nominal publicada, e a defasagem é registrada como pendência (seção 9) e como limitação (seção 7.2).</w:t>
      </w:r>
    </w:p>
    <w:p>
      <w:pPr>
        <w:pStyle w:val="Heading2"/>
        <w:keepNext/>
        <w:spacing w:before="340" w:after="120" w:line="264" w:lineRule="auto"/>
        <w:jc w:val="left"/>
      </w:pPr>
      <w:bookmarkStart w:id="36" w:name="_h26"/>
      <w:r>
        <w:rPr>
          <w:rFonts w:ascii="Barlow Condensed SemiBold" w:hAnsi="Barlow Condensed SemiBold" w:cs="Barlow Condensed SemiBold" w:eastAsia="Barlow Condensed SemiBold"/>
          <w:color w:val="007614"/>
          <w:sz w:val="30"/>
          <w:szCs w:val="30"/>
        </w:rPr>
        <w:t xml:space="preserve">5.3 Etapa 3 — Padronização</w:t>
      </w:r>
      <w:bookmarkEnd w:id="36"/>
    </w:p>
    <w:p>
      <w:pPr>
        <w:spacing w:before="0" w:after="140" w:line="300" w:lineRule="auto"/>
        <w:jc w:val="both"/>
      </w:pPr>
      <w:r>
        <w:rPr>
          <w:rFonts w:ascii="Barlow" w:hAnsi="Barlow" w:cs="Barlow" w:eastAsia="Barlow"/>
          <w:color w:val="0F2440"/>
          <w:sz w:val="20"/>
          <w:szCs w:val="20"/>
        </w:rPr>
        <w:t xml:space="preserve">Calcular o escore z de cada indicador sobre o universo dos 5.570 municípios:</w:t>
      </w:r>
    </w:p>
    <w:p>
      <w:pPr>
        <w:keepNext/>
        <w:spacing w:before="0" w:after="0" w:line="120" w:lineRule="exact"/>
        <w:jc w:val="both"/>
      </w:pPr>
    </w:p>
    <w:tbl>
      <w:tblPr>
        <w:tblW w:w="8844" w:type="dxa"/>
        <w:tblInd w:w="0" w:type="dxa"/>
        <w:tblBorders>
          <w:top w:val="nil"/>
          <w:left w:val="single" w:sz="36" w:space="0" w:color="01366F"/>
          <w:bottom w:val="nil"/>
          <w:right w:val="nil"/>
          <w:insideH w:val="nil"/>
          <w:insideV w:val="nil"/>
        </w:tblBorders>
        <w:tblLayout w:type="fixed"/>
        <w:tblCellMar>
          <w:top w:w="120" w:type="dxa"/>
          <w:left w:w="220" w:type="dxa"/>
          <w:bottom w:w="140" w:type="dxa"/>
          <w:right w:w="220" w:type="dxa"/>
        </w:tblCellMar>
        <w:tblLook w:val="0000"/>
      </w:tblPr>
      <w:tblGrid>
        <w:gridCol w:w="8844"/>
      </w:tblGrid>
      <w:tr>
        <w:trPr>
          <w:cantSplit/>
        </w:trPr>
        <w:tc>
          <w:tcPr>
            <w:tcW w:w="8844" w:type="dxa"/>
            <w:shd w:val="clear" w:color="auto" w:fill="E8EEF5"/>
          </w:tcPr>
          <w:p>
            <w:pPr>
              <w:spacing w:before="0" w:after="0" w:line="300" w:lineRule="auto"/>
              <w:jc w:val="center"/>
            </w:pPr>
            <w:r>
              <w:rPr>
                <w:rFonts w:ascii="Barlow" w:hAnsi="Barlow" w:cs="Barlow" w:eastAsia="Barlow"/>
                <w:i/>
                <w:iCs/>
                <w:color w:val="01366F"/>
                <w:sz w:val="23"/>
                <w:szCs w:val="23"/>
              </w:rPr>
              <w:t xml:space="preserve">z(i,j) = [ x(i,j) − x̄(j) ] / s(j)</w:t>
            </w:r>
          </w:p>
        </w:tc>
      </w:tr>
    </w:tbl>
    <w:p>
      <w:pPr>
        <w:spacing w:before="0" w:after="0" w:line="160" w:lineRule="exact"/>
        <w:jc w:val="both"/>
      </w:pPr>
    </w:p>
    <w:p>
      <w:pPr>
        <w:spacing w:before="0" w:after="140" w:line="300" w:lineRule="auto"/>
        <w:jc w:val="both"/>
      </w:pPr>
      <w:r>
        <w:rPr>
          <w:rFonts w:ascii="Barlow" w:hAnsi="Barlow" w:cs="Barlow" w:eastAsia="Barlow"/>
          <w:color w:val="0F2440"/>
          <w:sz w:val="20"/>
          <w:szCs w:val="20"/>
        </w:rPr>
        <w:t xml:space="preserve">em que x(i,j) é o valor do indicador </w:t>
      </w:r>
      <w:r>
        <w:rPr>
          <w:rFonts w:ascii="Barlow" w:hAnsi="Barlow" w:cs="Barlow" w:eastAsia="Barlow"/>
          <w:i/>
          <w:iCs/>
          <w:color w:val="0F2440"/>
          <w:sz w:val="20"/>
          <w:szCs w:val="20"/>
        </w:rPr>
        <w:t xml:space="preserve">j</w:t>
      </w:r>
      <w:r>
        <w:rPr>
          <w:rFonts w:ascii="Barlow" w:hAnsi="Barlow" w:cs="Barlow" w:eastAsia="Barlow"/>
          <w:color w:val="0F2440"/>
          <w:sz w:val="20"/>
          <w:szCs w:val="20"/>
        </w:rPr>
        <w:t xml:space="preserve"> no município </w:t>
      </w:r>
      <w:r>
        <w:rPr>
          <w:rFonts w:ascii="Barlow" w:hAnsi="Barlow" w:cs="Barlow" w:eastAsia="Barlow"/>
          <w:i/>
          <w:iCs/>
          <w:color w:val="0F2440"/>
          <w:sz w:val="20"/>
          <w:szCs w:val="20"/>
        </w:rPr>
        <w:t xml:space="preserve">i</w:t>
      </w:r>
      <w:r>
        <w:rPr>
          <w:rFonts w:ascii="Barlow" w:hAnsi="Barlow" w:cs="Barlow" w:eastAsia="Barlow"/>
          <w:color w:val="0F2440"/>
          <w:sz w:val="20"/>
          <w:szCs w:val="20"/>
        </w:rPr>
        <w:t xml:space="preserve">, x̄(j) é a média nacional e s(j), o desvio-padrão. O universo de padronização é nacional e deve ser declarado em toda apresentação de resultados: um município ocupa posição distinta quando comparado a todos os municípios do país e quando comparado apenas aos de sua unidade federativa, e ambas as leituras são legítimas desde que explicitadas.</w:t>
      </w:r>
    </w:p>
    <w:p>
      <w:pPr>
        <w:pStyle w:val="Heading2"/>
        <w:keepNext/>
        <w:spacing w:before="340" w:after="120" w:line="264" w:lineRule="auto"/>
        <w:jc w:val="left"/>
      </w:pPr>
      <w:bookmarkStart w:id="37" w:name="_h27"/>
      <w:r>
        <w:rPr>
          <w:rFonts w:ascii="Barlow Condensed SemiBold" w:hAnsi="Barlow Condensed SemiBold" w:cs="Barlow Condensed SemiBold" w:eastAsia="Barlow Condensed SemiBold"/>
          <w:color w:val="007614"/>
          <w:sz w:val="30"/>
          <w:szCs w:val="30"/>
        </w:rPr>
        <w:t xml:space="preserve">5.4 Etapa 4 — Agregação dentro de cada dimensão e repadronização</w:t>
      </w:r>
      <w:bookmarkEnd w:id="37"/>
    </w:p>
    <w:p>
      <w:pPr>
        <w:spacing w:before="0" w:after="140" w:line="300" w:lineRule="auto"/>
        <w:jc w:val="both"/>
      </w:pPr>
      <w:r>
        <w:rPr>
          <w:rFonts w:ascii="Barlow" w:hAnsi="Barlow" w:cs="Barlow" w:eastAsia="Barlow"/>
          <w:color w:val="0F2440"/>
          <w:sz w:val="20"/>
          <w:szCs w:val="20"/>
        </w:rPr>
        <w:t xml:space="preserve">Somar os escores z dos indicadores de cada dimensão com pesos iguais e repadronizar o resultado:</w:t>
      </w:r>
    </w:p>
    <w:p>
      <w:pPr>
        <w:keepNext/>
        <w:spacing w:before="0" w:after="0" w:line="120" w:lineRule="exact"/>
        <w:jc w:val="both"/>
      </w:pPr>
    </w:p>
    <w:tbl>
      <w:tblPr>
        <w:tblW w:w="8844" w:type="dxa"/>
        <w:tblInd w:w="0" w:type="dxa"/>
        <w:tblBorders>
          <w:top w:val="nil"/>
          <w:left w:val="single" w:sz="36" w:space="0" w:color="01366F"/>
          <w:bottom w:val="nil"/>
          <w:right w:val="nil"/>
          <w:insideH w:val="nil"/>
          <w:insideV w:val="nil"/>
        </w:tblBorders>
        <w:tblLayout w:type="fixed"/>
        <w:tblCellMar>
          <w:top w:w="120" w:type="dxa"/>
          <w:left w:w="220" w:type="dxa"/>
          <w:bottom w:w="140" w:type="dxa"/>
          <w:right w:w="220" w:type="dxa"/>
        </w:tblCellMar>
        <w:tblLook w:val="0000"/>
      </w:tblPr>
      <w:tblGrid>
        <w:gridCol w:w="8844"/>
      </w:tblGrid>
      <w:tr>
        <w:trPr>
          <w:cantSplit/>
        </w:trPr>
        <w:tc>
          <w:tcPr>
            <w:tcW w:w="8844" w:type="dxa"/>
            <w:shd w:val="clear" w:color="auto" w:fill="E8EEF5"/>
          </w:tcPr>
          <w:p>
            <w:pPr>
              <w:spacing w:before="0" w:after="0" w:line="300" w:lineRule="auto"/>
              <w:jc w:val="center"/>
            </w:pPr>
            <w:r>
              <w:rPr>
                <w:rFonts w:ascii="Barlow" w:hAnsi="Barlow" w:cs="Barlow" w:eastAsia="Barlow"/>
                <w:i/>
                <w:iCs/>
                <w:color w:val="01366F"/>
                <w:sz w:val="23"/>
                <w:szCs w:val="23"/>
              </w:rPr>
              <w:t xml:space="preserve">Z(D) = padronização de Σ z(j), para j pertencente à dimensão D</w:t>
            </w:r>
          </w:p>
        </w:tc>
      </w:tr>
    </w:tbl>
    <w:p>
      <w:pPr>
        <w:spacing w:before="0" w:after="0" w:line="160" w:lineRule="exact"/>
        <w:jc w:val="both"/>
      </w:pPr>
    </w:p>
    <w:p>
      <w:pPr>
        <w:spacing w:before="0" w:after="140" w:line="300" w:lineRule="auto"/>
        <w:jc w:val="both"/>
      </w:pPr>
      <w:r>
        <w:rPr>
          <w:rFonts w:ascii="Barlow" w:hAnsi="Barlow" w:cs="Barlow" w:eastAsia="Barlow"/>
          <w:color w:val="0F2440"/>
          <w:sz w:val="20"/>
          <w:szCs w:val="20"/>
        </w:rPr>
        <w:t xml:space="preserve">A repadronização é indispensável. Sem ela, dimensões cujos indicadores sejam mais correlacionados entre si, ou que tenham mais indicadores, produzem somas de maior variância e passam a dominar o escore final: um peso implícito não declarado, que é precisamente o vício que a ponderação igual pretende evitar. Trata-se de correção técnica, e não de escolha normativa. A média e o desvio-padrão usados nessa repadronização também são fixados na edição de referência.</w:t>
      </w:r>
    </w:p>
    <w:p>
      <w:pPr>
        <w:pStyle w:val="Heading2"/>
        <w:keepNext/>
        <w:spacing w:before="340" w:after="120" w:line="264" w:lineRule="auto"/>
        <w:jc w:val="left"/>
      </w:pPr>
      <w:bookmarkStart w:id="38" w:name="_h28"/>
      <w:r>
        <w:rPr>
          <w:rFonts w:ascii="Barlow Condensed SemiBold" w:hAnsi="Barlow Condensed SemiBold" w:cs="Barlow Condensed SemiBold" w:eastAsia="Barlow Condensed SemiBold"/>
          <w:color w:val="007614"/>
          <w:sz w:val="30"/>
          <w:szCs w:val="30"/>
        </w:rPr>
        <w:t xml:space="preserve">5.5 Etapa 5 — Agregação entre dimensões</w:t>
      </w:r>
      <w:bookmarkEnd w:id="38"/>
    </w:p>
    <w:p>
      <w:pPr>
        <w:spacing w:before="0" w:after="140" w:line="300" w:lineRule="auto"/>
        <w:jc w:val="both"/>
      </w:pPr>
      <w:r>
        <w:rPr>
          <w:rFonts w:ascii="Barlow" w:hAnsi="Barlow" w:cs="Barlow" w:eastAsia="Barlow"/>
          <w:color w:val="0F2440"/>
          <w:sz w:val="20"/>
          <w:szCs w:val="20"/>
        </w:rPr>
        <w:t xml:space="preserve">Somar os quatro escores de dimensão padronizados, com pesos iguais:</w:t>
      </w:r>
    </w:p>
    <w:p>
      <w:pPr>
        <w:keepNext/>
        <w:spacing w:before="0" w:after="0" w:line="120" w:lineRule="exact"/>
        <w:jc w:val="both"/>
      </w:pPr>
    </w:p>
    <w:tbl>
      <w:tblPr>
        <w:tblW w:w="8844" w:type="dxa"/>
        <w:tblInd w:w="0" w:type="dxa"/>
        <w:tblBorders>
          <w:top w:val="nil"/>
          <w:left w:val="single" w:sz="36" w:space="0" w:color="01366F"/>
          <w:bottom w:val="nil"/>
          <w:right w:val="nil"/>
          <w:insideH w:val="nil"/>
          <w:insideV w:val="nil"/>
        </w:tblBorders>
        <w:tblLayout w:type="fixed"/>
        <w:tblCellMar>
          <w:top w:w="120" w:type="dxa"/>
          <w:left w:w="220" w:type="dxa"/>
          <w:bottom w:w="140" w:type="dxa"/>
          <w:right w:w="220" w:type="dxa"/>
        </w:tblCellMar>
        <w:tblLook w:val="0000"/>
      </w:tblPr>
      <w:tblGrid>
        <w:gridCol w:w="8844"/>
      </w:tblGrid>
      <w:tr>
        <w:trPr>
          <w:cantSplit/>
        </w:trPr>
        <w:tc>
          <w:tcPr>
            <w:tcW w:w="8844" w:type="dxa"/>
            <w:shd w:val="clear" w:color="auto" w:fill="E8EEF5"/>
          </w:tcPr>
          <w:p>
            <w:pPr>
              <w:spacing w:before="0" w:after="0" w:line="300" w:lineRule="auto"/>
              <w:jc w:val="center"/>
            </w:pPr>
            <w:r>
              <w:rPr>
                <w:rFonts w:ascii="Barlow" w:hAnsi="Barlow" w:cs="Barlow" w:eastAsia="Barlow"/>
                <w:i/>
                <w:iCs/>
                <w:color w:val="01366F"/>
                <w:sz w:val="23"/>
                <w:szCs w:val="23"/>
              </w:rPr>
              <w:t xml:space="preserve">INS* = Z(A) + Z(B) + Z(C) + Z(D)</w:t>
            </w:r>
          </w:p>
        </w:tc>
      </w:tr>
    </w:tbl>
    <w:p>
      <w:pPr>
        <w:spacing w:before="0" w:after="0" w:line="160" w:lineRule="exact"/>
        <w:jc w:val="both"/>
      </w:pPr>
    </w:p>
    <w:p>
      <w:pPr>
        <w:spacing w:before="0" w:after="140" w:line="300" w:lineRule="auto"/>
        <w:jc w:val="both"/>
      </w:pPr>
      <w:r>
        <w:rPr>
          <w:rFonts w:ascii="Barlow" w:hAnsi="Barlow" w:cs="Barlow" w:eastAsia="Barlow"/>
          <w:color w:val="0F2440"/>
          <w:sz w:val="20"/>
          <w:szCs w:val="20"/>
        </w:rPr>
        <w:t xml:space="preserve">Valores próximos de zero indicam necessidade média; positivos, necessidade acima da média nacional; negativos, abaixo. A escala é relativa, não tem sentido absoluto, e isso deve ser enunciado em toda apresentação de resultados. O escore INS* é a forma canônica do índice para fins analíticos; para divulgação, gestão e pactuação, é convertido à escala de 0 a 1 na etapa seguinte.</w:t>
      </w:r>
    </w:p>
    <w:p>
      <w:pPr>
        <w:spacing w:before="0" w:after="140" w:line="300" w:lineRule="auto"/>
        <w:jc w:val="both"/>
      </w:pPr>
      <w:r>
        <w:rPr>
          <w:rFonts w:ascii="Barlow" w:hAnsi="Barlow" w:cs="Barlow" w:eastAsia="Barlow"/>
          <w:color w:val="0F2440"/>
          <w:sz w:val="20"/>
          <w:szCs w:val="20"/>
        </w:rPr>
        <w:t xml:space="preserve">A regra de agregação é aditiva e, portanto, compensatória: um domínio muito favorável compensa outro muito desfavorável. Essa é a escolha da tradição de Carstairs, adotada pela mesma razão: transparência e comunicabilidade. Calcula-se em paralelo a versão não compensatória, por média geométrica dos domínios reescalonados, e reportam-se os municípios em que as duas versões mais divergem: são os territórios de perfil desbalanceado, em que uma carência severa é compensada por vantagem em outro domínio, e que merecem exame individual.</w:t>
      </w:r>
    </w:p>
    <w:p>
      <w:pPr>
        <w:pStyle w:val="Heading2"/>
        <w:keepNext/>
        <w:spacing w:before="340" w:after="120" w:line="264" w:lineRule="auto"/>
        <w:jc w:val="left"/>
      </w:pPr>
      <w:bookmarkStart w:id="39" w:name="_h29"/>
      <w:r>
        <w:rPr>
          <w:rFonts w:ascii="Barlow Condensed SemiBold" w:hAnsi="Barlow Condensed SemiBold" w:cs="Barlow Condensed SemiBold" w:eastAsia="Barlow Condensed SemiBold"/>
          <w:color w:val="007614"/>
          <w:sz w:val="30"/>
          <w:szCs w:val="30"/>
        </w:rPr>
        <w:t xml:space="preserve">5.6 Etapa 6 — Transformação para a escala de 0 a 1</w:t>
      </w:r>
      <w:bookmarkEnd w:id="39"/>
    </w:p>
    <w:p>
      <w:pPr>
        <w:spacing w:before="0" w:after="140" w:line="300" w:lineRule="auto"/>
        <w:jc w:val="both"/>
      </w:pPr>
      <w:r>
        <w:rPr>
          <w:rFonts w:ascii="Barlow" w:hAnsi="Barlow" w:cs="Barlow" w:eastAsia="Barlow"/>
          <w:color w:val="0F2440"/>
          <w:sz w:val="20"/>
          <w:szCs w:val="20"/>
        </w:rPr>
        <w:t xml:space="preserve">O escore INS* é ilimitado, centrado em zero e assume valores negativos. Isso é adequado à análise estatística, mas dificulta a comunicação a gestores, conselhos de saúde e instâncias de pactuação, habituados a instrumentos como o IVS e o IDHM, que operam no intervalo de 0 a 1. Adota-se, por isso, uma transformação final que converte o escore a essa escala sem alterar a cesta, a ponderação ou o ordenamento.</w:t>
      </w:r>
    </w:p>
    <w:p>
      <w:pPr>
        <w:spacing w:before="0" w:after="140" w:line="300" w:lineRule="auto"/>
        <w:jc w:val="both"/>
      </w:pPr>
      <w:r>
        <w:rPr>
          <w:rFonts w:ascii="Barlow" w:hAnsi="Barlow" w:cs="Barlow" w:eastAsia="Barlow"/>
          <w:color w:val="0F2440"/>
          <w:sz w:val="20"/>
          <w:szCs w:val="20"/>
        </w:rPr>
        <w:t xml:space="preserve">A transformação consiste em repadronizar o escore composto, cujo desvio-padrão é superior à unidade (a soma de quatro escores padronizados tem desvio-padrão igual a 2 se forem independentes, e maior se forem positivamente correlacionados), e aplicar-lhe a função de distribuição acumulada da normal padrão:</w:t>
      </w:r>
    </w:p>
    <w:p>
      <w:pPr>
        <w:keepNext/>
        <w:spacing w:before="0" w:after="0" w:line="120" w:lineRule="exact"/>
        <w:jc w:val="both"/>
      </w:pPr>
    </w:p>
    <w:tbl>
      <w:tblPr>
        <w:tblW w:w="8844" w:type="dxa"/>
        <w:tblInd w:w="0" w:type="dxa"/>
        <w:tblBorders>
          <w:top w:val="nil"/>
          <w:left w:val="single" w:sz="36" w:space="0" w:color="01366F"/>
          <w:bottom w:val="nil"/>
          <w:right w:val="nil"/>
          <w:insideH w:val="nil"/>
          <w:insideV w:val="nil"/>
        </w:tblBorders>
        <w:tblLayout w:type="fixed"/>
        <w:tblCellMar>
          <w:top w:w="120" w:type="dxa"/>
          <w:left w:w="220" w:type="dxa"/>
          <w:bottom w:w="140" w:type="dxa"/>
          <w:right w:w="220" w:type="dxa"/>
        </w:tblCellMar>
        <w:tblLook w:val="0000"/>
      </w:tblPr>
      <w:tblGrid>
        <w:gridCol w:w="8844"/>
      </w:tblGrid>
      <w:tr>
        <w:trPr>
          <w:cantSplit/>
        </w:trPr>
        <w:tc>
          <w:tcPr>
            <w:tcW w:w="8844" w:type="dxa"/>
            <w:shd w:val="clear" w:color="auto" w:fill="E8EEF5"/>
          </w:tcPr>
          <w:p>
            <w:pPr>
              <w:spacing w:before="0" w:after="0" w:line="300" w:lineRule="auto"/>
              <w:jc w:val="center"/>
            </w:pPr>
            <w:r>
              <w:rPr>
                <w:rFonts w:ascii="Barlow" w:hAnsi="Barlow" w:cs="Barlow" w:eastAsia="Barlow"/>
                <w:i/>
                <w:iCs/>
                <w:color w:val="01366F"/>
                <w:sz w:val="23"/>
                <w:szCs w:val="23"/>
              </w:rPr>
              <w:t xml:space="preserve">INS = Φ( [ INS* − μ ] / σ )</w:t>
            </w:r>
          </w:p>
        </w:tc>
      </w:tr>
    </w:tbl>
    <w:p>
      <w:pPr>
        <w:spacing w:before="0" w:after="0" w:line="160" w:lineRule="exact"/>
        <w:jc w:val="both"/>
      </w:pPr>
    </w:p>
    <w:p>
      <w:pPr>
        <w:spacing w:before="0" w:after="140" w:line="300" w:lineRule="auto"/>
        <w:jc w:val="both"/>
      </w:pPr>
      <w:r>
        <w:rPr>
          <w:rFonts w:ascii="Barlow" w:hAnsi="Barlow" w:cs="Barlow" w:eastAsia="Barlow"/>
          <w:color w:val="0F2440"/>
          <w:sz w:val="20"/>
          <w:szCs w:val="20"/>
        </w:rPr>
        <w:t xml:space="preserve">em que μ e σ são a média e o desvio-padrão de INS* no universo dos 5.570 municípios da edição de referência, e Φ é a função de distribuição acumulada da normal padrão.</w:t>
      </w:r>
    </w:p>
    <w:p>
      <w:pPr>
        <w:spacing w:before="0" w:after="140" w:line="300" w:lineRule="auto"/>
        <w:jc w:val="both"/>
      </w:pPr>
      <w:r>
        <w:rPr>
          <w:rFonts w:ascii="Barlow" w:hAnsi="Barlow" w:cs="Barlow" w:eastAsia="Barlow"/>
          <w:color w:val="0F2440"/>
          <w:sz w:val="20"/>
          <w:szCs w:val="20"/>
        </w:rPr>
        <w:t xml:space="preserve">A transformação é estritamente monotônica e bijetiva: preserva o ordenamento, os quantis, as posições que delimitam os intervalos de incerteza e os resultados de validação baseados em postos, mas altera a largura dos intervalos na escala de 0 a 1. O resultado fica no intervalo aberto entre 0 e 1, sem atingir os extremos, o que é próprio de uma medida relativa e evita a falsa sugestão de necessidade nula ou máxima.</w:t>
      </w:r>
    </w:p>
    <w:p>
      <w:pPr>
        <w:spacing w:before="0" w:after="140" w:line="300" w:lineRule="auto"/>
        <w:jc w:val="both"/>
      </w:pPr>
      <w:r>
        <w:rPr>
          <w:rFonts w:ascii="Barlow" w:hAnsi="Barlow" w:cs="Barlow" w:eastAsia="Barlow"/>
          <w:color w:val="0F2440"/>
          <w:sz w:val="20"/>
          <w:szCs w:val="20"/>
        </w:rPr>
        <w:t xml:space="preserve">A versão 1.0 afirmava que o valor transformado corresponde à proporção de municípios com necessidade inferior à do município considerado, e que os quintis recairiam exatamente em 0,200, 0,400, 0,600 e 0,800. As duas afirmações só são verdadeiras se o escore composto tiver distribuição normal, o que não é garantido: indicadores como D1 e A2 têm distribuição assimétrica, e a soma de escores correlacionados não precisa ser normal. A interpretação correta é, portanto, mais restrita. O valor transformado é uma escala ordinal-intervalar limitada, cuja leitura como percentil é aproximada e válida apenas na medida em que a normalidade se sustente. Além disso, como μ e σ são fixados na edição de referência, a aproximação ao percentil vale, no máximo, para essa edição. A cada edição, publica-se o teste de aderência à normal e, </w:t>
      </w:r>
      <w:r>
        <w:rPr>
          <w:rFonts w:ascii="Barlow SemiBold" w:hAnsi="Barlow SemiBold" w:cs="Barlow SemiBold" w:eastAsia="Barlow SemiBold"/>
          <w:color w:val="01366F"/>
          <w:sz w:val="20"/>
          <w:szCs w:val="20"/>
        </w:rPr>
        <w:t xml:space="preserve">ao lado do valor transformado, o percentil empírico ponderado pela população</w:t>
      </w:r>
      <w:r>
        <w:rPr>
          <w:rFonts w:ascii="Barlow" w:hAnsi="Barlow" w:cs="Barlow" w:eastAsia="Barlow"/>
          <w:color w:val="0F2440"/>
          <w:sz w:val="20"/>
          <w:szCs w:val="20"/>
        </w:rPr>
        <w:t xml:space="preserve">, coerente com os quintis, que é a medida a usar em frases como "necessidade superior à de 85% dos municípios".</w:t>
      </w:r>
    </w:p>
    <w:p>
      <w:pPr>
        <w:spacing w:before="0" w:after="140" w:line="300" w:lineRule="auto"/>
        <w:jc w:val="both"/>
      </w:pPr>
      <w:r>
        <w:rPr>
          <w:rFonts w:ascii="Barlow" w:hAnsi="Barlow" w:cs="Barlow" w:eastAsia="Barlow"/>
          <w:color w:val="0F2440"/>
          <w:sz w:val="20"/>
          <w:szCs w:val="20"/>
        </w:rPr>
        <w:t xml:space="preserve">A comparabilidade entre edições é preservada pela fixação de μ e σ na edição de referência. Fixados os parâmetros, um município que melhore em termos absolutos passa a exibir valor menor, ainda que mantenha sua posição no ordenamento, e uma melhoria generalizada do país desloca a distribuição inteira para baixo, que é a propriedade exigida de um instrumento de monitoramento. A mesma transformação, com parâmetros próprios, aplica-se ao INS Dinâmico.</w:t>
      </w:r>
    </w:p>
    <w:p>
      <w:pPr>
        <w:spacing w:before="0" w:after="140" w:line="300" w:lineRule="auto"/>
        <w:jc w:val="both"/>
      </w:pPr>
      <w:r>
        <w:rPr>
          <w:rFonts w:ascii="Barlow" w:hAnsi="Barlow" w:cs="Barlow" w:eastAsia="Barlow"/>
          <w:color w:val="0F2440"/>
          <w:sz w:val="20"/>
          <w:szCs w:val="20"/>
        </w:rPr>
        <w:t xml:space="preserve">Uma advertência de leitura deve acompanhar toda publicação. A escala adota a convenção do IVS, em que valores maiores indicam situação pior, e não a do IDHM, em que valores maiores indicam situação melhor. Valores próximos de 1 correspondem a necessidade muito alta.</w:t>
      </w:r>
    </w:p>
    <w:p>
      <w:pPr>
        <w:spacing w:before="0" w:after="140" w:line="300" w:lineRule="auto"/>
        <w:jc w:val="both"/>
      </w:pPr>
      <w:r>
        <w:rPr>
          <w:rFonts w:ascii="Barlow" w:hAnsi="Barlow" w:cs="Barlow" w:eastAsia="Barlow"/>
          <w:color w:val="0F2440"/>
          <w:sz w:val="20"/>
          <w:szCs w:val="20"/>
        </w:rPr>
        <w:t xml:space="preserve">Três alternativas foram consideradas e não adotadas. A normalização por amplitude aplicada a cada indicador, rota do IDHM e do IVS, atribui a cada variável peso implícito proporcional à sua amplitude observada, destruindo a ponderação igual declarada, e é muito sensível a valores extremos. A ancoragem em balizas teóricas fixas resolveria a comparabilidade intertemporal, mas colapsaria a variância de indicadores que ocupam faixa estreita da escala possível, como a proporção de menores de cinco anos. A normalização por amplitude aplicada ao escore composto preserva a ponderação, mas seus limites mudam a cada edição, quebrando a comparabilidade.</w:t>
      </w:r>
    </w:p>
    <w:p>
      <w:pPr>
        <w:pStyle w:val="Heading2"/>
        <w:keepNext/>
        <w:spacing w:before="340" w:after="120" w:line="264" w:lineRule="auto"/>
        <w:jc w:val="left"/>
      </w:pPr>
      <w:bookmarkStart w:id="40" w:name="_h30"/>
      <w:r>
        <w:rPr>
          <w:rFonts w:ascii="Barlow Condensed SemiBold" w:hAnsi="Barlow Condensed SemiBold" w:cs="Barlow Condensed SemiBold" w:eastAsia="Barlow Condensed SemiBold"/>
          <w:color w:val="007614"/>
          <w:sz w:val="30"/>
          <w:szCs w:val="30"/>
        </w:rPr>
        <w:t xml:space="preserve">5.7 Etapa 7 — Categorização e comparabilidade intertemporal</w:t>
      </w:r>
      <w:bookmarkEnd w:id="40"/>
    </w:p>
    <w:p>
      <w:pPr>
        <w:spacing w:before="0" w:after="140" w:line="300" w:lineRule="auto"/>
        <w:jc w:val="both"/>
      </w:pPr>
      <w:r>
        <w:rPr>
          <w:rFonts w:ascii="Barlow" w:hAnsi="Barlow" w:cs="Barlow" w:eastAsia="Barlow"/>
          <w:color w:val="0F2440"/>
          <w:sz w:val="20"/>
          <w:szCs w:val="20"/>
        </w:rPr>
        <w:t xml:space="preserve">Classificar os municípios em quintis, decis e vintis ponderados pela população. A ponderação populacional é essencial no recorte municipal brasileiro: sem ela, os quantis são dominados por municípios de pequeno porte, e um quintil pode conter mais de mil municípios e uma fração ínfima da população do país. Os cortes de cada edição são publicados.</w:t>
      </w:r>
    </w:p>
    <w:p>
      <w:pPr>
        <w:spacing w:before="0" w:after="140" w:line="300" w:lineRule="auto"/>
        <w:jc w:val="both"/>
      </w:pPr>
      <w:r>
        <w:rPr>
          <w:rFonts w:ascii="Barlow" w:hAnsi="Barlow" w:cs="Barlow" w:eastAsia="Barlow"/>
          <w:color w:val="0F2440"/>
          <w:sz w:val="20"/>
          <w:szCs w:val="20"/>
        </w:rPr>
        <w:t xml:space="preserve">Para comparabilidade entre edições, fixar as médias e os desvios-padrão da edição de referência e utilizá-los nas atualizações subsequentes, inclusive os parâmetros μ e σ da Etapa 6. Sem essa fixação, uma melhoria generalizada não aparece. A cada novo Censo, reancorar a padronização e republicar a série.</w:t>
      </w:r>
    </w:p>
    <w:p>
      <w:pPr>
        <w:spacing w:before="0" w:after="140" w:line="300" w:lineRule="auto"/>
        <w:jc w:val="both"/>
      </w:pPr>
      <w:r>
        <w:rPr>
          <w:rFonts w:ascii="Barlow" w:hAnsi="Barlow" w:cs="Barlow" w:eastAsia="Barlow"/>
          <w:color w:val="0F2440"/>
          <w:sz w:val="20"/>
          <w:szCs w:val="20"/>
        </w:rPr>
        <w:t xml:space="preserve">Toda publicação traz, além do índice, os escores das quatro dimensões e os valores dos onze indicadores, para que o usuário saiba por que um município está onde está.</w:t>
      </w:r>
    </w:p>
    <w:p>
      <w:pPr>
        <w:pStyle w:val="Heading2"/>
        <w:keepNext/>
        <w:spacing w:before="340" w:after="120" w:line="264" w:lineRule="auto"/>
        <w:jc w:val="left"/>
      </w:pPr>
      <w:bookmarkStart w:id="41" w:name="_h31"/>
      <w:r>
        <w:rPr>
          <w:rFonts w:ascii="Barlow Condensed SemiBold" w:hAnsi="Barlow Condensed SemiBold" w:cs="Barlow Condensed SemiBold" w:eastAsia="Barlow Condensed SemiBold"/>
          <w:color w:val="007614"/>
          <w:sz w:val="30"/>
          <w:szCs w:val="30"/>
        </w:rPr>
        <w:t xml:space="preserve">5.8 Incerteza e sensibilidade</w:t>
      </w:r>
      <w:bookmarkEnd w:id="41"/>
    </w:p>
    <w:p>
      <w:pPr>
        <w:spacing w:before="0" w:after="140" w:line="300" w:lineRule="auto"/>
        <w:jc w:val="both"/>
      </w:pPr>
      <w:r>
        <w:rPr>
          <w:rFonts w:ascii="Barlow" w:hAnsi="Barlow" w:cs="Barlow" w:eastAsia="Barlow"/>
          <w:color w:val="0F2440"/>
          <w:sz w:val="20"/>
          <w:szCs w:val="20"/>
        </w:rPr>
        <w:t xml:space="preserve">Dois procedimentos são obrigatórios (SAISANA; SALTELLI; TARANTOLA, 2005):</w:t>
      </w:r>
    </w:p>
    <w:p>
      <w:pPr>
        <w:pStyle w:val="ListParagraph"/>
        <w:numPr>
          <w:ilvl w:val="0"/>
          <w:numId w:val="14"/>
        </w:numPr>
        <w:spacing w:before="0" w:after="80" w:line="290" w:lineRule="auto"/>
        <w:jc w:val="both"/>
      </w:pPr>
      <w:r>
        <w:rPr>
          <w:rFonts w:ascii="Barlow SemiBold" w:hAnsi="Barlow SemiBold" w:cs="Barlow SemiBold" w:eastAsia="Barlow SemiBold"/>
          <w:color w:val="01366F"/>
          <w:sz w:val="20"/>
          <w:szCs w:val="20"/>
        </w:rPr>
        <w:t xml:space="preserve">Variação aleatória dos pesos:</w:t>
      </w:r>
      <w:r>
        <w:rPr>
          <w:rFonts w:ascii="Barlow" w:hAnsi="Barlow" w:cs="Barlow" w:eastAsia="Barlow"/>
          <w:color w:val="0F2440"/>
          <w:sz w:val="20"/>
          <w:szCs w:val="20"/>
        </w:rPr>
        <w:t xml:space="preserve"> atribuir pesos aleatórios a cada indicador e a cada dimensão, recalcular o índice e analisar os efeitos sobre a classificação de cada município.</w:t>
      </w:r>
    </w:p>
    <w:p>
      <w:pPr>
        <w:pStyle w:val="ListParagraph"/>
        <w:numPr>
          <w:ilvl w:val="0"/>
          <w:numId w:val="14"/>
        </w:numPr>
        <w:spacing w:before="0" w:after="180" w:line="290" w:lineRule="auto"/>
        <w:jc w:val="both"/>
      </w:pPr>
      <w:r>
        <w:rPr>
          <w:rFonts w:ascii="Barlow SemiBold" w:hAnsi="Barlow SemiBold" w:cs="Barlow SemiBold" w:eastAsia="Barlow SemiBold"/>
          <w:color w:val="01366F"/>
          <w:sz w:val="20"/>
          <w:szCs w:val="20"/>
        </w:rPr>
        <w:t xml:space="preserve">Simulação dos numeradores:</w:t>
      </w:r>
      <w:r>
        <w:rPr>
          <w:rFonts w:ascii="Barlow" w:hAnsi="Barlow" w:cs="Barlow" w:eastAsia="Barlow"/>
          <w:color w:val="0F2440"/>
          <w:sz w:val="20"/>
          <w:szCs w:val="20"/>
        </w:rPr>
        <w:t xml:space="preserve"> extrair mil amostras aleatórias de distribuição binomial para cada indicador e reestimar o índice. Como o Censo é recenseamento e não amostra, a simulação não estima erro amostral; representa a variação estocástica do processo gerador das proporções, que é tanto maior quanto menor a população, e é o que distingue diferenças reais de flutuações em municípios pequenos.</w:t>
      </w:r>
    </w:p>
    <w:p>
      <w:pPr>
        <w:spacing w:before="0" w:after="140" w:line="300" w:lineRule="auto"/>
        <w:jc w:val="both"/>
      </w:pPr>
      <w:r>
        <w:rPr>
          <w:rFonts w:ascii="Barlow" w:hAnsi="Barlow" w:cs="Barlow" w:eastAsia="Barlow"/>
          <w:color w:val="0F2440"/>
          <w:sz w:val="20"/>
          <w:szCs w:val="20"/>
        </w:rPr>
        <w:t xml:space="preserve">O produto a reportar é o intervalo de incerteza da posição de cada município no ordenamento nacional, com mediana e intervalo de 95%. Um INS que não apresente exercício equivalente não deve ser publicado.</w:t>
      </w:r>
    </w:p>
    <w:p>
      <w:pPr>
        <w:spacing w:before="0" w:after="140" w:line="300" w:lineRule="auto"/>
        <w:jc w:val="both"/>
        <w:sectPr>
          <w:headerReference w:type="default" r:id="rId21"/>
          <w:headerReference w:type="even" r:id="rId15"/>
          <w:footerReference w:type="default" r:id="rId16"/>
          <w:footerReference w:type="even" r:id="rId17"/>
          <w:type w:val="nextPage"/>
          <w:pgSz w:w="11906" w:h="16838"/>
          <w:pgMar w:top="1474" w:right="1531" w:bottom="1814" w:left="1531" w:header="850" w:footer="330" w:gutter="0"/>
          <w:cols w:space="720"/>
          <w:docGrid w:linePitch="360"/>
        </w:sectPr>
      </w:pPr>
      <w:r>
        <w:rPr>
          <w:rFonts w:ascii="Barlow" w:hAnsi="Barlow" w:cs="Barlow" w:eastAsia="Barlow"/>
          <w:color w:val="0F2440"/>
          <w:sz w:val="20"/>
          <w:szCs w:val="20"/>
        </w:rPr>
        <w:t xml:space="preserve">Complementarmente, realiza-se a análise de sensibilidade às escolhas metodológicas, cruzando alternativas de normalização, ponderação, agregação, limites de truncamento e universo de padronização (nacional e por unidade da federação), e reportando a correlação de Spearman entre ordenamentos, o deslocamento médio absoluto de posição, a proporção de municípios que mudam de quintil e a frequência com que cada município aparece no decil de maior necessidade em todas as versões. Essa última métrica distingue prioridade robusta de decisão frágil, e é a que deve ser levada à mesa de pactuação.</w:t>
      </w:r>
    </w:p>
    <w:p>
      <w:pPr>
        <w:pStyle w:val="Heading1"/>
        <w:pBdr>
          <w:bottom w:val="single" w:sz="12" w:space="10" w:color="007614"/>
        </w:pBdr>
        <w:spacing w:before="120" w:after="380" w:line="600" w:lineRule="exact"/>
        <w:jc w:val="left"/>
      </w:pPr>
      <w:bookmarkStart w:id="42" w:name="_h32"/>
      <w:r>
        <w:rPr>
          <w:rFonts w:ascii="Barlow Condensed" w:hAnsi="Barlow Condensed" w:cs="Barlow Condensed" w:eastAsia="Barlow Condensed"/>
          <w:b/>
          <w:bCs/>
          <w:color w:val="007614"/>
          <w:sz w:val="52"/>
          <w:szCs w:val="52"/>
        </w:rPr>
        <w:t xml:space="preserve">6 </w:t>
      </w:r>
      <w:r>
        <w:rPr>
          <w:rFonts w:ascii="Barlow Condensed" w:hAnsi="Barlow Condensed" w:cs="Barlow Condensed" w:eastAsia="Barlow Condensed"/>
          <w:b/>
          <w:bCs/>
          <w:color w:val="01366F"/>
          <w:sz w:val="52"/>
          <w:szCs w:val="52"/>
        </w:rPr>
        <w:t xml:space="preserve">PLANO DE VALIDAÇÃO</w:t>
      </w:r>
      <w:bookmarkEnd w:id="42"/>
    </w:p>
    <w:p>
      <w:pPr>
        <w:spacing w:before="0" w:after="140" w:line="300" w:lineRule="auto"/>
        <w:jc w:val="both"/>
      </w:pPr>
      <w:r>
        <w:rPr>
          <w:rFonts w:ascii="Barlow" w:hAnsi="Barlow" w:cs="Barlow" w:eastAsia="Barlow"/>
          <w:color w:val="0F2440"/>
          <w:sz w:val="20"/>
          <w:szCs w:val="20"/>
        </w:rPr>
        <w:t xml:space="preserve">Com 5.570 unidades, as restrições de graus de liberdade que pesam sobre recortes subestaduais desaparecem, e a análise multivariada torna-se plenamente viável. O problema deixa de ser o tamanho da amostra e passa a ser a heterogeneidade entre municípios de escalas radicalmente distintas.</w:t>
      </w:r>
    </w:p>
    <w:p>
      <w:pPr>
        <w:pStyle w:val="Heading2"/>
        <w:keepNext/>
        <w:spacing w:before="340" w:after="120" w:line="264" w:lineRule="auto"/>
        <w:jc w:val="left"/>
      </w:pPr>
      <w:bookmarkStart w:id="43" w:name="_h33"/>
      <w:r>
        <w:rPr>
          <w:rFonts w:ascii="Barlow Condensed SemiBold" w:hAnsi="Barlow Condensed SemiBold" w:cs="Barlow Condensed SemiBold" w:eastAsia="Barlow Condensed SemiBold"/>
          <w:color w:val="007614"/>
          <w:sz w:val="30"/>
          <w:szCs w:val="30"/>
        </w:rPr>
        <w:t xml:space="preserve">6.1 Validação da estrutura interna</w:t>
      </w:r>
      <w:bookmarkEnd w:id="43"/>
    </w:p>
    <w:p>
      <w:pPr>
        <w:spacing w:before="0" w:after="140" w:line="300" w:lineRule="auto"/>
        <w:jc w:val="both"/>
      </w:pPr>
      <w:r>
        <w:rPr>
          <w:rFonts w:ascii="Barlow" w:hAnsi="Barlow" w:cs="Barlow" w:eastAsia="Barlow"/>
          <w:color w:val="0F2440"/>
          <w:sz w:val="20"/>
          <w:szCs w:val="20"/>
        </w:rPr>
        <w:t xml:space="preserve">Matriz de correlação de Spearman entre todos os indicadores, com revisão de pares com coeficiente superior a 0,90 (atenção especial ao par A1–C3); fator de inflação da variância, com limite de 5; medida de adequação amostral de Kaiser-Meyer-Olkin, global e por indicador; teste de esfericidade de Bartlett; comunalidades e cargas fatoriais por análise fatorial exploratória, com retenção por análise paralela; e alfa de Cronbach e ômega de McDonald calculados por dimensão, e nunca para o índice inteiro, que não pressupõe unidimensionalidade. Espera-se correlação moderada entre dimensões; correlação superior a 0,90 entre dois domínios indica que não são dimensões distintas e obriga à revisão da estrutura.</w:t>
      </w:r>
    </w:p>
    <w:p>
      <w:pPr>
        <w:pStyle w:val="Heading2"/>
        <w:keepNext/>
        <w:spacing w:before="340" w:after="120" w:line="264" w:lineRule="auto"/>
        <w:jc w:val="left"/>
      </w:pPr>
      <w:bookmarkStart w:id="44" w:name="_h34"/>
      <w:r>
        <w:rPr>
          <w:rFonts w:ascii="Barlow Condensed SemiBold" w:hAnsi="Barlow Condensed SemiBold" w:cs="Barlow Condensed SemiBold" w:eastAsia="Barlow Condensed SemiBold"/>
          <w:color w:val="007614"/>
          <w:sz w:val="30"/>
          <w:szCs w:val="30"/>
        </w:rPr>
        <w:t xml:space="preserve">6.2 Validação de critério</w:t>
      </w:r>
      <w:bookmarkEnd w:id="44"/>
    </w:p>
    <w:p>
      <w:pPr>
        <w:spacing w:before="0" w:after="140" w:line="300" w:lineRule="auto"/>
        <w:jc w:val="both"/>
      </w:pPr>
      <w:r>
        <w:rPr>
          <w:rFonts w:ascii="Barlow" w:hAnsi="Barlow" w:cs="Barlow" w:eastAsia="Barlow"/>
          <w:color w:val="0F2440"/>
          <w:sz w:val="20"/>
          <w:szCs w:val="20"/>
        </w:rPr>
        <w:t xml:space="preserve">Correlacionar o INS com desfechos de saúde reservados, isto é, deliberadamente mantidos fora do escore:</w:t>
      </w:r>
    </w:p>
    <w:p>
      <w:pPr>
        <w:pStyle w:val="ListParagraph"/>
        <w:numPr>
          <w:ilvl w:val="0"/>
          <w:numId w:val="15"/>
        </w:numPr>
        <w:spacing w:before="0" w:after="80" w:line="290" w:lineRule="auto"/>
        <w:jc w:val="both"/>
      </w:pPr>
      <w:r>
        <w:rPr>
          <w:rFonts w:ascii="Barlow" w:hAnsi="Barlow" w:cs="Barlow" w:eastAsia="Barlow"/>
          <w:color w:val="0F2440"/>
          <w:sz w:val="20"/>
          <w:szCs w:val="20"/>
        </w:rPr>
        <w:t xml:space="preserve">mortalidade em menores de cinco anos por causas sensíveis à pobreza (doenças infecciosas e parasitárias, endócrinas e nutricionais, e respiratórias);</w:t>
      </w:r>
    </w:p>
    <w:p>
      <w:pPr>
        <w:pStyle w:val="ListParagraph"/>
        <w:numPr>
          <w:ilvl w:val="0"/>
          <w:numId w:val="15"/>
        </w:numPr>
        <w:spacing w:before="0" w:after="80" w:line="290" w:lineRule="auto"/>
        <w:jc w:val="both"/>
      </w:pPr>
      <w:r>
        <w:rPr>
          <w:rFonts w:ascii="Barlow" w:hAnsi="Barlow" w:cs="Barlow" w:eastAsia="Barlow"/>
          <w:color w:val="0F2440"/>
          <w:sz w:val="20"/>
          <w:szCs w:val="20"/>
        </w:rPr>
        <w:t xml:space="preserve">taxa de internações por condições sensíveis à atenção primária;</w:t>
      </w:r>
    </w:p>
    <w:p>
      <w:pPr>
        <w:pStyle w:val="ListParagraph"/>
        <w:numPr>
          <w:ilvl w:val="0"/>
          <w:numId w:val="15"/>
        </w:numPr>
        <w:spacing w:before="0" w:after="80" w:line="290" w:lineRule="auto"/>
        <w:jc w:val="both"/>
      </w:pPr>
      <w:r>
        <w:rPr>
          <w:rFonts w:ascii="Barlow" w:hAnsi="Barlow" w:cs="Barlow" w:eastAsia="Barlow"/>
          <w:color w:val="0F2440"/>
          <w:sz w:val="20"/>
          <w:szCs w:val="20"/>
        </w:rPr>
        <w:t xml:space="preserve">mortalidade prematura por doenças crônicas não transmissíveis, de 30 a 69 anos, padronizada por idade;</w:t>
      </w:r>
    </w:p>
    <w:p>
      <w:pPr>
        <w:pStyle w:val="ListParagraph"/>
        <w:numPr>
          <w:ilvl w:val="0"/>
          <w:numId w:val="15"/>
        </w:numPr>
        <w:spacing w:before="0" w:after="180" w:line="290" w:lineRule="auto"/>
        <w:jc w:val="both"/>
      </w:pPr>
      <w:r>
        <w:rPr>
          <w:rFonts w:ascii="Barlow" w:hAnsi="Barlow" w:cs="Barlow" w:eastAsia="Barlow"/>
          <w:color w:val="0F2440"/>
          <w:sz w:val="20"/>
          <w:szCs w:val="20"/>
        </w:rPr>
        <w:t xml:space="preserve">incidência de tuberculose e de hanseníase.</w:t>
      </w:r>
    </w:p>
    <w:p>
      <w:pPr>
        <w:spacing w:before="0" w:after="140" w:line="300" w:lineRule="auto"/>
        <w:jc w:val="both"/>
      </w:pPr>
      <w:r>
        <w:rPr>
          <w:rFonts w:ascii="Barlow" w:hAnsi="Barlow" w:cs="Barlow" w:eastAsia="Barlow"/>
          <w:color w:val="0F2440"/>
          <w:sz w:val="20"/>
          <w:szCs w:val="20"/>
        </w:rPr>
        <w:t xml:space="preserve">Para cada desfecho, reportar a razão de taxas entre o quinto e o primeiro quintil, com intervalo de confiança; os índices absoluto e relativo de desigualdade, estimados por regressão sobre a posição relativa acumulada na distribuição populacional (MACKENBACH; KUNST, 1997); e o número de óbitos atribuível à desigualdade, isto é, o que não ocorreria se todos os quintis tivessem a taxa do quintil de menor necessidade. Esta última medida é diretamente comunicável a gestores e converte o índice de descrição em argumento orçamentário.</w:t>
      </w:r>
    </w:p>
    <w:p>
      <w:pPr>
        <w:spacing w:before="0" w:after="140" w:line="300" w:lineRule="auto"/>
        <w:jc w:val="both"/>
      </w:pPr>
      <w:r>
        <w:rPr>
          <w:rFonts w:ascii="Barlow" w:hAnsi="Barlow" w:cs="Barlow" w:eastAsia="Barlow"/>
          <w:color w:val="0F2440"/>
          <w:sz w:val="20"/>
          <w:szCs w:val="20"/>
        </w:rPr>
        <w:t xml:space="preserve">A internação por condições sensíveis à atenção primária merece ressalva: depende também do acesso ao hospital, que é oferta, e sua associação com o INS pode ser atenuada em municípios sem leitos. Por isso, é lida em conjunto com a camada de oferta.</w:t>
      </w:r>
    </w:p>
    <w:p>
      <w:pPr>
        <w:pStyle w:val="Heading2"/>
        <w:keepNext/>
        <w:spacing w:before="340" w:after="120" w:line="264" w:lineRule="auto"/>
        <w:jc w:val="left"/>
      </w:pPr>
      <w:bookmarkStart w:id="45" w:name="_h35"/>
      <w:r>
        <w:rPr>
          <w:rFonts w:ascii="Barlow Condensed SemiBold" w:hAnsi="Barlow Condensed SemiBold" w:cs="Barlow Condensed SemiBold" w:eastAsia="Barlow Condensed SemiBold"/>
          <w:color w:val="007614"/>
          <w:sz w:val="30"/>
          <w:szCs w:val="30"/>
        </w:rPr>
        <w:t xml:space="preserve">6.3 Correção obrigatória dos desfechos de validação</w:t>
      </w:r>
      <w:bookmarkEnd w:id="45"/>
    </w:p>
    <w:p>
      <w:pPr>
        <w:spacing w:before="0" w:after="140" w:line="300" w:lineRule="auto"/>
        <w:jc w:val="both"/>
      </w:pPr>
      <w:r>
        <w:rPr>
          <w:rFonts w:ascii="Barlow" w:hAnsi="Barlow" w:cs="Barlow" w:eastAsia="Barlow"/>
          <w:color w:val="0F2440"/>
          <w:sz w:val="20"/>
          <w:szCs w:val="20"/>
        </w:rPr>
        <w:t xml:space="preserve">Todos os desfechos de mortalidade usados na validação devem ser corrigidos pela completude estimada do registro de óbitos por município, sob pena de o próprio teste de validade ser contaminado pelo gradiente de subnotificação. A completude estimada é reportada como metaindicador ao lado de cada resultado, e municípios com completude inferior a 0,80 são sinalizados.</w:t>
      </w:r>
    </w:p>
    <w:p>
      <w:pPr>
        <w:pStyle w:val="Heading2"/>
        <w:keepNext/>
        <w:spacing w:before="340" w:after="120" w:line="264" w:lineRule="auto"/>
        <w:jc w:val="left"/>
      </w:pPr>
      <w:bookmarkStart w:id="46" w:name="_h36"/>
      <w:r>
        <w:rPr>
          <w:rFonts w:ascii="Barlow Condensed SemiBold" w:hAnsi="Barlow Condensed SemiBold" w:cs="Barlow Condensed SemiBold" w:eastAsia="Barlow Condensed SemiBold"/>
          <w:color w:val="007614"/>
          <w:sz w:val="30"/>
          <w:szCs w:val="30"/>
        </w:rPr>
        <w:t xml:space="preserve">6.4 Validação convergente</w:t>
      </w:r>
      <w:bookmarkEnd w:id="46"/>
    </w:p>
    <w:p>
      <w:pPr>
        <w:spacing w:before="0" w:after="140" w:line="300" w:lineRule="auto"/>
        <w:jc w:val="both"/>
      </w:pPr>
      <w:r>
        <w:rPr>
          <w:rFonts w:ascii="Barlow" w:hAnsi="Barlow" w:cs="Barlow" w:eastAsia="Barlow"/>
          <w:color w:val="0F2440"/>
          <w:sz w:val="20"/>
          <w:szCs w:val="20"/>
        </w:rPr>
        <w:t xml:space="preserve">O INS deve correlacionar-se fortemente, mas não perfeitamente, com índices de privação estabelecidos: o IBP (ICHIHARA et al., 2025), o IVS (COSTA; MARGUTI, 2015) e o GeoSES (BARROZO et al., 2020). Correlação de Spearman inferior a 0,60 indicaria que o INS não mede o domínio comum de desvantagem; correlação superior a 0,95 indicaria que a dimensão demográfica não acrescenta informação e que o INS seria redundante. Os municípios que mais divergem entre o INS e os índices de privação são examinados individualmente: espera-se que sejam, sobretudo, municípios com estrutura etária extrema.</w:t>
      </w:r>
    </w:p>
    <w:p>
      <w:pPr>
        <w:pStyle w:val="Heading2"/>
        <w:keepNext/>
        <w:spacing w:before="340" w:after="120" w:line="264" w:lineRule="auto"/>
        <w:jc w:val="left"/>
      </w:pPr>
      <w:bookmarkStart w:id="47" w:name="_h37"/>
      <w:r>
        <w:rPr>
          <w:rFonts w:ascii="Barlow Condensed SemiBold" w:hAnsi="Barlow Condensed SemiBold" w:cs="Barlow Condensed SemiBold" w:eastAsia="Barlow Condensed SemiBold"/>
          <w:color w:val="007614"/>
          <w:sz w:val="30"/>
          <w:szCs w:val="30"/>
        </w:rPr>
        <w:t xml:space="preserve">6.5 Teste de responsividade</w:t>
      </w:r>
      <w:bookmarkEnd w:id="47"/>
    </w:p>
    <w:p>
      <w:pPr>
        <w:spacing w:before="0" w:after="140" w:line="300" w:lineRule="auto"/>
        <w:jc w:val="both"/>
        <w:sectPr>
          <w:headerReference w:type="default" r:id="rId22"/>
          <w:headerReference w:type="even" r:id="rId15"/>
          <w:footerReference w:type="default" r:id="rId16"/>
          <w:footerReference w:type="even" r:id="rId17"/>
          <w:type w:val="nextPage"/>
          <w:pgSz w:w="11906" w:h="16838"/>
          <w:pgMar w:top="1474" w:right="1531" w:bottom="1814" w:left="1531" w:header="850" w:footer="330" w:gutter="0"/>
          <w:cols w:space="720"/>
          <w:docGrid w:linePitch="360"/>
        </w:sectPr>
      </w:pPr>
      <w:r>
        <w:rPr>
          <w:rFonts w:ascii="Barlow" w:hAnsi="Barlow" w:cs="Barlow" w:eastAsia="Barlow"/>
          <w:color w:val="0F2440"/>
          <w:sz w:val="20"/>
          <w:szCs w:val="20"/>
        </w:rPr>
        <w:t xml:space="preserve">Calcular o INS Dinâmico para três anos consecutivos e verificar se a variação observada excede a variação de fundo esperada por ruído das fontes, estimada pelo desvio-padrão da mudança na série e pela simulação da seção 5.8. Um índice cuja variação anual seja indistinguível de ruído não serve ao monitoramento, por mais válido que seja em corte transversal, e essa verificação, ausente da quase totalidade dos índices brasileiros, é condição para o uso do instrumento em avaliação de política.</w:t>
      </w:r>
    </w:p>
    <w:p>
      <w:pPr>
        <w:pStyle w:val="Heading1"/>
        <w:pBdr>
          <w:bottom w:val="single" w:sz="12" w:space="10" w:color="007614"/>
        </w:pBdr>
        <w:spacing w:before="120" w:after="380" w:line="600" w:lineRule="exact"/>
        <w:jc w:val="left"/>
      </w:pPr>
      <w:bookmarkStart w:id="48" w:name="_h38"/>
      <w:r>
        <w:rPr>
          <w:rFonts w:ascii="Barlow Condensed" w:hAnsi="Barlow Condensed" w:cs="Barlow Condensed" w:eastAsia="Barlow Condensed"/>
          <w:b/>
          <w:bCs/>
          <w:color w:val="007614"/>
          <w:sz w:val="52"/>
          <w:szCs w:val="52"/>
        </w:rPr>
        <w:t xml:space="preserve">7 </w:t>
      </w:r>
      <w:r>
        <w:rPr>
          <w:rFonts w:ascii="Barlow Condensed" w:hAnsi="Barlow Condensed" w:cs="Barlow Condensed" w:eastAsia="Barlow Condensed"/>
          <w:b/>
          <w:bCs/>
          <w:color w:val="01366F"/>
          <w:sz w:val="52"/>
          <w:szCs w:val="52"/>
        </w:rPr>
        <w:t xml:space="preserve">RISCOS, LIMITAÇÕES E USOS PREVISTOS</w:t>
      </w:r>
      <w:bookmarkEnd w:id="48"/>
    </w:p>
    <w:p>
      <w:pPr>
        <w:pStyle w:val="Heading2"/>
        <w:keepNext/>
        <w:spacing w:before="340" w:after="120" w:line="264" w:lineRule="auto"/>
        <w:jc w:val="left"/>
      </w:pPr>
      <w:bookmarkStart w:id="49" w:name="_h39"/>
      <w:r>
        <w:rPr>
          <w:rFonts w:ascii="Barlow Condensed SemiBold" w:hAnsi="Barlow Condensed SemiBold" w:cs="Barlow Condensed SemiBold" w:eastAsia="Barlow Condensed SemiBold"/>
          <w:color w:val="007614"/>
          <w:sz w:val="30"/>
          <w:szCs w:val="30"/>
        </w:rPr>
        <w:t xml:space="preserve">7.1 Riscos do desenho e mitigações</w:t>
      </w:r>
      <w:bookmarkEnd w:id="49"/>
    </w:p>
    <w:p>
      <w:pPr>
        <w:keepNext/>
        <w:spacing w:before="200" w:after="100" w:line="264" w:lineRule="auto"/>
        <w:jc w:val="left"/>
      </w:pPr>
      <w:bookmarkStart w:id="50" w:name="_q_9"/>
      <w:r>
        <w:rPr>
          <w:rFonts w:ascii="Barlow Condensed SemiBold" w:hAnsi="Barlow Condensed SemiBold" w:cs="Barlow Condensed SemiBold" w:eastAsia="Barlow Condensed SemiBold"/>
          <w:color w:val="007614"/>
          <w:sz w:val="21"/>
          <w:szCs w:val="21"/>
        </w:rPr>
        <w:t xml:space="preserve">Quadro 9 – </w:t>
      </w:r>
      <w:r>
        <w:rPr>
          <w:rFonts w:ascii="Barlow Condensed SemiBold" w:hAnsi="Barlow Condensed SemiBold" w:cs="Barlow Condensed SemiBold" w:eastAsia="Barlow Condensed SemiBold"/>
          <w:color w:val="01366F"/>
          <w:sz w:val="21"/>
          <w:szCs w:val="21"/>
        </w:rPr>
        <w:t xml:space="preserve">Riscos do desenho e mitigações</w:t>
      </w:r>
      <w:bookmarkEnd w:id="50"/>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1944"/>
        <w:gridCol w:w="3449"/>
        <w:gridCol w:w="3451"/>
      </w:tblGrid>
      <w:tr>
        <w:trPr>
          <w:tblHeader/>
          <w:cantSplit/>
        </w:trPr>
        <w:tc>
          <w:tcPr>
            <w:tcW w:w="194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Risco</w:t>
            </w:r>
          </w:p>
        </w:tc>
        <w:tc>
          <w:tcPr>
            <w:tcW w:w="344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Descrição</w:t>
            </w:r>
          </w:p>
        </w:tc>
        <w:tc>
          <w:tcPr>
            <w:tcW w:w="3451"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Mitigação</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Viés de cobertura do CadÚnico</w:t>
            </w:r>
          </w:p>
        </w:tc>
        <w:tc>
          <w:tcPr>
            <w:tcW w:w="344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 inscrição depende de busca ativa; municípios com gestão social frágil subestimam a própria pobreza</w:t>
            </w:r>
          </w:p>
        </w:tc>
        <w:tc>
          <w:tcPr>
            <w:tcW w:w="3451" w:type="dxa"/>
            <w:shd w:val="clear" w:color="auto" w:fill="FFFFFF"/>
            <w:vAlign w:val="top"/>
          </w:tcPr>
          <w:p>
            <w:pPr>
              <w:spacing w:before="0" w:after="0" w:line="252" w:lineRule="auto"/>
              <w:jc w:val="left"/>
            </w:pPr>
            <w:r>
              <w:rPr>
                <w:rFonts w:ascii="Barlow" w:hAnsi="Barlow" w:cs="Barlow" w:eastAsia="Barlow"/>
                <w:color w:val="0F2440"/>
                <w:sz w:val="17"/>
                <w:szCs w:val="17"/>
              </w:rPr>
              <w:t xml:space="preserve">Regra de encadeamento corrigida; truncamento; cobertura publicada como metaindicador; média móvel de doze meses</w:t>
            </w:r>
          </w:p>
        </w:tc>
      </w:tr>
      <w:tr>
        <w:trPr>
          <w:cantSplit/>
        </w:trPr>
        <w:tc>
          <w:tcPr>
            <w:tcW w:w="194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Âncora móvel da linha de pobreza</w:t>
            </w:r>
          </w:p>
        </w:tc>
        <w:tc>
          <w:tcPr>
            <w:tcW w:w="344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Aumentos reais do salário-mínimo elevam a proporção de pobres sem mudança na necessidade</w:t>
            </w:r>
          </w:p>
        </w:tc>
        <w:tc>
          <w:tcPr>
            <w:tcW w:w="3451" w:type="dxa"/>
            <w:shd w:val="clear" w:color="auto" w:fill="E9F2EB"/>
            <w:vAlign w:val="top"/>
          </w:tcPr>
          <w:p>
            <w:pPr>
              <w:spacing w:before="0" w:after="0" w:line="252" w:lineRule="auto"/>
              <w:jc w:val="left"/>
            </w:pPr>
            <w:r>
              <w:rPr>
                <w:rFonts w:ascii="Barlow" w:hAnsi="Barlow" w:cs="Barlow" w:eastAsia="Barlow"/>
                <w:color w:val="0F2440"/>
                <w:sz w:val="17"/>
                <w:szCs w:val="17"/>
              </w:rPr>
              <w:t xml:space="preserve">Linha fixada em termos reais e corrigida pelo INPC; limitação registrada enquanto só houver faixa nominal</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Reporte parcial ao SINISA</w:t>
            </w:r>
          </w:p>
        </w:tc>
        <w:tc>
          <w:tcPr>
            <w:tcW w:w="344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Nem todos os municípios reportam, e a ausência se correlaciona com porte e capacidade</w:t>
            </w:r>
          </w:p>
        </w:tc>
        <w:tc>
          <w:tcPr>
            <w:tcW w:w="3451"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Encadeamento a partir do Censo; manutenção do valor censitário e sinalização</w:t>
            </w:r>
          </w:p>
        </w:tc>
      </w:tr>
      <w:tr>
        <w:trPr>
          <w:cantSplit/>
        </w:trPr>
        <w:tc>
          <w:tcPr>
            <w:tcW w:w="194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Instabilidade em municípios pequenos</w:t>
            </w:r>
          </w:p>
        </w:tc>
        <w:tc>
          <w:tcPr>
            <w:tcW w:w="344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Proporções sobre denominadores de poucos milhares oscilam por movimentação de dezenas de pessoas</w:t>
            </w:r>
          </w:p>
        </w:tc>
        <w:tc>
          <w:tcPr>
            <w:tcW w:w="3451" w:type="dxa"/>
            <w:shd w:val="clear" w:color="auto" w:fill="E9F2EB"/>
            <w:vAlign w:val="top"/>
          </w:tcPr>
          <w:p>
            <w:pPr>
              <w:spacing w:before="0" w:after="0" w:line="252" w:lineRule="auto"/>
              <w:jc w:val="left"/>
            </w:pPr>
            <w:r>
              <w:rPr>
                <w:rFonts w:ascii="Barlow" w:hAnsi="Barlow" w:cs="Barlow" w:eastAsia="Barlow"/>
                <w:color w:val="0F2440"/>
                <w:sz w:val="17"/>
                <w:szCs w:val="17"/>
              </w:rPr>
              <w:t xml:space="preserve">Sinalização de municípios com menos de 5.000 habitantes; intervalo de posição explícito</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Falácia ecológica</w:t>
            </w:r>
          </w:p>
        </w:tc>
        <w:tc>
          <w:tcPr>
            <w:tcW w:w="344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O índice descreve municípios, não pessoas; iniquidades intramunicipais podem exceder as intermunicipais</w:t>
            </w:r>
          </w:p>
        </w:tc>
        <w:tc>
          <w:tcPr>
            <w:tcW w:w="3451" w:type="dxa"/>
            <w:shd w:val="clear" w:color="auto" w:fill="FFFFFF"/>
            <w:vAlign w:val="top"/>
          </w:tcPr>
          <w:p>
            <w:pPr>
              <w:spacing w:before="0" w:after="0" w:line="252" w:lineRule="auto"/>
              <w:jc w:val="left"/>
            </w:pPr>
            <w:r>
              <w:rPr>
                <w:rFonts w:ascii="Barlow" w:hAnsi="Barlow" w:cs="Barlow" w:eastAsia="Barlow"/>
                <w:color w:val="0F2440"/>
                <w:sz w:val="17"/>
                <w:szCs w:val="17"/>
              </w:rPr>
              <w:t xml:space="preserve">Vedação ao uso individual; leitura conjunta com o mapa da cartografia social do território</w:t>
            </w:r>
          </w:p>
        </w:tc>
      </w:tr>
      <w:tr>
        <w:trPr>
          <w:cantSplit/>
        </w:trPr>
        <w:tc>
          <w:tcPr>
            <w:tcW w:w="194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Deriva das estimativas populacionais</w:t>
            </w:r>
          </w:p>
        </w:tc>
        <w:tc>
          <w:tcPr>
            <w:tcW w:w="3449" w:type="dxa"/>
            <w:shd w:val="clear" w:color="auto" w:fill="E9F2EB"/>
            <w:vAlign w:val="top"/>
          </w:tcPr>
          <w:p>
            <w:pPr>
              <w:spacing w:before="0" w:after="0" w:line="252" w:lineRule="auto"/>
              <w:jc w:val="left"/>
            </w:pPr>
            <w:r>
              <w:rPr>
                <w:rFonts w:ascii="Barlow" w:hAnsi="Barlow" w:cs="Barlow" w:eastAsia="Barlow"/>
                <w:color w:val="0F2440"/>
                <w:sz w:val="17"/>
                <w:szCs w:val="17"/>
              </w:rPr>
              <w:t xml:space="preserve">Denominadores afastam-se do observado à medida que o Censo envelhece</w:t>
            </w:r>
          </w:p>
        </w:tc>
        <w:tc>
          <w:tcPr>
            <w:tcW w:w="3451" w:type="dxa"/>
            <w:shd w:val="clear" w:color="auto" w:fill="E9F2EB"/>
            <w:vAlign w:val="top"/>
          </w:tcPr>
          <w:p>
            <w:pPr>
              <w:spacing w:before="0" w:after="0" w:line="252" w:lineRule="auto"/>
              <w:jc w:val="left"/>
            </w:pPr>
            <w:r>
              <w:rPr>
                <w:rFonts w:ascii="Barlow" w:hAnsi="Barlow" w:cs="Barlow" w:eastAsia="Barlow"/>
                <w:color w:val="0F2440"/>
                <w:sz w:val="17"/>
                <w:szCs w:val="17"/>
              </w:rPr>
              <w:t xml:space="preserve">Documentação da versão da estimativa; reancoragem a cada Censo</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Regimes de fluxo escolar</w:t>
            </w:r>
          </w:p>
        </w:tc>
        <w:tc>
          <w:tcPr>
            <w:tcW w:w="3449" w:type="dxa"/>
            <w:shd w:val="clear" w:color="auto" w:fill="FFFFFF"/>
            <w:vAlign w:val="top"/>
          </w:tcPr>
          <w:p>
            <w:pPr>
              <w:spacing w:before="0" w:after="0" w:line="252" w:lineRule="auto"/>
              <w:jc w:val="left"/>
            </w:pPr>
            <w:r>
              <w:rPr>
                <w:rFonts w:ascii="Barlow" w:hAnsi="Barlow" w:cs="Barlow" w:eastAsia="Barlow"/>
                <w:color w:val="0F2440"/>
                <w:sz w:val="17"/>
                <w:szCs w:val="17"/>
              </w:rPr>
              <w:t xml:space="preserve">B1 reflete políticas de progressão das redes, que variam entre unidades da federação</w:t>
            </w:r>
          </w:p>
        </w:tc>
        <w:tc>
          <w:tcPr>
            <w:tcW w:w="3451" w:type="dxa"/>
            <w:shd w:val="clear" w:color="auto" w:fill="FFFFFF"/>
            <w:vAlign w:val="top"/>
          </w:tcPr>
          <w:p>
            <w:pPr>
              <w:spacing w:before="0" w:after="0" w:line="252" w:lineRule="auto"/>
              <w:jc w:val="left"/>
            </w:pPr>
            <w:r>
              <w:rPr>
                <w:rFonts w:ascii="Barlow" w:hAnsi="Barlow" w:cs="Barlow" w:eastAsia="Barlow"/>
                <w:color w:val="0F2440"/>
                <w:sz w:val="17"/>
                <w:szCs w:val="17"/>
              </w:rPr>
              <w:t xml:space="preserve">Leitura com padronização por UF na análise de sensibilidade</w:t>
            </w:r>
          </w:p>
        </w:tc>
      </w:tr>
      <w:tr>
        <w:trPr>
          <w:cantSplit/>
        </w:trPr>
        <w:tc>
          <w:tcPr>
            <w:tcW w:w="1944" w:type="dxa"/>
            <w:shd w:val="clear" w:color="auto" w:fill="E9F2EB"/>
            <w:vAlign w:val="top"/>
          </w:tcPr>
          <w:p>
            <w:pPr>
              <w:keepNext/>
              <w:spacing w:before="0" w:after="0" w:line="252" w:lineRule="auto"/>
              <w:jc w:val="left"/>
            </w:pPr>
            <w:r>
              <w:rPr>
                <w:rFonts w:ascii="Barlow SemiBold" w:hAnsi="Barlow SemiBold" w:cs="Barlow SemiBold" w:eastAsia="Barlow SemiBold"/>
                <w:color w:val="01366F"/>
                <w:sz w:val="17"/>
                <w:szCs w:val="17"/>
              </w:rPr>
              <w:t xml:space="preserve">Quebra de série na malha</w:t>
            </w:r>
          </w:p>
        </w:tc>
        <w:tc>
          <w:tcPr>
            <w:tcW w:w="3449"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Setores e limites municipais mudam entre censos</w:t>
            </w:r>
          </w:p>
        </w:tc>
        <w:tc>
          <w:tcPr>
            <w:tcW w:w="3451" w:type="dxa"/>
            <w:shd w:val="clear" w:color="auto" w:fill="E9F2EB"/>
            <w:vAlign w:val="top"/>
          </w:tcPr>
          <w:p>
            <w:pPr>
              <w:keepNext/>
              <w:spacing w:before="0" w:after="0" w:line="252" w:lineRule="auto"/>
              <w:jc w:val="left"/>
            </w:pPr>
            <w:r>
              <w:rPr>
                <w:rFonts w:ascii="Barlow" w:hAnsi="Barlow" w:cs="Barlow" w:eastAsia="Barlow"/>
                <w:color w:val="0F2440"/>
                <w:sz w:val="17"/>
                <w:szCs w:val="17"/>
              </w:rPr>
              <w:t xml:space="preserve">Compatibilização espacial documentada; publicação da série reprocessada</w:t>
            </w:r>
          </w:p>
        </w:tc>
      </w:tr>
    </w:tbl>
    <w:p>
      <w:pPr>
        <w:spacing w:before="60" w:after="220" w:line="240" w:lineRule="auto"/>
        <w:jc w:val="left"/>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w:t>
      </w:r>
    </w:p>
    <w:p>
      <w:pPr>
        <w:pStyle w:val="Heading2"/>
        <w:keepNext/>
        <w:spacing w:before="340" w:after="120" w:line="264" w:lineRule="auto"/>
        <w:jc w:val="left"/>
      </w:pPr>
      <w:bookmarkStart w:id="51" w:name="_h40"/>
      <w:r>
        <w:rPr>
          <w:rFonts w:ascii="Barlow Condensed SemiBold" w:hAnsi="Barlow Condensed SemiBold" w:cs="Barlow Condensed SemiBold" w:eastAsia="Barlow Condensed SemiBold"/>
          <w:color w:val="007614"/>
          <w:sz w:val="30"/>
          <w:szCs w:val="30"/>
        </w:rPr>
        <w:t xml:space="preserve">7.2 Limitações reconhecidas</w:t>
      </w:r>
      <w:bookmarkEnd w:id="51"/>
    </w:p>
    <w:p>
      <w:pPr>
        <w:spacing w:before="0" w:after="140" w:line="300" w:lineRule="auto"/>
        <w:jc w:val="both"/>
      </w:pPr>
      <w:r>
        <w:rPr>
          <w:rFonts w:ascii="Barlow" w:hAnsi="Barlow" w:cs="Barlow" w:eastAsia="Barlow"/>
          <w:color w:val="0F2440"/>
          <w:sz w:val="20"/>
          <w:szCs w:val="20"/>
        </w:rPr>
        <w:t xml:space="preserve">O INS mede necessidade potencial, e não necessidade sentida, expressa ou manifesta. Não capta necessidade decorrente de perfis epidemiológicos que não coincidam com o gradiente social (surtos, emergências, agravos de distribuição idiossincrática); esses perfis são objeto da vigilância e, no Protocolo de Inteligência Territorial, do Painel de Vigilância Integrada. Não incorpora dimensões de privação social no sentido de Pampalon e Raymond (2000), como isolamento, monoparentalidade e viuvez. Não incorpora a exposição a riscos ambientais, lida no mapa da cartografia social. Enquanto não houver acesso às faixas de renda do Cadastro Único, A1 usa a linha nominal e incorpora parcialmente a âncora móvel do salário-mínimo. É relativo por construção e, portanto, silencioso sobre suficiência absoluta. E, como todo índice territorial, está sujeito ao problema da unidade de área modificável (OPENSHAW, 1984): os resultados dependem da escala de agregação, razão pela qual se recomenda publicá-los também por região de saúde.</w:t>
      </w:r>
    </w:p>
    <w:p>
      <w:pPr>
        <w:pStyle w:val="Heading2"/>
        <w:keepNext/>
        <w:spacing w:before="340" w:after="120" w:line="264" w:lineRule="auto"/>
        <w:jc w:val="left"/>
      </w:pPr>
      <w:bookmarkStart w:id="52" w:name="_h41"/>
      <w:r>
        <w:rPr>
          <w:rFonts w:ascii="Barlow Condensed SemiBold" w:hAnsi="Barlow Condensed SemiBold" w:cs="Barlow Condensed SemiBold" w:eastAsia="Barlow Condensed SemiBold"/>
          <w:color w:val="007614"/>
          <w:sz w:val="30"/>
          <w:szCs w:val="30"/>
        </w:rPr>
        <w:t xml:space="preserve">7.3 Usos previstos e vedações</w:t>
      </w:r>
      <w:bookmarkEnd w:id="52"/>
    </w:p>
    <w:p>
      <w:pPr>
        <w:spacing w:before="0" w:after="140" w:line="300" w:lineRule="auto"/>
        <w:jc w:val="both"/>
      </w:pPr>
      <w:r>
        <w:rPr>
          <w:rFonts w:ascii="Barlow" w:hAnsi="Barlow" w:cs="Barlow" w:eastAsia="Barlow"/>
          <w:color w:val="0F2440"/>
          <w:sz w:val="20"/>
          <w:szCs w:val="20"/>
        </w:rPr>
        <w:t xml:space="preserve">O desenho sustenta quatro usos. O primeiro é a alocação e a priorização de recursos entre municípios ou Regiões Administrativas, por regra pública e auditável. O segundo é o emprego do índice como variável independente exógena em estudos de determinação social, para múltiplos desfechos, sem circularidade. O terceiro é o monitoramento anual, pelo INS Dinâmico. O quarto, no âmbito da PICAPS, é a escolha de territórios para implantação das Salas de Cooperação Social e a reivindicação de recursos pelos próprios territórios.</w:t>
      </w:r>
    </w:p>
    <w:p>
      <w:pPr>
        <w:spacing w:before="0" w:after="140" w:line="300" w:lineRule="auto"/>
        <w:jc w:val="both"/>
      </w:pPr>
      <w:r>
        <w:rPr>
          <w:rFonts w:ascii="Barlow" w:hAnsi="Barlow" w:cs="Barlow" w:eastAsia="Barlow"/>
          <w:color w:val="0F2440"/>
          <w:sz w:val="20"/>
          <w:szCs w:val="20"/>
        </w:rPr>
        <w:t xml:space="preserve">O desenho veda o uso do índice para decisões sobre indivíduos ou famílias. O índice opera em nível territorial e não descreve pessoa alguma: municípios de alta necessidade contêm população não vulnerável, e municípios de baixa necessidade contêm população em privação severa.</w:t>
      </w:r>
    </w:p>
    <w:p>
      <w:pPr>
        <w:spacing w:before="0" w:after="140" w:line="300" w:lineRule="auto"/>
        <w:jc w:val="both"/>
      </w:pPr>
      <w:r>
        <w:rPr>
          <w:rFonts w:ascii="Barlow" w:hAnsi="Barlow" w:cs="Barlow" w:eastAsia="Barlow"/>
          <w:color w:val="0F2440"/>
          <w:sz w:val="20"/>
          <w:szCs w:val="20"/>
        </w:rPr>
        <w:t xml:space="preserve">O cruzamento do INS com a camada de Oferta e Cobertura, dele deliberadamente retirada, produz a análise de lacunas e identifica os territórios em que alta necessidade coincide com baixa capacidade instalada. Esse cruzamento, e não o índice isolado, é o produto de maior valor para a pactuação interfederativa, e é a razão pela qual a separação entre necessidade e oferta, longe de empobrecer o instrumento, o torna operacionalmente útil.</w:t>
      </w:r>
    </w:p>
    <w:p>
      <w:pPr>
        <w:pStyle w:val="Heading2"/>
        <w:keepNext/>
        <w:spacing w:before="340" w:after="120" w:line="264" w:lineRule="auto"/>
        <w:jc w:val="left"/>
      </w:pPr>
      <w:bookmarkStart w:id="53" w:name="_h42"/>
      <w:r>
        <w:rPr>
          <w:rFonts w:ascii="Barlow Condensed SemiBold" w:hAnsi="Barlow Condensed SemiBold" w:cs="Barlow Condensed SemiBold" w:eastAsia="Barlow Condensed SemiBold"/>
          <w:color w:val="007614"/>
          <w:sz w:val="30"/>
          <w:szCs w:val="30"/>
        </w:rPr>
        <w:t xml:space="preserve">7.4 Produtos e etapas</w:t>
      </w:r>
      <w:bookmarkEnd w:id="53"/>
    </w:p>
    <w:p>
      <w:pPr>
        <w:keepNext/>
        <w:spacing w:before="200" w:after="100" w:line="264" w:lineRule="auto"/>
        <w:jc w:val="left"/>
      </w:pPr>
      <w:bookmarkStart w:id="54" w:name="_q_10"/>
      <w:r>
        <w:rPr>
          <w:rFonts w:ascii="Barlow Condensed SemiBold" w:hAnsi="Barlow Condensed SemiBold" w:cs="Barlow Condensed SemiBold" w:eastAsia="Barlow Condensed SemiBold"/>
          <w:color w:val="007614"/>
          <w:sz w:val="21"/>
          <w:szCs w:val="21"/>
        </w:rPr>
        <w:t xml:space="preserve">Quadro 10 – </w:t>
      </w:r>
      <w:r>
        <w:rPr>
          <w:rFonts w:ascii="Barlow Condensed SemiBold" w:hAnsi="Barlow Condensed SemiBold" w:cs="Barlow Condensed SemiBold" w:eastAsia="Barlow Condensed SemiBold"/>
          <w:color w:val="01366F"/>
          <w:sz w:val="21"/>
          <w:szCs w:val="21"/>
        </w:rPr>
        <w:t xml:space="preserve">Produtos e etapas</w:t>
      </w:r>
      <w:bookmarkEnd w:id="54"/>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884"/>
        <w:gridCol w:w="3536"/>
        <w:gridCol w:w="4424"/>
      </w:tblGrid>
      <w:tr>
        <w:trPr>
          <w:tblHeader/>
          <w:cantSplit/>
        </w:trPr>
        <w:tc>
          <w:tcPr>
            <w:tcW w:w="88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Etapa</w:t>
            </w:r>
          </w:p>
        </w:tc>
        <w:tc>
          <w:tcPr>
            <w:tcW w:w="3536"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Atividade</w:t>
            </w:r>
          </w:p>
        </w:tc>
        <w:tc>
          <w:tcPr>
            <w:tcW w:w="442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Produto</w:t>
            </w:r>
          </w:p>
        </w:tc>
      </w:tr>
      <w:tr>
        <w:trPr>
          <w:cantSplit/>
        </w:trPr>
        <w:tc>
          <w:tcPr>
            <w:tcW w:w="88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1</w:t>
            </w:r>
          </w:p>
        </w:tc>
        <w:tc>
          <w:tcPr>
            <w:tcW w:w="353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Consolidação conceitual e pactuação da cesta</w:t>
            </w:r>
          </w:p>
        </w:tc>
        <w:tc>
          <w:tcPr>
            <w:tcW w:w="442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Documento metodológico aprovado; registro das deliberações</w:t>
            </w:r>
          </w:p>
        </w:tc>
      </w:tr>
      <w:tr>
        <w:trPr>
          <w:cantSplit/>
        </w:trPr>
        <w:tc>
          <w:tcPr>
            <w:tcW w:w="88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2</w:t>
            </w:r>
          </w:p>
        </w:tc>
        <w:tc>
          <w:tcPr>
            <w:tcW w:w="353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Extração, harmonização e encadeamento das bases</w:t>
            </w:r>
          </w:p>
        </w:tc>
        <w:tc>
          <w:tcPr>
            <w:tcW w:w="442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Base municipal consolidada; relatório de qualidade e cobertura por fonte</w:t>
            </w:r>
          </w:p>
        </w:tc>
      </w:tr>
      <w:tr>
        <w:trPr>
          <w:cantSplit/>
        </w:trPr>
        <w:tc>
          <w:tcPr>
            <w:tcW w:w="88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3</w:t>
            </w:r>
          </w:p>
        </w:tc>
        <w:tc>
          <w:tcPr>
            <w:tcW w:w="353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Cálculo, análise de incerteza e de sensibilidade</w:t>
            </w:r>
          </w:p>
        </w:tc>
        <w:tc>
          <w:tcPr>
            <w:tcW w:w="4424"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Escores, quantis ponderados e intervalos de posição por município</w:t>
            </w:r>
          </w:p>
        </w:tc>
      </w:tr>
      <w:tr>
        <w:trPr>
          <w:cantSplit/>
        </w:trPr>
        <w:tc>
          <w:tcPr>
            <w:tcW w:w="88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4</w:t>
            </w:r>
          </w:p>
        </w:tc>
        <w:tc>
          <w:tcPr>
            <w:tcW w:w="353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Validação interna, de critério e convergente</w:t>
            </w:r>
          </w:p>
        </w:tc>
        <w:tc>
          <w:tcPr>
            <w:tcW w:w="4424" w:type="dxa"/>
            <w:shd w:val="clear" w:color="auto" w:fill="E9F2EB"/>
            <w:vAlign w:val="top"/>
          </w:tcPr>
          <w:p>
            <w:pPr>
              <w:spacing w:before="0" w:after="0" w:line="252" w:lineRule="auto"/>
              <w:jc w:val="left"/>
            </w:pPr>
            <w:r>
              <w:rPr>
                <w:rFonts w:ascii="Barlow" w:hAnsi="Barlow" w:cs="Barlow" w:eastAsia="Barlow"/>
                <w:color w:val="0F2440"/>
                <w:sz w:val="17"/>
                <w:szCs w:val="17"/>
              </w:rPr>
              <w:t xml:space="preserve">Relatório de validação com razões de taxas, índices de desigualdade e fração atribuível</w:t>
            </w:r>
          </w:p>
        </w:tc>
      </w:tr>
      <w:tr>
        <w:trPr>
          <w:cantSplit/>
        </w:trPr>
        <w:tc>
          <w:tcPr>
            <w:tcW w:w="884" w:type="dxa"/>
            <w:shd w:val="clear" w:color="auto" w:fill="FFFFFF"/>
            <w:vAlign w:val="top"/>
          </w:tcPr>
          <w:p>
            <w:pPr>
              <w:keepNext/>
              <w:spacing w:before="0" w:after="0" w:line="252" w:lineRule="auto"/>
              <w:jc w:val="left"/>
            </w:pPr>
            <w:r>
              <w:rPr>
                <w:rFonts w:ascii="Barlow SemiBold" w:hAnsi="Barlow SemiBold" w:cs="Barlow SemiBold" w:eastAsia="Barlow SemiBold"/>
                <w:color w:val="01366F"/>
                <w:sz w:val="17"/>
                <w:szCs w:val="17"/>
              </w:rPr>
              <w:t xml:space="preserve">5</w:t>
            </w:r>
          </w:p>
        </w:tc>
        <w:tc>
          <w:tcPr>
            <w:tcW w:w="3536"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Publicação e documentação</w:t>
            </w:r>
          </w:p>
        </w:tc>
        <w:tc>
          <w:tcPr>
            <w:tcW w:w="4424"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Nota metodológica, dicionário de variáveis, base aberta e painel de visualização</w:t>
            </w:r>
          </w:p>
        </w:tc>
      </w:tr>
    </w:tbl>
    <w:p>
      <w:pPr>
        <w:spacing w:before="60" w:after="220" w:line="240" w:lineRule="auto"/>
        <w:jc w:val="left"/>
        <w:sectPr>
          <w:headerReference w:type="default" r:id="rId23"/>
          <w:headerReference w:type="even" r:id="rId15"/>
          <w:footerReference w:type="default" r:id="rId16"/>
          <w:footerReference w:type="even" r:id="rId17"/>
          <w:type w:val="nextPage"/>
          <w:pgSz w:w="11906" w:h="16838"/>
          <w:pgMar w:top="1474" w:right="1531" w:bottom="1814" w:left="1531" w:header="850" w:footer="330" w:gutter="0"/>
          <w:cols w:space="720"/>
          <w:docGrid w:linePitch="360"/>
        </w:sectPr>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w:t>
      </w:r>
    </w:p>
    <w:p>
      <w:pPr>
        <w:pStyle w:val="Heading1"/>
        <w:pBdr>
          <w:bottom w:val="single" w:sz="12" w:space="10" w:color="007614"/>
        </w:pBdr>
        <w:spacing w:before="120" w:after="380" w:line="600" w:lineRule="exact"/>
        <w:jc w:val="left"/>
      </w:pPr>
      <w:bookmarkStart w:id="55" w:name="_h43"/>
      <w:r>
        <w:rPr>
          <w:rFonts w:ascii="Barlow Condensed" w:hAnsi="Barlow Condensed" w:cs="Barlow Condensed" w:eastAsia="Barlow Condensed"/>
          <w:b/>
          <w:bCs/>
          <w:color w:val="007614"/>
          <w:sz w:val="52"/>
          <w:szCs w:val="52"/>
        </w:rPr>
        <w:t xml:space="preserve">8 </w:t>
      </w:r>
      <w:r>
        <w:rPr>
          <w:rFonts w:ascii="Barlow Condensed" w:hAnsi="Barlow Condensed" w:cs="Barlow Condensed" w:eastAsia="Barlow Condensed"/>
          <w:b/>
          <w:bCs/>
          <w:color w:val="01366F"/>
          <w:sz w:val="52"/>
          <w:szCs w:val="52"/>
        </w:rPr>
        <w:t xml:space="preserve">APLICAÇÃO AO DISTRITO FEDERAL: O INS-DF POR REGIÃO ADMINISTRATIVA</w:t>
      </w:r>
      <w:bookmarkEnd w:id="55"/>
    </w:p>
    <w:p>
      <w:pPr>
        <w:pStyle w:val="Heading2"/>
        <w:keepNext/>
        <w:spacing w:before="340" w:after="120" w:line="264" w:lineRule="auto"/>
        <w:jc w:val="left"/>
      </w:pPr>
      <w:bookmarkStart w:id="56" w:name="_h44"/>
      <w:r>
        <w:rPr>
          <w:rFonts w:ascii="Barlow Condensed SemiBold" w:hAnsi="Barlow Condensed SemiBold" w:cs="Barlow Condensed SemiBold" w:eastAsia="Barlow Condensed SemiBold"/>
          <w:color w:val="007614"/>
          <w:sz w:val="30"/>
          <w:szCs w:val="30"/>
        </w:rPr>
        <w:t xml:space="preserve">8.1 Viabilidade e pertinência do recorte</w:t>
      </w:r>
      <w:bookmarkEnd w:id="56"/>
    </w:p>
    <w:p>
      <w:pPr>
        <w:spacing w:before="0" w:after="140" w:line="300" w:lineRule="auto"/>
        <w:jc w:val="both"/>
      </w:pPr>
      <w:r>
        <w:rPr>
          <w:rFonts w:ascii="Barlow" w:hAnsi="Barlow" w:cs="Barlow" w:eastAsia="Barlow"/>
          <w:color w:val="0F2440"/>
          <w:sz w:val="20"/>
          <w:szCs w:val="20"/>
        </w:rPr>
        <w:t xml:space="preserve">A aplicação do arcabouço a um recorte intramunicipal é necessária, e o Distrito Federal é o caso em que essa necessidade é mais evidente. Do ponto de vista político-administrativo, o Distrito Federal é um ente único e recebe do INS-M um único valor, o que apaga a iniquidade que interessa medir. A distância entre o Lago Sul e a Estrutural não aparece em nenhuma estatística municipal, porque não há municípios envolvidos. Um índice de necessidade que não desça à Região Administrativa é, no Distrito Federal, um índice cego.</w:t>
      </w:r>
    </w:p>
    <w:p>
      <w:pPr>
        <w:spacing w:before="0" w:after="140" w:line="300" w:lineRule="auto"/>
        <w:jc w:val="both"/>
      </w:pPr>
      <w:r>
        <w:rPr>
          <w:rFonts w:ascii="Barlow" w:hAnsi="Barlow" w:cs="Barlow" w:eastAsia="Barlow"/>
          <w:color w:val="0F2440"/>
          <w:sz w:val="20"/>
          <w:szCs w:val="20"/>
        </w:rPr>
        <w:t xml:space="preserve">O recorte é o das 35 Regiões Administrativas vigentes, e a fonte primária é a Pesquisa Distrital por Amostra de Domicílios (PDAD), conduzida pelo Instituto de Pesquisa e Estatística do Distrito Federal (IPEDF), complementada pelo Censo Demográfico 2022 por setor censitário, pelo Cadastro Único e por registros administrativos setoriais. A arquitetura conceitual permanece inalterada: quatro dimensões, onze indicadores, exclusão de desfechos de saúde e de indicadores de oferta, ponderação igual, soma de escores z padronizados e transformação final à escala de 0 a 1. Adaptam-se as fontes, o tratamento da incerteza e o universo de padronização.</w:t>
      </w:r>
    </w:p>
    <w:p>
      <w:pPr>
        <w:spacing w:before="0" w:after="140" w:line="300" w:lineRule="auto"/>
        <w:jc w:val="both"/>
      </w:pPr>
      <w:r>
        <w:rPr>
          <w:rFonts w:ascii="Barlow" w:hAnsi="Barlow" w:cs="Barlow" w:eastAsia="Barlow"/>
          <w:color w:val="0F2440"/>
          <w:sz w:val="20"/>
          <w:szCs w:val="20"/>
        </w:rPr>
        <w:t xml:space="preserve">Edições sucessivas da PDAD cobriram números distintos de Regiões Administrativas, em razão da criação de novas unidades, e a delimitação de algumas foi alterada. A compatibilização entre a malha vigente, a malha de setores censitários de 2022 e a base amostral da edição da PDAD utilizada é etapa preliminar obrigatória, documentada com o rigor exigido na seção 5.1.</w:t>
      </w:r>
    </w:p>
    <w:p>
      <w:pPr>
        <w:pStyle w:val="Heading2"/>
        <w:keepNext/>
        <w:spacing w:before="340" w:after="120" w:line="264" w:lineRule="auto"/>
        <w:jc w:val="left"/>
      </w:pPr>
      <w:bookmarkStart w:id="57" w:name="_h45"/>
      <w:r>
        <w:rPr>
          <w:rFonts w:ascii="Barlow Condensed SemiBold" w:hAnsi="Barlow Condensed SemiBold" w:cs="Barlow Condensed SemiBold" w:eastAsia="Barlow Condensed SemiBold"/>
          <w:color w:val="007614"/>
          <w:sz w:val="30"/>
          <w:szCs w:val="30"/>
        </w:rPr>
        <w:t xml:space="preserve">8.2 A PDAD como fonte: vantagens e restrições</w:t>
      </w:r>
      <w:bookmarkEnd w:id="57"/>
    </w:p>
    <w:p>
      <w:pPr>
        <w:spacing w:before="0" w:after="140" w:line="300" w:lineRule="auto"/>
        <w:jc w:val="both"/>
      </w:pPr>
      <w:r>
        <w:rPr>
          <w:rFonts w:ascii="Barlow" w:hAnsi="Barlow" w:cs="Barlow" w:eastAsia="Barlow"/>
          <w:color w:val="0F2440"/>
          <w:sz w:val="20"/>
          <w:szCs w:val="20"/>
        </w:rPr>
        <w:t xml:space="preserve">Para os fins deste índice, a PDAD é fonte superior ao Censo em três aspectos. Tem periodicidade bem inferior à decenal (edições de 2018, 2021 e 2024, esta última na versão ampliada), o que atende parcialmente ao requisito de responsividade. Coleta por residência, e não por estabelecimento, o que resolve para o Distrito Federal um problema que no recorte municipal só se podia manejar por aproximação. E investiga diretamente variáveis que no INS-M exigem construção indireta, como a posse de plano de saúde e o tempo habitual de deslocamento.</w:t>
      </w:r>
    </w:p>
    <w:p>
      <w:pPr>
        <w:spacing w:before="0" w:after="140" w:line="300" w:lineRule="auto"/>
        <w:jc w:val="both"/>
      </w:pPr>
      <w:r>
        <w:rPr>
          <w:rFonts w:ascii="Barlow" w:hAnsi="Barlow" w:cs="Barlow" w:eastAsia="Barlow"/>
          <w:color w:val="0F2440"/>
          <w:sz w:val="20"/>
          <w:szCs w:val="20"/>
        </w:rPr>
        <w:t xml:space="preserve">A restrição é de outra natureza e não pode ser contornada: a PDAD é inquérito por amostragem complexa, com estratificação e conglomeração. Os estimadores devem incorporar os pesos amostrais, os estratos e as unidades primárias de amostragem, sob pena de subestimação da variância. Toda estimativa por Região Administrativa deve vir acompanhada de intervalo de confiança e de coeficiente de variação. Indicadores cujo coeficiente de variação exceda o limite de precisão aceitável são reportados como estimativa de baixa precisão ou substituídos pela fonte censitária, com registro da substituição.</w:t>
      </w:r>
    </w:p>
    <w:p>
      <w:pPr>
        <w:spacing w:before="0" w:after="140" w:line="300" w:lineRule="auto"/>
        <w:jc w:val="both"/>
      </w:pPr>
      <w:r>
        <w:rPr>
          <w:rFonts w:ascii="Barlow" w:hAnsi="Barlow" w:cs="Barlow" w:eastAsia="Barlow"/>
          <w:color w:val="0F2440"/>
          <w:sz w:val="20"/>
          <w:szCs w:val="20"/>
        </w:rPr>
        <w:t xml:space="preserve">A consequência prática é que, no INS-DF, o intervalo de incerteza deixa de ser refinamento e passa a ser parte constitutiva do resultado. Duas Regiões Administrativas cujos intervalos se sobreponham amplamente não estão ordenadas pelo índice. Rankings de Regiões Administrativas apresentados sem intervalo são, neste recorte, ficção de precisão.</w:t>
      </w:r>
    </w:p>
    <w:p>
      <w:pPr>
        <w:pStyle w:val="Heading2"/>
        <w:keepNext/>
        <w:spacing w:before="340" w:after="120" w:line="264" w:lineRule="auto"/>
        <w:jc w:val="left"/>
      </w:pPr>
      <w:bookmarkStart w:id="58" w:name="_h46"/>
      <w:r>
        <w:rPr>
          <w:rFonts w:ascii="Barlow Condensed SemiBold" w:hAnsi="Barlow Condensed SemiBold" w:cs="Barlow Condensed SemiBold" w:eastAsia="Barlow Condensed SemiBold"/>
          <w:color w:val="007614"/>
          <w:sz w:val="30"/>
          <w:szCs w:val="30"/>
        </w:rPr>
        <w:t xml:space="preserve">8.3 Adaptação da cesta</w:t>
      </w:r>
      <w:bookmarkEnd w:id="58"/>
    </w:p>
    <w:p>
      <w:pPr>
        <w:spacing w:before="0" w:after="140" w:line="300" w:lineRule="auto"/>
        <w:jc w:val="both"/>
      </w:pPr>
      <w:r>
        <w:rPr>
          <w:rFonts w:ascii="Barlow" w:hAnsi="Barlow" w:cs="Barlow" w:eastAsia="Barlow"/>
          <w:color w:val="0F2440"/>
          <w:sz w:val="20"/>
          <w:szCs w:val="20"/>
        </w:rPr>
        <w:t xml:space="preserve">A estrutura da cesta não muda, mas nem todos os indicadores mantêm o mesmo conceito. Sete mantêm conceito e fonte equivalentes (A1, A2, A3, B3, C1, C2 e C3). B1 mantém o conceito, mas muda de base: passa da escola para a residência do estudante. D2 é ampliado com a categoria de parcelamentos informais. B2 muda de conceito: de abandono durante o ano letivo para jovens de 15 a 17 anos fora da escola sem ensino médio concluído. D1 exige substituição conceitual, por razão estrutural: mede, no INS-M, o tempo até a sede do município-polo da região imediata, noção que não tem sentido dentro de um único município. A substituição é o tempo mediano de deslocamento habitual para trabalho ou estudo, coletado pela PDAD. Em uma cidade polinuclear cuja desigualdade se organiza em torno do custo de acesso ao centro, essa é medida mais direta de fricção territorial do que a que se pôde empregar no recorte municipal.</w:t>
      </w:r>
    </w:p>
    <w:p>
      <w:pPr>
        <w:keepNext/>
        <w:spacing w:before="200" w:after="100" w:line="264" w:lineRule="auto"/>
        <w:jc w:val="left"/>
      </w:pPr>
      <w:bookmarkStart w:id="59" w:name="_q_11"/>
      <w:r>
        <w:rPr>
          <w:rFonts w:ascii="Barlow Condensed SemiBold" w:hAnsi="Barlow Condensed SemiBold" w:cs="Barlow Condensed SemiBold" w:eastAsia="Barlow Condensed SemiBold"/>
          <w:color w:val="007614"/>
          <w:sz w:val="21"/>
          <w:szCs w:val="21"/>
        </w:rPr>
        <w:t xml:space="preserve">Quadro 11 – </w:t>
      </w:r>
      <w:r>
        <w:rPr>
          <w:rFonts w:ascii="Barlow Condensed SemiBold" w:hAnsi="Barlow Condensed SemiBold" w:cs="Barlow Condensed SemiBold" w:eastAsia="Barlow Condensed SemiBold"/>
          <w:color w:val="01366F"/>
          <w:sz w:val="21"/>
          <w:szCs w:val="21"/>
        </w:rPr>
        <w:t xml:space="preserve">Adaptação da cesta ao Distrito Federal</w:t>
      </w:r>
      <w:bookmarkEnd w:id="59"/>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619"/>
        <w:gridCol w:w="2917"/>
        <w:gridCol w:w="5308"/>
      </w:tblGrid>
      <w:tr>
        <w:trPr>
          <w:tblHeader/>
          <w:cantSplit/>
        </w:trPr>
        <w:tc>
          <w:tcPr>
            <w:tcW w:w="619"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Cód.</w:t>
            </w:r>
          </w:p>
        </w:tc>
        <w:tc>
          <w:tcPr>
            <w:tcW w:w="2917"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Indicador do INS-M</w:t>
            </w:r>
          </w:p>
        </w:tc>
        <w:tc>
          <w:tcPr>
            <w:tcW w:w="5308"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Fonte e adaptação no Distrito Federal</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A1</w:t>
            </w:r>
          </w:p>
        </w:tc>
        <w:tc>
          <w:tcPr>
            <w:tcW w:w="291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Baixa renda (≤ ½ salário-mínimo real)</w:t>
            </w:r>
          </w:p>
        </w:tc>
        <w:tc>
          <w:tcPr>
            <w:tcW w:w="530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PDAD para o nível; Cadastro Único por Região Administrativa para a variação</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A2</w:t>
            </w:r>
          </w:p>
        </w:tc>
        <w:tc>
          <w:tcPr>
            <w:tcW w:w="2917" w:type="dxa"/>
            <w:shd w:val="clear" w:color="auto" w:fill="E9F2EB"/>
            <w:vAlign w:val="top"/>
          </w:tcPr>
          <w:p>
            <w:pPr>
              <w:spacing w:before="0" w:after="0" w:line="252" w:lineRule="auto"/>
              <w:jc w:val="left"/>
            </w:pPr>
            <w:r>
              <w:rPr>
                <w:rFonts w:ascii="Barlow" w:hAnsi="Barlow" w:cs="Barlow" w:eastAsia="Barlow"/>
                <w:color w:val="0F2440"/>
                <w:sz w:val="17"/>
                <w:szCs w:val="17"/>
              </w:rPr>
              <w:t xml:space="preserve">Saneamento inadequado</w:t>
            </w:r>
          </w:p>
        </w:tc>
        <w:tc>
          <w:tcPr>
            <w:tcW w:w="530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PDAD e Censo 2022 por setor; advertência de saturação (abaixo)</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A3</w:t>
            </w:r>
          </w:p>
        </w:tc>
        <w:tc>
          <w:tcPr>
            <w:tcW w:w="291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Adensamento excessivo</w:t>
            </w:r>
          </w:p>
        </w:tc>
        <w:tc>
          <w:tcPr>
            <w:tcW w:w="530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PDAD para o nível; Cadastro Único por Região Administrativa para a variação</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B1</w:t>
            </w:r>
          </w:p>
        </w:tc>
        <w:tc>
          <w:tcPr>
            <w:tcW w:w="2917" w:type="dxa"/>
            <w:shd w:val="clear" w:color="auto" w:fill="E9F2EB"/>
            <w:vAlign w:val="top"/>
          </w:tcPr>
          <w:p>
            <w:pPr>
              <w:spacing w:before="0" w:after="0" w:line="252" w:lineRule="auto"/>
              <w:jc w:val="left"/>
            </w:pPr>
            <w:r>
              <w:rPr>
                <w:rFonts w:ascii="Barlow" w:hAnsi="Barlow" w:cs="Barlow" w:eastAsia="Barlow"/>
                <w:color w:val="0F2440"/>
                <w:sz w:val="17"/>
                <w:szCs w:val="17"/>
              </w:rPr>
              <w:t xml:space="preserve">Distorção idade-série</w:t>
            </w:r>
          </w:p>
        </w:tc>
        <w:tc>
          <w:tcPr>
            <w:tcW w:w="530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PDAD, por residência do estudante, em substituição ao Censo Escolar</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B2</w:t>
            </w:r>
          </w:p>
        </w:tc>
        <w:tc>
          <w:tcPr>
            <w:tcW w:w="291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Abandono escolar</w:t>
            </w:r>
          </w:p>
        </w:tc>
        <w:tc>
          <w:tcPr>
            <w:tcW w:w="530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PDAD: pessoas de 15 a 17 anos fora da escola sem ensino médio concluído, por residência</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B3</w:t>
            </w:r>
          </w:p>
        </w:tc>
        <w:tc>
          <w:tcPr>
            <w:tcW w:w="2917" w:type="dxa"/>
            <w:shd w:val="clear" w:color="auto" w:fill="E9F2EB"/>
            <w:vAlign w:val="top"/>
          </w:tcPr>
          <w:p>
            <w:pPr>
              <w:spacing w:before="0" w:after="0" w:line="252" w:lineRule="auto"/>
              <w:jc w:val="left"/>
            </w:pPr>
            <w:r>
              <w:rPr>
                <w:rFonts w:ascii="Barlow" w:hAnsi="Barlow" w:cs="Barlow" w:eastAsia="Barlow"/>
                <w:color w:val="0F2440"/>
                <w:sz w:val="17"/>
                <w:szCs w:val="17"/>
              </w:rPr>
              <w:t xml:space="preserve">25 anos ou mais sem ensino fundamental</w:t>
            </w:r>
          </w:p>
        </w:tc>
        <w:tc>
          <w:tcPr>
            <w:tcW w:w="530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PDAD</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C1</w:t>
            </w:r>
          </w:p>
        </w:tc>
        <w:tc>
          <w:tcPr>
            <w:tcW w:w="291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0 a 4 anos</w:t>
            </w:r>
          </w:p>
        </w:tc>
        <w:tc>
          <w:tcPr>
            <w:tcW w:w="530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PDAD e projeções populacionais do IPEDF por Região Administrativa</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C2</w:t>
            </w:r>
          </w:p>
        </w:tc>
        <w:tc>
          <w:tcPr>
            <w:tcW w:w="2917" w:type="dxa"/>
            <w:shd w:val="clear" w:color="auto" w:fill="E9F2EB"/>
            <w:vAlign w:val="top"/>
          </w:tcPr>
          <w:p>
            <w:pPr>
              <w:spacing w:before="0" w:after="0" w:line="252" w:lineRule="auto"/>
              <w:jc w:val="left"/>
            </w:pPr>
            <w:r>
              <w:rPr>
                <w:rFonts w:ascii="Barlow" w:hAnsi="Barlow" w:cs="Barlow" w:eastAsia="Barlow"/>
                <w:color w:val="0F2440"/>
                <w:sz w:val="17"/>
                <w:szCs w:val="17"/>
              </w:rPr>
              <w:t xml:space="preserve">75 anos ou mais</w:t>
            </w:r>
          </w:p>
        </w:tc>
        <w:tc>
          <w:tcPr>
            <w:tcW w:w="530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PDAD e projeções populacionais do IPEDF</w:t>
            </w:r>
          </w:p>
        </w:tc>
      </w:tr>
      <w:tr>
        <w:trPr>
          <w:cantSplit/>
        </w:trPr>
        <w:tc>
          <w:tcPr>
            <w:tcW w:w="619"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C3</w:t>
            </w:r>
          </w:p>
        </w:tc>
        <w:tc>
          <w:tcPr>
            <w:tcW w:w="2917" w:type="dxa"/>
            <w:shd w:val="clear" w:color="auto" w:fill="FFFFFF"/>
            <w:vAlign w:val="top"/>
          </w:tcPr>
          <w:p>
            <w:pPr>
              <w:spacing w:before="0" w:after="0" w:line="252" w:lineRule="auto"/>
              <w:jc w:val="left"/>
            </w:pPr>
            <w:r>
              <w:rPr>
                <w:rFonts w:ascii="Barlow" w:hAnsi="Barlow" w:cs="Barlow" w:eastAsia="Barlow"/>
                <w:color w:val="0F2440"/>
                <w:sz w:val="17"/>
                <w:szCs w:val="17"/>
              </w:rPr>
              <w:t xml:space="preserve">Sem plano privado</w:t>
            </w:r>
          </w:p>
        </w:tc>
        <w:tc>
          <w:tcPr>
            <w:tcW w:w="530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PDAD, que investiga a posse diretamente</w:t>
            </w:r>
          </w:p>
        </w:tc>
      </w:tr>
      <w:tr>
        <w:trPr>
          <w:cantSplit/>
        </w:trPr>
        <w:tc>
          <w:tcPr>
            <w:tcW w:w="619"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D1</w:t>
            </w:r>
          </w:p>
        </w:tc>
        <w:tc>
          <w:tcPr>
            <w:tcW w:w="2917" w:type="dxa"/>
            <w:shd w:val="clear" w:color="auto" w:fill="E9F2EB"/>
            <w:vAlign w:val="top"/>
          </w:tcPr>
          <w:p>
            <w:pPr>
              <w:spacing w:before="0" w:after="0" w:line="252" w:lineRule="auto"/>
              <w:jc w:val="left"/>
            </w:pPr>
            <w:r>
              <w:rPr>
                <w:rFonts w:ascii="Barlow" w:hAnsi="Barlow" w:cs="Barlow" w:eastAsia="Barlow"/>
                <w:color w:val="0F2440"/>
                <w:sz w:val="17"/>
                <w:szCs w:val="17"/>
              </w:rPr>
              <w:t xml:space="preserve">Fricção territorial</w:t>
            </w:r>
          </w:p>
        </w:tc>
        <w:tc>
          <w:tcPr>
            <w:tcW w:w="530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Substituído: tempo mediano de deslocamento habitual para trabalho ou estudo (PDAD)</w:t>
            </w:r>
          </w:p>
        </w:tc>
      </w:tr>
      <w:tr>
        <w:trPr>
          <w:cantSplit/>
        </w:trPr>
        <w:tc>
          <w:tcPr>
            <w:tcW w:w="619" w:type="dxa"/>
            <w:shd w:val="clear" w:color="auto" w:fill="FFFFFF"/>
            <w:vAlign w:val="top"/>
          </w:tcPr>
          <w:p>
            <w:pPr>
              <w:keepNext/>
              <w:spacing w:before="0" w:after="0" w:line="252" w:lineRule="auto"/>
              <w:jc w:val="left"/>
            </w:pPr>
            <w:r>
              <w:rPr>
                <w:rFonts w:ascii="Barlow SemiBold" w:hAnsi="Barlow SemiBold" w:cs="Barlow SemiBold" w:eastAsia="Barlow SemiBold"/>
                <w:color w:val="01366F"/>
                <w:sz w:val="17"/>
                <w:szCs w:val="17"/>
              </w:rPr>
              <w:t xml:space="preserve">D2</w:t>
            </w:r>
          </w:p>
        </w:tc>
        <w:tc>
          <w:tcPr>
            <w:tcW w:w="2917"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Situação territorial precária</w:t>
            </w:r>
          </w:p>
        </w:tc>
        <w:tc>
          <w:tcPr>
            <w:tcW w:w="5308"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PDAD e Censo 2022, acrescida a categoria de parcelamentos informais, decisiva no Distrito Federal</w:t>
            </w:r>
          </w:p>
        </w:tc>
      </w:tr>
    </w:tbl>
    <w:p>
      <w:pPr>
        <w:spacing w:before="60" w:after="220" w:line="240" w:lineRule="auto"/>
        <w:jc w:val="left"/>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w:t>
      </w:r>
    </w:p>
    <w:p>
      <w:pPr>
        <w:spacing w:before="0" w:after="140" w:line="300" w:lineRule="auto"/>
        <w:jc w:val="both"/>
      </w:pPr>
      <w:r>
        <w:rPr>
          <w:rFonts w:ascii="Barlow" w:hAnsi="Barlow" w:cs="Barlow" w:eastAsia="Barlow"/>
          <w:color w:val="0F2440"/>
          <w:sz w:val="20"/>
          <w:szCs w:val="20"/>
        </w:rPr>
        <w:t xml:space="preserve">Duas adaptações merecem justificação expressa. A primeira é a dos indicadores educacionais: no Distrito Federal, o fluxo de estudantes entre Regiões Administrativas é intenso, e a atribuição pela escola seria inaceitável. A construção a partir da PDAD preserva o conceito e corrige a atribuição territorial. A segunda é uma advertência sobre A2: a cobertura de água e esgoto no Distrito Federal está entre as mais altas do país, e no universo das Regiões Administrativas o indicador tende a ter variância muito baixa, concentrando o sinal em áreas rurais, parcelamentos informais e ocupações. Isso não é razão para excluí-lo, e sim para reportar seu coeficiente de variação e para não interpretar a ausência de variância como igualdade.</w:t>
      </w:r>
    </w:p>
    <w:p>
      <w:pPr>
        <w:spacing w:before="0" w:after="140" w:line="300" w:lineRule="auto"/>
        <w:jc w:val="both"/>
      </w:pPr>
      <w:r>
        <w:rPr>
          <w:rFonts w:ascii="Barlow SemiBold" w:hAnsi="Barlow SemiBold" w:cs="Barlow SemiBold" w:eastAsia="Barlow SemiBold"/>
          <w:color w:val="01366F"/>
          <w:sz w:val="20"/>
          <w:szCs w:val="20"/>
        </w:rPr>
        <w:t xml:space="preserve">INS-DF Dinâmico.</w:t>
      </w:r>
      <w:r>
        <w:rPr>
          <w:rFonts w:ascii="Barlow" w:hAnsi="Barlow" w:cs="Barlow" w:eastAsia="Barlow"/>
          <w:color w:val="0F2440"/>
          <w:sz w:val="20"/>
          <w:szCs w:val="20"/>
        </w:rPr>
        <w:t xml:space="preserve"> Entre edições da PDAD, só cinco indicadores têm fonte anual por Região Administrativa: A1 e A3 (Cadastro Único georreferenciado), C1 e C2 (projeções do IPEDF) e, onde houver reporte por Região Administrativa da concessionária, A2. O INS-DF integral é, portanto, atualizado a cada edição da PDAD, e o INS-DF Dinâmico, anualmente, com esse subconjunto e com a advertência de que é um construto mais restrito.</w:t>
      </w:r>
    </w:p>
    <w:p>
      <w:pPr>
        <w:pStyle w:val="Heading2"/>
        <w:keepNext/>
        <w:spacing w:before="340" w:after="120" w:line="264" w:lineRule="auto"/>
        <w:jc w:val="left"/>
      </w:pPr>
      <w:bookmarkStart w:id="60" w:name="_h47"/>
      <w:r>
        <w:rPr>
          <w:rFonts w:ascii="Barlow Condensed SemiBold" w:hAnsi="Barlow Condensed SemiBold" w:cs="Barlow Condensed SemiBold" w:eastAsia="Barlow Condensed SemiBold"/>
          <w:color w:val="007614"/>
          <w:sz w:val="30"/>
          <w:szCs w:val="30"/>
        </w:rPr>
        <w:t xml:space="preserve">8.4 Universo de padronização: as duas leituras</w:t>
      </w:r>
      <w:bookmarkEnd w:id="60"/>
    </w:p>
    <w:p>
      <w:pPr>
        <w:spacing w:before="0" w:after="140" w:line="300" w:lineRule="auto"/>
        <w:jc w:val="both"/>
      </w:pPr>
      <w:r>
        <w:rPr>
          <w:rFonts w:ascii="Barlow" w:hAnsi="Barlow" w:cs="Barlow" w:eastAsia="Barlow"/>
          <w:color w:val="0F2440"/>
          <w:sz w:val="20"/>
          <w:szCs w:val="20"/>
        </w:rPr>
        <w:t xml:space="preserve">A decisão mais consequente do INS-DF é a do universo sobre o qual se calculam a média e o desvio-padrão da padronização. Há duas opções, ambas legítimas, que respondem a perguntas diferentes e não podem ser confundidas.</w:t>
      </w:r>
    </w:p>
    <w:p>
      <w:pPr>
        <w:spacing w:before="0" w:after="140" w:line="300" w:lineRule="auto"/>
        <w:jc w:val="both"/>
      </w:pPr>
      <w:r>
        <w:rPr>
          <w:rFonts w:ascii="Barlow" w:hAnsi="Barlow" w:cs="Barlow" w:eastAsia="Barlow"/>
          <w:color w:val="0F2440"/>
          <w:sz w:val="20"/>
          <w:szCs w:val="20"/>
        </w:rPr>
        <w:t xml:space="preserve">Na </w:t>
      </w:r>
      <w:r>
        <w:rPr>
          <w:rFonts w:ascii="Barlow SemiBold" w:hAnsi="Barlow SemiBold" w:cs="Barlow SemiBold" w:eastAsia="Barlow SemiBold"/>
          <w:color w:val="01366F"/>
          <w:sz w:val="20"/>
          <w:szCs w:val="20"/>
        </w:rPr>
        <w:t xml:space="preserve">leitura nacional</w:t>
      </w:r>
      <w:r>
        <w:rPr>
          <w:rFonts w:ascii="Barlow" w:hAnsi="Barlow" w:cs="Barlow" w:eastAsia="Barlow"/>
          <w:color w:val="0F2440"/>
          <w:sz w:val="20"/>
          <w:szCs w:val="20"/>
        </w:rPr>
        <w:t xml:space="preserve">, μ e σ são os do INS-M, e cada Região Administrativa recebe valor comparável ao dos 5.570 municípios. A vantagem é a comparabilidade externa: torna-se possível afirmar que determinado território do Distrito Federal tem necessidade equivalente à de um dado percentil dos municípios brasileiros. A desvantagem é a compressão: como a média distrital é favorável em relação à nacional, a maior parte das Regiões Administrativas se concentrará na metade inferior da escala.</w:t>
      </w:r>
    </w:p>
    <w:p>
      <w:pPr>
        <w:spacing w:before="0" w:after="140" w:line="300" w:lineRule="auto"/>
        <w:jc w:val="both"/>
      </w:pPr>
      <w:r>
        <w:rPr>
          <w:rFonts w:ascii="Barlow" w:hAnsi="Barlow" w:cs="Barlow" w:eastAsia="Barlow"/>
          <w:color w:val="0F2440"/>
          <w:sz w:val="20"/>
          <w:szCs w:val="20"/>
        </w:rPr>
        <w:t xml:space="preserve">Na </w:t>
      </w:r>
      <w:r>
        <w:rPr>
          <w:rFonts w:ascii="Barlow SemiBold" w:hAnsi="Barlow SemiBold" w:cs="Barlow SemiBold" w:eastAsia="Barlow SemiBold"/>
          <w:color w:val="01366F"/>
          <w:sz w:val="20"/>
          <w:szCs w:val="20"/>
        </w:rPr>
        <w:t xml:space="preserve">leitura distrital</w:t>
      </w:r>
      <w:r>
        <w:rPr>
          <w:rFonts w:ascii="Barlow" w:hAnsi="Barlow" w:cs="Barlow" w:eastAsia="Barlow"/>
          <w:color w:val="0F2440"/>
          <w:sz w:val="20"/>
          <w:szCs w:val="20"/>
        </w:rPr>
        <w:t xml:space="preserve">, μ e σ são calculados sobre as Regiões Administrativas. A vantagem é a discriminação interna máxima, que é o que o gestor distrital precisa para alocar. A desvantagem é que o valor perde sentido fora do Distrito Federal.</w:t>
      </w:r>
    </w:p>
    <w:p>
      <w:pPr>
        <w:spacing w:before="0" w:after="140" w:line="300" w:lineRule="auto"/>
        <w:jc w:val="both"/>
      </w:pPr>
      <w:r>
        <w:rPr>
          <w:rFonts w:ascii="Barlow" w:hAnsi="Barlow" w:cs="Barlow" w:eastAsia="Barlow"/>
          <w:color w:val="0F2440"/>
          <w:sz w:val="20"/>
          <w:szCs w:val="20"/>
        </w:rPr>
        <w:t xml:space="preserve">A leitura nacional só é válida para os indicadores com conceito idêntico ao do INS-M (A1, A2, A3, B3, C1, C2 e C3); por isso, o INS-DF de base nacional é calculado apenas com esse subconjunto e rotulado como tal. Recomenda-se publicar as duas, lado a lado e nominalmente distintas, como INS-DF de base nacional e INS-DF de base distrital, com a advertência de que não devem ser comparadas entre si. A primeira serve à pactuação interfederativa e ao pleito de recursos; a segunda, à alocação interna e à priorização de territórios.</w:t>
      </w:r>
    </w:p>
    <w:p>
      <w:pPr>
        <w:pStyle w:val="Heading2"/>
        <w:keepNext/>
        <w:spacing w:before="340" w:after="120" w:line="264" w:lineRule="auto"/>
        <w:jc w:val="left"/>
      </w:pPr>
      <w:bookmarkStart w:id="61" w:name="_h48"/>
      <w:r>
        <w:rPr>
          <w:rFonts w:ascii="Barlow Condensed SemiBold" w:hAnsi="Barlow Condensed SemiBold" w:cs="Barlow Condensed SemiBold" w:eastAsia="Barlow Condensed SemiBold"/>
          <w:color w:val="007614"/>
          <w:sz w:val="30"/>
          <w:szCs w:val="30"/>
        </w:rPr>
        <w:t xml:space="preserve">8.5 Estrutura fatorial e a restrição do número de unidades</w:t>
      </w:r>
      <w:bookmarkEnd w:id="61"/>
    </w:p>
    <w:p>
      <w:pPr>
        <w:spacing w:before="0" w:after="140" w:line="300" w:lineRule="auto"/>
        <w:jc w:val="both"/>
      </w:pPr>
      <w:r>
        <w:rPr>
          <w:rFonts w:ascii="Barlow" w:hAnsi="Barlow" w:cs="Barlow" w:eastAsia="Barlow"/>
          <w:color w:val="0F2440"/>
          <w:sz w:val="20"/>
          <w:szCs w:val="20"/>
        </w:rPr>
        <w:t xml:space="preserve">Com 35 unidades, a validação da estrutura interna da seção 6.1 não é executável nos termos ali descritos. As regras correntes exigem de cinco a dez observações por variável, o que, com onze indicadores, demandaria entre 55 e 110 unidades. Medidas de adequação amostral sobre esse número de observações são instáveis, e cargas fatoriais assim obtidas não se replicam. Reportá-las como achado seria erro metodológico.</w:t>
      </w:r>
    </w:p>
    <w:p>
      <w:pPr>
        <w:spacing w:before="0" w:after="140" w:line="300" w:lineRule="auto"/>
        <w:jc w:val="both"/>
      </w:pPr>
      <w:r>
        <w:rPr>
          <w:rFonts w:ascii="Barlow" w:hAnsi="Barlow" w:cs="Barlow" w:eastAsia="Barlow"/>
          <w:color w:val="0F2440"/>
          <w:sz w:val="20"/>
          <w:szCs w:val="20"/>
        </w:rPr>
        <w:t xml:space="preserve">A solução é estimar a estrutura no nível do setor censitário do Censo 2022, com os indicadores que o Censo permite calcular nessa escala, e aplicar as conclusões à agregação por Região Administrativa. A estrutura latente é estimada onde há graus de liberdade; o escore é reportado onde importa politicamente. Todos os intervalos são obtidos por reamostragem, e não por pressupostos assintóticos que esse número de observações não sustenta.</w:t>
      </w:r>
    </w:p>
    <w:p>
      <w:pPr>
        <w:pStyle w:val="Heading2"/>
        <w:keepNext/>
        <w:spacing w:before="340" w:after="120" w:line="264" w:lineRule="auto"/>
        <w:jc w:val="left"/>
      </w:pPr>
      <w:bookmarkStart w:id="62" w:name="_h49"/>
      <w:r>
        <w:rPr>
          <w:rFonts w:ascii="Barlow Condensed SemiBold" w:hAnsi="Barlow Condensed SemiBold" w:cs="Barlow Condensed SemiBold" w:eastAsia="Barlow Condensed SemiBold"/>
          <w:color w:val="007614"/>
          <w:sz w:val="30"/>
          <w:szCs w:val="30"/>
        </w:rPr>
        <w:t xml:space="preserve">8.6 Heterogeneidade interna e leitura do território</w:t>
      </w:r>
      <w:bookmarkEnd w:id="62"/>
    </w:p>
    <w:p>
      <w:pPr>
        <w:spacing w:before="0" w:after="140" w:line="300" w:lineRule="auto"/>
        <w:jc w:val="both"/>
      </w:pPr>
      <w:r>
        <w:rPr>
          <w:rFonts w:ascii="Barlow" w:hAnsi="Barlow" w:cs="Barlow" w:eastAsia="Barlow"/>
          <w:color w:val="0F2440"/>
          <w:sz w:val="20"/>
          <w:szCs w:val="20"/>
        </w:rPr>
        <w:t xml:space="preserve">Regiões Administrativas são unidades grandes e internamente heterogêneas: uma única Região pode conter condomínios de alta renda, núcleos rurais e ocupações informais de grande porte. Nesses casos, a média da Região pode não descrever território algum, e o índice, tomado isoladamente, oculta aquilo que foi construído para revelar.</w:t>
      </w:r>
    </w:p>
    <w:p>
      <w:pPr>
        <w:spacing w:before="0" w:after="140" w:line="300" w:lineRule="auto"/>
        <w:jc w:val="both"/>
      </w:pPr>
      <w:r>
        <w:rPr>
          <w:rFonts w:ascii="Barlow" w:hAnsi="Barlow" w:cs="Barlow" w:eastAsia="Barlow"/>
          <w:color w:val="0F2440"/>
          <w:sz w:val="20"/>
          <w:szCs w:val="20"/>
        </w:rPr>
        <w:t xml:space="preserve">Por isso, o INS-DF é sempre reportado junto com a leitura do interior de cada Região feita sobre o mapa da cartografia social, que mostra as áreas de risco, os pontos críticos e as famílias fora dos cadastros. O INS não é calculado por setor, porque B1, B2, C3 e D1 não têm dado nessa escala. Para a focalização de equipes de Saúde da Família e de instâncias de participação social, a leitura dentro da Região é feita pela cartografia social e pela vigilância integrada do Protocolo de Inteligência Territorial. O INS-DF indica quais Regiões; o mapa do território indica onde, dentro delas.</w:t>
      </w:r>
    </w:p>
    <w:p>
      <w:pPr>
        <w:spacing w:before="0" w:after="140" w:line="300" w:lineRule="auto"/>
        <w:jc w:val="both"/>
        <w:sectPr>
          <w:headerReference w:type="default" r:id="rId24"/>
          <w:headerReference w:type="even" r:id="rId15"/>
          <w:footerReference w:type="default" r:id="rId16"/>
          <w:footerReference w:type="even" r:id="rId17"/>
          <w:type w:val="nextPage"/>
          <w:pgSz w:w="11906" w:h="16838"/>
          <w:pgMar w:top="1474" w:right="1531" w:bottom="1814" w:left="1531" w:header="850" w:footer="330" w:gutter="0"/>
          <w:cols w:space="720"/>
          <w:docGrid w:linePitch="360"/>
        </w:sectPr>
      </w:pPr>
      <w:r>
        <w:rPr>
          <w:rFonts w:ascii="Barlow" w:hAnsi="Barlow" w:cs="Barlow" w:eastAsia="Barlow"/>
          <w:color w:val="0F2440"/>
          <w:sz w:val="20"/>
          <w:szCs w:val="20"/>
        </w:rPr>
        <w:t xml:space="preserve">Permanece vedado o uso do índice para decisões sobre indivíduos ou famílias. No recorte distrital, a vedação é ainda mais estrita, precisamente porque a heterogeneidade interna das unidades é maior.</w:t>
      </w:r>
    </w:p>
    <w:p>
      <w:pPr>
        <w:pStyle w:val="Heading1"/>
        <w:pBdr>
          <w:bottom w:val="single" w:sz="12" w:space="10" w:color="007614"/>
        </w:pBdr>
        <w:spacing w:before="120" w:after="380" w:line="600" w:lineRule="exact"/>
        <w:jc w:val="left"/>
      </w:pPr>
      <w:bookmarkStart w:id="63" w:name="_h50"/>
      <w:r>
        <w:rPr>
          <w:rFonts w:ascii="Barlow Condensed" w:hAnsi="Barlow Condensed" w:cs="Barlow Condensed" w:eastAsia="Barlow Condensed"/>
          <w:b/>
          <w:bCs/>
          <w:color w:val="007614"/>
          <w:sz w:val="52"/>
          <w:szCs w:val="52"/>
        </w:rPr>
        <w:t xml:space="preserve">9 </w:t>
      </w:r>
      <w:r>
        <w:rPr>
          <w:rFonts w:ascii="Barlow Condensed" w:hAnsi="Barlow Condensed" w:cs="Barlow Condensed" w:eastAsia="Barlow Condensed"/>
          <w:b/>
          <w:bCs/>
          <w:color w:val="01366F"/>
          <w:sz w:val="52"/>
          <w:szCs w:val="52"/>
        </w:rPr>
        <w:t xml:space="preserve">VERIFICAÇÕES PENDENTES ANTES DA PRIMEIRA APLICAÇÃO</w:t>
      </w:r>
      <w:bookmarkEnd w:id="63"/>
    </w:p>
    <w:p>
      <w:pPr>
        <w:keepNext/>
        <w:spacing w:before="200" w:after="100" w:line="264" w:lineRule="auto"/>
        <w:jc w:val="left"/>
      </w:pPr>
      <w:bookmarkStart w:id="64" w:name="_q_12"/>
      <w:r>
        <w:rPr>
          <w:rFonts w:ascii="Barlow Condensed SemiBold" w:hAnsi="Barlow Condensed SemiBold" w:cs="Barlow Condensed SemiBold" w:eastAsia="Barlow Condensed SemiBold"/>
          <w:color w:val="007614"/>
          <w:sz w:val="21"/>
          <w:szCs w:val="21"/>
        </w:rPr>
        <w:t xml:space="preserve">Quadro 12 – </w:t>
      </w:r>
      <w:r>
        <w:rPr>
          <w:rFonts w:ascii="Barlow Condensed SemiBold" w:hAnsi="Barlow Condensed SemiBold" w:cs="Barlow Condensed SemiBold" w:eastAsia="Barlow Condensed SemiBold"/>
          <w:color w:val="01366F"/>
          <w:sz w:val="21"/>
          <w:szCs w:val="21"/>
        </w:rPr>
        <w:t xml:space="preserve">Verificações pendentes</w:t>
      </w:r>
      <w:bookmarkEnd w:id="64"/>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3536"/>
        <w:gridCol w:w="3360"/>
        <w:gridCol w:w="1948"/>
      </w:tblGrid>
      <w:tr>
        <w:trPr>
          <w:tblHeader/>
          <w:cantSplit/>
        </w:trPr>
        <w:tc>
          <w:tcPr>
            <w:tcW w:w="3536"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Verificação</w:t>
            </w:r>
          </w:p>
        </w:tc>
        <w:tc>
          <w:tcPr>
            <w:tcW w:w="336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Por quê</w:t>
            </w:r>
          </w:p>
        </w:tc>
        <w:tc>
          <w:tcPr>
            <w:tcW w:w="1948"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Responsável</w:t>
            </w:r>
          </w:p>
        </w:tc>
      </w:tr>
      <w:tr>
        <w:trPr>
          <w:cantSplit/>
        </w:trPr>
        <w:tc>
          <w:tcPr>
            <w:tcW w:w="3536"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Acesso às faixas de renda per capita do Cadastro Único por município, para aplicar a linha real de A1</w:t>
            </w:r>
          </w:p>
        </w:tc>
        <w:tc>
          <w:tcPr>
            <w:tcW w:w="336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Sem esse acesso, A1 usa a faixa nominal e incorpora a âncora móvel do salário-mínimo</w:t>
            </w:r>
          </w:p>
        </w:tc>
        <w:tc>
          <w:tcPr>
            <w:tcW w:w="194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Coordenação do projeto, com o MDS</w:t>
            </w:r>
          </w:p>
        </w:tc>
      </w:tr>
      <w:tr>
        <w:trPr>
          <w:cantSplit/>
        </w:trPr>
        <w:tc>
          <w:tcPr>
            <w:tcW w:w="3536"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Disponibilidade, no Censo 2022, de moradores por dormitório por município e por setor</w:t>
            </w:r>
          </w:p>
        </w:tc>
        <w:tc>
          <w:tcPr>
            <w:tcW w:w="336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Nível de A3</w:t>
            </w:r>
          </w:p>
        </w:tc>
        <w:tc>
          <w:tcPr>
            <w:tcW w:w="194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Equipe técnica</w:t>
            </w:r>
          </w:p>
        </w:tc>
      </w:tr>
      <w:tr>
        <w:trPr>
          <w:cantSplit/>
        </w:trPr>
        <w:tc>
          <w:tcPr>
            <w:tcW w:w="3536"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Correspondência entre os índices de atendimento do SINISA e as categorias censitárias de água, esgoto e lixo</w:t>
            </w:r>
          </w:p>
        </w:tc>
        <w:tc>
          <w:tcPr>
            <w:tcW w:w="336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Encadeamento de A2</w:t>
            </w:r>
          </w:p>
        </w:tc>
        <w:tc>
          <w:tcPr>
            <w:tcW w:w="194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Equipe técnica</w:t>
            </w:r>
          </w:p>
        </w:tc>
      </w:tr>
      <w:tr>
        <w:trPr>
          <w:cantSplit/>
        </w:trPr>
        <w:tc>
          <w:tcPr>
            <w:tcW w:w="3536"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Edição vigente da malha de ligações rodoviárias e hidroviárias do IBGE e da divisão em Regiões Geográficas Imediatas</w:t>
            </w:r>
          </w:p>
        </w:tc>
        <w:tc>
          <w:tcPr>
            <w:tcW w:w="336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Cálculo de D1</w:t>
            </w:r>
          </w:p>
        </w:tc>
        <w:tc>
          <w:tcPr>
            <w:tcW w:w="194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Equipe técnica</w:t>
            </w:r>
          </w:p>
        </w:tc>
      </w:tr>
      <w:tr>
        <w:trPr>
          <w:cantSplit/>
        </w:trPr>
        <w:tc>
          <w:tcPr>
            <w:tcW w:w="3536"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Alocação dos beneficiários de planos por município de residência no SIB/ANS</w:t>
            </w:r>
          </w:p>
        </w:tc>
        <w:tc>
          <w:tcPr>
            <w:tcW w:w="336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Validade de C3</w:t>
            </w:r>
          </w:p>
        </w:tc>
        <w:tc>
          <w:tcPr>
            <w:tcW w:w="194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Equipe técnica</w:t>
            </w:r>
          </w:p>
        </w:tc>
      </w:tr>
      <w:tr>
        <w:trPr>
          <w:cantSplit/>
        </w:trPr>
        <w:tc>
          <w:tcPr>
            <w:tcW w:w="3536"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Método e edição das estimativas populacionais por idade do Ministério da Saúde</w:t>
            </w:r>
          </w:p>
        </w:tc>
        <w:tc>
          <w:tcPr>
            <w:tcW w:w="336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Fonte de C1 e C2</w:t>
            </w:r>
          </w:p>
        </w:tc>
        <w:tc>
          <w:tcPr>
            <w:tcW w:w="194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Equipe técnica</w:t>
            </w:r>
          </w:p>
        </w:tc>
      </w:tr>
      <w:tr>
        <w:trPr>
          <w:cantSplit/>
        </w:trPr>
        <w:tc>
          <w:tcPr>
            <w:tcW w:w="3536"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Ponte entre o SNIS (ano-base 2022) e o SINISA e disponibilidade do indicador de esgotamento com soluções individuais</w:t>
            </w:r>
          </w:p>
        </w:tc>
        <w:tc>
          <w:tcPr>
            <w:tcW w:w="336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Encadeamento de A2</w:t>
            </w:r>
          </w:p>
        </w:tc>
        <w:tc>
          <w:tcPr>
            <w:tcW w:w="194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Equipe técnica</w:t>
            </w:r>
          </w:p>
        </w:tc>
      </w:tr>
      <w:tr>
        <w:trPr>
          <w:cantSplit/>
        </w:trPr>
        <w:tc>
          <w:tcPr>
            <w:tcW w:w="3536"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Microdados da PDAD 2024 com desenho amostral (estratos e unidades primárias)</w:t>
            </w:r>
          </w:p>
        </w:tc>
        <w:tc>
          <w:tcPr>
            <w:tcW w:w="336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Estimativas e intervalos do INS-DF</w:t>
            </w:r>
          </w:p>
        </w:tc>
        <w:tc>
          <w:tcPr>
            <w:tcW w:w="194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Equipe técnica, com o IPEDF</w:t>
            </w:r>
          </w:p>
        </w:tc>
      </w:tr>
      <w:tr>
        <w:trPr>
          <w:cantSplit/>
        </w:trPr>
        <w:tc>
          <w:tcPr>
            <w:tcW w:w="3536" w:type="dxa"/>
            <w:shd w:val="clear" w:color="auto" w:fill="FFFFFF"/>
            <w:vAlign w:val="top"/>
          </w:tcPr>
          <w:p>
            <w:pPr>
              <w:keepNext/>
              <w:spacing w:before="0" w:after="0" w:line="252" w:lineRule="auto"/>
              <w:jc w:val="left"/>
            </w:pPr>
            <w:r>
              <w:rPr>
                <w:rFonts w:ascii="Barlow SemiBold" w:hAnsi="Barlow SemiBold" w:cs="Barlow SemiBold" w:eastAsia="Barlow SemiBold"/>
                <w:color w:val="01366F"/>
                <w:sz w:val="17"/>
                <w:szCs w:val="17"/>
              </w:rPr>
              <w:t xml:space="preserve">Cadastro Único georreferenciado por Região Administrativa</w:t>
            </w:r>
          </w:p>
        </w:tc>
        <w:tc>
          <w:tcPr>
            <w:tcW w:w="3360"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INS-DF Dinâmico</w:t>
            </w:r>
          </w:p>
        </w:tc>
        <w:tc>
          <w:tcPr>
            <w:tcW w:w="1948" w:type="dxa"/>
            <w:shd w:val="clear" w:color="auto" w:fill="FFFFFF"/>
            <w:vAlign w:val="top"/>
          </w:tcPr>
          <w:p>
            <w:pPr>
              <w:keepNext/>
              <w:spacing w:before="0" w:after="0" w:line="252" w:lineRule="auto"/>
              <w:jc w:val="left"/>
            </w:pPr>
            <w:r>
              <w:rPr>
                <w:rFonts w:ascii="Barlow" w:hAnsi="Barlow" w:cs="Barlow" w:eastAsia="Barlow"/>
                <w:color w:val="0F2440"/>
                <w:sz w:val="17"/>
                <w:szCs w:val="17"/>
              </w:rPr>
              <w:t xml:space="preserve">Coordenação, com a gestão distrital</w:t>
            </w:r>
          </w:p>
        </w:tc>
      </w:tr>
    </w:tbl>
    <w:p>
      <w:pPr>
        <w:spacing w:before="60" w:after="220" w:line="240" w:lineRule="auto"/>
        <w:jc w:val="left"/>
        <w:sectPr>
          <w:headerReference w:type="default" r:id="rId25"/>
          <w:headerReference w:type="even" r:id="rId15"/>
          <w:footerReference w:type="default" r:id="rId16"/>
          <w:footerReference w:type="even" r:id="rId17"/>
          <w:type w:val="nextPage"/>
          <w:pgSz w:w="11906" w:h="16838"/>
          <w:pgMar w:top="1474" w:right="1531" w:bottom="1814" w:left="1531" w:header="850" w:footer="330" w:gutter="0"/>
          <w:cols w:space="720"/>
          <w:docGrid w:linePitch="360"/>
        </w:sectPr>
      </w:pPr>
      <w:r>
        <w:rPr>
          <w:rFonts w:ascii="Barlow SemiBold" w:hAnsi="Barlow SemiBold" w:cs="Barlow SemiBold" w:eastAsia="Barlow SemiBold"/>
          <w:color w:val="01366F"/>
          <w:sz w:val="15"/>
          <w:szCs w:val="15"/>
        </w:rPr>
        <w:t xml:space="preserve">Fonte:</w:t>
      </w:r>
      <w:r>
        <w:rPr>
          <w:rFonts w:ascii="Barlow" w:hAnsi="Barlow" w:cs="Barlow" w:eastAsia="Barlow"/>
          <w:color w:val="5F6B76"/>
          <w:sz w:val="15"/>
          <w:szCs w:val="15"/>
        </w:rPr>
        <w:t xml:space="preserve"> Elaboração própria (2026).</w:t>
      </w:r>
    </w:p>
    <w:p>
      <w:pPr>
        <w:pStyle w:val="Heading1"/>
        <w:pBdr>
          <w:bottom w:val="single" w:sz="12" w:space="10" w:color="007614"/>
        </w:pBdr>
        <w:spacing w:before="120" w:after="380" w:line="600" w:lineRule="exact"/>
        <w:jc w:val="left"/>
      </w:pPr>
      <w:bookmarkStart w:id="65" w:name="_h51"/>
      <w:r>
        <w:rPr>
          <w:rFonts w:ascii="Barlow Condensed" w:hAnsi="Barlow Condensed" w:cs="Barlow Condensed" w:eastAsia="Barlow Condensed"/>
          <w:b/>
          <w:bCs/>
          <w:color w:val="01366F"/>
          <w:sz w:val="52"/>
          <w:szCs w:val="52"/>
        </w:rPr>
        <w:t xml:space="preserve">REFERÊNCIAS</w:t>
      </w:r>
      <w:bookmarkEnd w:id="65"/>
    </w:p>
    <w:p>
      <w:pPr>
        <w:spacing w:before="0" w:after="150" w:line="264" w:lineRule="auto"/>
        <w:jc w:val="left"/>
      </w:pPr>
      <w:r>
        <w:rPr>
          <w:rFonts w:ascii="Barlow" w:hAnsi="Barlow" w:cs="Barlow" w:eastAsia="Barlow"/>
          <w:color w:val="0F2440"/>
          <w:sz w:val="19"/>
          <w:szCs w:val="19"/>
        </w:rPr>
        <w:t xml:space="preserve">ALLIK, M. et al. Creating small-area deprivation indices: a guide for stages and options. </w:t>
      </w:r>
      <w:r>
        <w:rPr>
          <w:rFonts w:ascii="Barlow SemiBold" w:hAnsi="Barlow SemiBold" w:cs="Barlow SemiBold" w:eastAsia="Barlow SemiBold"/>
          <w:color w:val="0F2440"/>
          <w:sz w:val="19"/>
          <w:szCs w:val="19"/>
        </w:rPr>
        <w:t xml:space="preserve">Journal of Epidemiology and Community Health</w:t>
      </w:r>
      <w:r>
        <w:rPr>
          <w:rFonts w:ascii="Barlow" w:hAnsi="Barlow" w:cs="Barlow" w:eastAsia="Barlow"/>
          <w:color w:val="0F2440"/>
          <w:sz w:val="19"/>
          <w:szCs w:val="19"/>
        </w:rPr>
        <w:t xml:space="preserve">, v. 74, n. 1, p. 20-25, 2020a.</w:t>
      </w:r>
    </w:p>
    <w:p>
      <w:pPr>
        <w:spacing w:before="0" w:after="150" w:line="264" w:lineRule="auto"/>
        <w:jc w:val="left"/>
      </w:pPr>
      <w:r>
        <w:rPr>
          <w:rFonts w:ascii="Barlow" w:hAnsi="Barlow" w:cs="Barlow" w:eastAsia="Barlow"/>
          <w:color w:val="0F2440"/>
          <w:sz w:val="19"/>
          <w:szCs w:val="19"/>
        </w:rPr>
        <w:t xml:space="preserve">ALLIK, M. et al. </w:t>
      </w:r>
      <w:r>
        <w:rPr>
          <w:rFonts w:ascii="Barlow SemiBold" w:hAnsi="Barlow SemiBold" w:cs="Barlow SemiBold" w:eastAsia="Barlow SemiBold"/>
          <w:color w:val="0F2440"/>
          <w:sz w:val="19"/>
          <w:szCs w:val="19"/>
        </w:rPr>
        <w:t xml:space="preserve">Developing a small-area deprivation measure for Brazil</w:t>
      </w:r>
      <w:r>
        <w:rPr>
          <w:rFonts w:ascii="Barlow" w:hAnsi="Barlow" w:cs="Barlow" w:eastAsia="Barlow"/>
          <w:color w:val="0F2440"/>
          <w:sz w:val="19"/>
          <w:szCs w:val="19"/>
        </w:rPr>
        <w:t xml:space="preserve">. London: National Institute for Health and Care Research, 2020b.</w:t>
      </w:r>
    </w:p>
    <w:p>
      <w:pPr>
        <w:spacing w:before="0" w:after="150" w:line="264" w:lineRule="auto"/>
        <w:jc w:val="left"/>
      </w:pPr>
      <w:r>
        <w:rPr>
          <w:rFonts w:ascii="Barlow" w:hAnsi="Barlow" w:cs="Barlow" w:eastAsia="Barlow"/>
          <w:color w:val="0F2440"/>
          <w:sz w:val="19"/>
          <w:szCs w:val="19"/>
        </w:rPr>
        <w:t xml:space="preserve">BARROZO, L. V. et al. GeoSES: a socioeconomic index for health and social research in Brazil. </w:t>
      </w:r>
      <w:r>
        <w:rPr>
          <w:rFonts w:ascii="Barlow SemiBold" w:hAnsi="Barlow SemiBold" w:cs="Barlow SemiBold" w:eastAsia="Barlow SemiBold"/>
          <w:color w:val="0F2440"/>
          <w:sz w:val="19"/>
          <w:szCs w:val="19"/>
        </w:rPr>
        <w:t xml:space="preserve">PLoS ONE</w:t>
      </w:r>
      <w:r>
        <w:rPr>
          <w:rFonts w:ascii="Barlow" w:hAnsi="Barlow" w:cs="Barlow" w:eastAsia="Barlow"/>
          <w:color w:val="0F2440"/>
          <w:sz w:val="19"/>
          <w:szCs w:val="19"/>
        </w:rPr>
        <w:t xml:space="preserve">, v. 15, n. 4, e0232074, 2020.</w:t>
      </w:r>
    </w:p>
    <w:p>
      <w:pPr>
        <w:spacing w:before="0" w:after="150" w:line="264" w:lineRule="auto"/>
        <w:jc w:val="left"/>
      </w:pPr>
      <w:r>
        <w:rPr>
          <w:rFonts w:ascii="Barlow" w:hAnsi="Barlow" w:cs="Barlow" w:eastAsia="Barlow"/>
          <w:color w:val="0F2440"/>
          <w:sz w:val="19"/>
          <w:szCs w:val="19"/>
        </w:rPr>
        <w:t xml:space="preserve">BRADSHAW, J. A taxonomy of social need. In: McLACHLAN, G. (ed.). </w:t>
      </w:r>
      <w:r>
        <w:rPr>
          <w:rFonts w:ascii="Barlow SemiBold" w:hAnsi="Barlow SemiBold" w:cs="Barlow SemiBold" w:eastAsia="Barlow SemiBold"/>
          <w:color w:val="0F2440"/>
          <w:sz w:val="19"/>
          <w:szCs w:val="19"/>
        </w:rPr>
        <w:t xml:space="preserve">Problems and progress in medical care</w:t>
      </w:r>
      <w:r>
        <w:rPr>
          <w:rFonts w:ascii="Barlow" w:hAnsi="Barlow" w:cs="Barlow" w:eastAsia="Barlow"/>
          <w:color w:val="0F2440"/>
          <w:sz w:val="19"/>
          <w:szCs w:val="19"/>
        </w:rPr>
        <w:t xml:space="preserve">: essays on current research. London: Oxford University Press, 1972. p. 71-82.</w:t>
      </w:r>
    </w:p>
    <w:p>
      <w:pPr>
        <w:spacing w:before="0" w:after="150" w:line="264" w:lineRule="auto"/>
        <w:jc w:val="left"/>
      </w:pPr>
      <w:r>
        <w:rPr>
          <w:rFonts w:ascii="Barlow" w:hAnsi="Barlow" w:cs="Barlow" w:eastAsia="Barlow"/>
          <w:color w:val="0F2440"/>
          <w:sz w:val="19"/>
          <w:szCs w:val="19"/>
        </w:rPr>
        <w:t xml:space="preserve">CARSTAIRS, V.; MORRIS, R. </w:t>
      </w:r>
      <w:r>
        <w:rPr>
          <w:rFonts w:ascii="Barlow SemiBold" w:hAnsi="Barlow SemiBold" w:cs="Barlow SemiBold" w:eastAsia="Barlow SemiBold"/>
          <w:color w:val="0F2440"/>
          <w:sz w:val="19"/>
          <w:szCs w:val="19"/>
        </w:rPr>
        <w:t xml:space="preserve">Deprivation and health in Scotland</w:t>
      </w:r>
      <w:r>
        <w:rPr>
          <w:rFonts w:ascii="Barlow" w:hAnsi="Barlow" w:cs="Barlow" w:eastAsia="Barlow"/>
          <w:color w:val="0F2440"/>
          <w:sz w:val="19"/>
          <w:szCs w:val="19"/>
        </w:rPr>
        <w:t xml:space="preserve">. Aberdeen: Aberdeen University Press, 1991.</w:t>
      </w:r>
    </w:p>
    <w:p>
      <w:pPr>
        <w:spacing w:before="0" w:after="150" w:line="264" w:lineRule="auto"/>
        <w:jc w:val="left"/>
      </w:pPr>
      <w:r>
        <w:rPr>
          <w:rFonts w:ascii="Barlow" w:hAnsi="Barlow" w:cs="Barlow" w:eastAsia="Barlow"/>
          <w:color w:val="0F2440"/>
          <w:sz w:val="19"/>
          <w:szCs w:val="19"/>
        </w:rPr>
        <w:t xml:space="preserve">COSTA, M. A.; MARGUTI, B. O. (ed.). </w:t>
      </w:r>
      <w:r>
        <w:rPr>
          <w:rFonts w:ascii="Barlow SemiBold" w:hAnsi="Barlow SemiBold" w:cs="Barlow SemiBold" w:eastAsia="Barlow SemiBold"/>
          <w:color w:val="0F2440"/>
          <w:sz w:val="19"/>
          <w:szCs w:val="19"/>
        </w:rPr>
        <w:t xml:space="preserve">Atlas da vulnerabilidade social nos municípios brasileiros</w:t>
      </w:r>
      <w:r>
        <w:rPr>
          <w:rFonts w:ascii="Barlow" w:hAnsi="Barlow" w:cs="Barlow" w:eastAsia="Barlow"/>
          <w:color w:val="0F2440"/>
          <w:sz w:val="19"/>
          <w:szCs w:val="19"/>
        </w:rPr>
        <w:t xml:space="preserve">. Brasília: Ipea, 2015.</w:t>
      </w:r>
    </w:p>
    <w:p>
      <w:pPr>
        <w:spacing w:before="0" w:after="150" w:line="264" w:lineRule="auto"/>
        <w:jc w:val="left"/>
      </w:pPr>
      <w:r>
        <w:rPr>
          <w:rFonts w:ascii="Barlow" w:hAnsi="Barlow" w:cs="Barlow" w:eastAsia="Barlow"/>
          <w:color w:val="0F2440"/>
          <w:sz w:val="19"/>
          <w:szCs w:val="19"/>
        </w:rPr>
        <w:t xml:space="preserve">DIÓGENES, V. H. D.; PINTO JÚNIOR, E. P.; GONZAGA, M. R. et al. Bases de mortalidade e privação material nos municípios brasileiros. In: BARRETO, M. L. et al. (org.). </w:t>
      </w:r>
      <w:r>
        <w:rPr>
          <w:rFonts w:ascii="Barlow SemiBold" w:hAnsi="Barlow SemiBold" w:cs="Barlow SemiBold" w:eastAsia="Barlow SemiBold"/>
          <w:color w:val="0F2440"/>
          <w:sz w:val="19"/>
          <w:szCs w:val="19"/>
        </w:rPr>
        <w:t xml:space="preserve">Desigualdades sociais e saúde</w:t>
      </w:r>
      <w:r>
        <w:rPr>
          <w:rFonts w:ascii="Barlow" w:hAnsi="Barlow" w:cs="Barlow" w:eastAsia="Barlow"/>
          <w:color w:val="0F2440"/>
          <w:sz w:val="19"/>
          <w:szCs w:val="19"/>
        </w:rPr>
        <w:t xml:space="preserve">. Salvador: EDUFBA, 2025. p. 43-57.</w:t>
      </w:r>
    </w:p>
    <w:p>
      <w:pPr>
        <w:spacing w:before="0" w:after="150" w:line="264" w:lineRule="auto"/>
        <w:jc w:val="left"/>
      </w:pPr>
      <w:r>
        <w:rPr>
          <w:rFonts w:ascii="Barlow" w:hAnsi="Barlow" w:cs="Barlow" w:eastAsia="Barlow"/>
          <w:color w:val="0F2440"/>
          <w:sz w:val="19"/>
          <w:szCs w:val="19"/>
        </w:rPr>
        <w:t xml:space="preserve">FIOCRUZ BRASÍLIA. </w:t>
      </w:r>
      <w:r>
        <w:rPr>
          <w:rFonts w:ascii="Barlow SemiBold" w:hAnsi="Barlow SemiBold" w:cs="Barlow SemiBold" w:eastAsia="Barlow SemiBold"/>
          <w:color w:val="0F2440"/>
          <w:sz w:val="19"/>
          <w:szCs w:val="19"/>
        </w:rPr>
        <w:t xml:space="preserve">Protocolo de Inteligência Territorial</w:t>
      </w:r>
      <w:r>
        <w:rPr>
          <w:rFonts w:ascii="Barlow" w:hAnsi="Barlow" w:cs="Barlow" w:eastAsia="Barlow"/>
          <w:color w:val="0F2440"/>
          <w:sz w:val="19"/>
          <w:szCs w:val="19"/>
        </w:rPr>
        <w:t xml:space="preserve">. Versão 2.0. Brasília: Fiocruz Brasília/CoLaboratório CTIS/PICAPS, 2026b.</w:t>
      </w:r>
    </w:p>
    <w:p>
      <w:pPr>
        <w:spacing w:before="0" w:after="150" w:line="264" w:lineRule="auto"/>
        <w:jc w:val="left"/>
      </w:pPr>
      <w:r>
        <w:rPr>
          <w:rFonts w:ascii="Barlow" w:hAnsi="Barlow" w:cs="Barlow" w:eastAsia="Barlow"/>
          <w:color w:val="0F2440"/>
          <w:sz w:val="19"/>
          <w:szCs w:val="19"/>
        </w:rPr>
        <w:t xml:space="preserve">GONZAGA, M. R.; DIÓGENES, V. H. D.; SILVA JÚNIOR, W. P. et al. Estimativas de taxas de mortalidade em pequenas áreas no Brasil: principais limitações e avanços recentes. In: BARRETO, M. L. et al. (org.). </w:t>
      </w:r>
      <w:r>
        <w:rPr>
          <w:rFonts w:ascii="Barlow SemiBold" w:hAnsi="Barlow SemiBold" w:cs="Barlow SemiBold" w:eastAsia="Barlow SemiBold"/>
          <w:color w:val="0F2440"/>
          <w:sz w:val="19"/>
          <w:szCs w:val="19"/>
        </w:rPr>
        <w:t xml:space="preserve">Desigualdades sociais e saúde</w:t>
      </w:r>
      <w:r>
        <w:rPr>
          <w:rFonts w:ascii="Barlow" w:hAnsi="Barlow" w:cs="Barlow" w:eastAsia="Barlow"/>
          <w:color w:val="0F2440"/>
          <w:sz w:val="19"/>
          <w:szCs w:val="19"/>
        </w:rPr>
        <w:t xml:space="preserve">. Salvador: EDUFBA, 2025. p. 77-91.</w:t>
      </w:r>
    </w:p>
    <w:p>
      <w:pPr>
        <w:spacing w:before="0" w:after="150" w:line="264" w:lineRule="auto"/>
        <w:jc w:val="left"/>
      </w:pPr>
      <w:r>
        <w:rPr>
          <w:rFonts w:ascii="Barlow" w:hAnsi="Barlow" w:cs="Barlow" w:eastAsia="Barlow"/>
          <w:color w:val="0F2440"/>
          <w:sz w:val="19"/>
          <w:szCs w:val="19"/>
        </w:rPr>
        <w:t xml:space="preserve">HART, J. T. The inverse care law. </w:t>
      </w:r>
      <w:r>
        <w:rPr>
          <w:rFonts w:ascii="Barlow SemiBold" w:hAnsi="Barlow SemiBold" w:cs="Barlow SemiBold" w:eastAsia="Barlow SemiBold"/>
          <w:color w:val="0F2440"/>
          <w:sz w:val="19"/>
          <w:szCs w:val="19"/>
        </w:rPr>
        <w:t xml:space="preserve">The Lancet</w:t>
      </w:r>
      <w:r>
        <w:rPr>
          <w:rFonts w:ascii="Barlow" w:hAnsi="Barlow" w:cs="Barlow" w:eastAsia="Barlow"/>
          <w:color w:val="0F2440"/>
          <w:sz w:val="19"/>
          <w:szCs w:val="19"/>
        </w:rPr>
        <w:t xml:space="preserve">, v. 297, n. 7696, p. 405-412, 1971.</w:t>
      </w:r>
    </w:p>
    <w:p>
      <w:pPr>
        <w:spacing w:before="0" w:after="150" w:line="264" w:lineRule="auto"/>
        <w:jc w:val="left"/>
      </w:pPr>
      <w:r>
        <w:rPr>
          <w:rFonts w:ascii="Barlow" w:hAnsi="Barlow" w:cs="Barlow" w:eastAsia="Barlow"/>
          <w:color w:val="0F2440"/>
          <w:sz w:val="19"/>
          <w:szCs w:val="19"/>
        </w:rPr>
        <w:t xml:space="preserve">IBGE – INSTITUTO BRASILEIRO DE GEOGRAFIA E ESTATÍSTICA. </w:t>
      </w:r>
      <w:r>
        <w:rPr>
          <w:rFonts w:ascii="Barlow SemiBold" w:hAnsi="Barlow SemiBold" w:cs="Barlow SemiBold" w:eastAsia="Barlow SemiBold"/>
          <w:color w:val="0F2440"/>
          <w:sz w:val="19"/>
          <w:szCs w:val="19"/>
        </w:rPr>
        <w:t xml:space="preserve">População em áreas de risco no Brasil</w:t>
      </w:r>
      <w:r>
        <w:rPr>
          <w:rFonts w:ascii="Barlow" w:hAnsi="Barlow" w:cs="Barlow" w:eastAsia="Barlow"/>
          <w:color w:val="0F2440"/>
          <w:sz w:val="19"/>
          <w:szCs w:val="19"/>
        </w:rPr>
        <w:t xml:space="preserve">. Rio de Janeiro: IBGE, 2018.</w:t>
      </w:r>
    </w:p>
    <w:p>
      <w:pPr>
        <w:spacing w:before="0" w:after="150" w:line="264" w:lineRule="auto"/>
        <w:jc w:val="left"/>
      </w:pPr>
      <w:r>
        <w:rPr>
          <w:rFonts w:ascii="Barlow" w:hAnsi="Barlow" w:cs="Barlow" w:eastAsia="Barlow"/>
          <w:color w:val="0F2440"/>
          <w:sz w:val="19"/>
          <w:szCs w:val="19"/>
        </w:rPr>
        <w:t xml:space="preserve">ICHIHARA, M. Y. T. et al. Area deprivation measures used in Brazil: a scoping review. </w:t>
      </w:r>
      <w:r>
        <w:rPr>
          <w:rFonts w:ascii="Barlow SemiBold" w:hAnsi="Barlow SemiBold" w:cs="Barlow SemiBold" w:eastAsia="Barlow SemiBold"/>
          <w:color w:val="0F2440"/>
          <w:sz w:val="19"/>
          <w:szCs w:val="19"/>
        </w:rPr>
        <w:t xml:space="preserve">Revista de Saúde Pública</w:t>
      </w:r>
      <w:r>
        <w:rPr>
          <w:rFonts w:ascii="Barlow" w:hAnsi="Barlow" w:cs="Barlow" w:eastAsia="Barlow"/>
          <w:color w:val="0F2440"/>
          <w:sz w:val="19"/>
          <w:szCs w:val="19"/>
        </w:rPr>
        <w:t xml:space="preserve">, v. 52, n. 83, p. 1-14, 2018.</w:t>
      </w:r>
    </w:p>
    <w:p>
      <w:pPr>
        <w:spacing w:before="0" w:after="150" w:line="264" w:lineRule="auto"/>
        <w:jc w:val="left"/>
      </w:pPr>
      <w:r>
        <w:rPr>
          <w:rFonts w:ascii="Barlow" w:hAnsi="Barlow" w:cs="Barlow" w:eastAsia="Barlow"/>
          <w:color w:val="0F2440"/>
          <w:sz w:val="19"/>
          <w:szCs w:val="19"/>
        </w:rPr>
        <w:t xml:space="preserve">ICHIHARA, M. Y. T.; DUNDAS, R.; PINTO JÚNIOR, E. P. et al. Índice Brasileiro de Privação (IBP): concepção, construção e aplicações. In: BARRETO, M. L. et al. (org.). </w:t>
      </w:r>
      <w:r>
        <w:rPr>
          <w:rFonts w:ascii="Barlow SemiBold" w:hAnsi="Barlow SemiBold" w:cs="Barlow SemiBold" w:eastAsia="Barlow SemiBold"/>
          <w:color w:val="0F2440"/>
          <w:sz w:val="19"/>
          <w:szCs w:val="19"/>
        </w:rPr>
        <w:t xml:space="preserve">Desigualdades sociais e saúde</w:t>
      </w:r>
      <w:r>
        <w:rPr>
          <w:rFonts w:ascii="Barlow" w:hAnsi="Barlow" w:cs="Barlow" w:eastAsia="Barlow"/>
          <w:color w:val="0F2440"/>
          <w:sz w:val="19"/>
          <w:szCs w:val="19"/>
        </w:rPr>
        <w:t xml:space="preserve">. Salvador: EDUFBA, 2025. p. 19-27.</w:t>
      </w:r>
    </w:p>
    <w:p>
      <w:pPr>
        <w:spacing w:before="0" w:after="150" w:line="264" w:lineRule="auto"/>
        <w:jc w:val="left"/>
      </w:pPr>
      <w:r>
        <w:rPr>
          <w:rFonts w:ascii="Barlow" w:hAnsi="Barlow" w:cs="Barlow" w:eastAsia="Barlow"/>
          <w:color w:val="0F2440"/>
          <w:sz w:val="19"/>
          <w:szCs w:val="19"/>
        </w:rPr>
        <w:t xml:space="preserve">JANNUZZI, P. M. </w:t>
      </w:r>
      <w:r>
        <w:rPr>
          <w:rFonts w:ascii="Barlow SemiBold" w:hAnsi="Barlow SemiBold" w:cs="Barlow SemiBold" w:eastAsia="Barlow SemiBold"/>
          <w:color w:val="0F2440"/>
          <w:sz w:val="19"/>
          <w:szCs w:val="19"/>
        </w:rPr>
        <w:t xml:space="preserve">Indicadores sociais no Brasil</w:t>
      </w:r>
      <w:r>
        <w:rPr>
          <w:rFonts w:ascii="Barlow" w:hAnsi="Barlow" w:cs="Barlow" w:eastAsia="Barlow"/>
          <w:color w:val="0F2440"/>
          <w:sz w:val="19"/>
          <w:szCs w:val="19"/>
        </w:rPr>
        <w:t xml:space="preserve">: conceitos, fontes de dados e aplicações. Campinas: Alínea, 2001.</w:t>
      </w:r>
    </w:p>
    <w:p>
      <w:pPr>
        <w:spacing w:before="0" w:after="150" w:line="264" w:lineRule="auto"/>
        <w:jc w:val="left"/>
      </w:pPr>
      <w:r>
        <w:rPr>
          <w:rFonts w:ascii="Barlow" w:hAnsi="Barlow" w:cs="Barlow" w:eastAsia="Barlow"/>
          <w:color w:val="0F2440"/>
          <w:sz w:val="19"/>
          <w:szCs w:val="19"/>
        </w:rPr>
        <w:t xml:space="preserve">JANNUZZI, P. M. Indicadores para diagnóstico, monitoramento e avaliação de programas sociais no Brasil. </w:t>
      </w:r>
      <w:r>
        <w:rPr>
          <w:rFonts w:ascii="Barlow SemiBold" w:hAnsi="Barlow SemiBold" w:cs="Barlow SemiBold" w:eastAsia="Barlow SemiBold"/>
          <w:color w:val="0F2440"/>
          <w:sz w:val="19"/>
          <w:szCs w:val="19"/>
        </w:rPr>
        <w:t xml:space="preserve">Revista do Serviço Público</w:t>
      </w:r>
      <w:r>
        <w:rPr>
          <w:rFonts w:ascii="Barlow" w:hAnsi="Barlow" w:cs="Barlow" w:eastAsia="Barlow"/>
          <w:color w:val="0F2440"/>
          <w:sz w:val="19"/>
          <w:szCs w:val="19"/>
        </w:rPr>
        <w:t xml:space="preserve">, v. 56, n. 2, p. 137-160, 2005.</w:t>
      </w:r>
    </w:p>
    <w:p>
      <w:pPr>
        <w:spacing w:before="0" w:after="150" w:line="264" w:lineRule="auto"/>
        <w:jc w:val="left"/>
      </w:pPr>
      <w:r>
        <w:rPr>
          <w:rFonts w:ascii="Barlow" w:hAnsi="Barlow" w:cs="Barlow" w:eastAsia="Barlow"/>
          <w:color w:val="0F2440"/>
          <w:sz w:val="19"/>
          <w:szCs w:val="19"/>
        </w:rPr>
        <w:t xml:space="preserve">JARMAN, B. Identification of underprivileged areas. </w:t>
      </w:r>
      <w:r>
        <w:rPr>
          <w:rFonts w:ascii="Barlow SemiBold" w:hAnsi="Barlow SemiBold" w:cs="Barlow SemiBold" w:eastAsia="Barlow SemiBold"/>
          <w:color w:val="0F2440"/>
          <w:sz w:val="19"/>
          <w:szCs w:val="19"/>
        </w:rPr>
        <w:t xml:space="preserve">British Medical Journal</w:t>
      </w:r>
      <w:r>
        <w:rPr>
          <w:rFonts w:ascii="Barlow" w:hAnsi="Barlow" w:cs="Barlow" w:eastAsia="Barlow"/>
          <w:color w:val="0F2440"/>
          <w:sz w:val="19"/>
          <w:szCs w:val="19"/>
        </w:rPr>
        <w:t xml:space="preserve">, v. 286, p. 1705-1709, 1983.</w:t>
      </w:r>
    </w:p>
    <w:p>
      <w:pPr>
        <w:spacing w:before="0" w:after="150" w:line="264" w:lineRule="auto"/>
        <w:jc w:val="left"/>
      </w:pPr>
      <w:r>
        <w:rPr>
          <w:rFonts w:ascii="Barlow" w:hAnsi="Barlow" w:cs="Barlow" w:eastAsia="Barlow"/>
          <w:color w:val="0F2440"/>
          <w:sz w:val="19"/>
          <w:szCs w:val="19"/>
        </w:rPr>
        <w:t xml:space="preserve">MACKENBACH, J. P.; KUNST, A. E. Measuring the magnitude of socio-economic inequalities in health. </w:t>
      </w:r>
      <w:r>
        <w:rPr>
          <w:rFonts w:ascii="Barlow SemiBold" w:hAnsi="Barlow SemiBold" w:cs="Barlow SemiBold" w:eastAsia="Barlow SemiBold"/>
          <w:color w:val="0F2440"/>
          <w:sz w:val="19"/>
          <w:szCs w:val="19"/>
        </w:rPr>
        <w:t xml:space="preserve">Social Science &amp; Medicine</w:t>
      </w:r>
      <w:r>
        <w:rPr>
          <w:rFonts w:ascii="Barlow" w:hAnsi="Barlow" w:cs="Barlow" w:eastAsia="Barlow"/>
          <w:color w:val="0F2440"/>
          <w:sz w:val="19"/>
          <w:szCs w:val="19"/>
        </w:rPr>
        <w:t xml:space="preserve">, v. 44, n. 6, p. 757-771, 1997.</w:t>
      </w:r>
    </w:p>
    <w:p>
      <w:pPr>
        <w:spacing w:before="0" w:after="150" w:line="264" w:lineRule="auto"/>
        <w:jc w:val="left"/>
      </w:pPr>
      <w:r>
        <w:rPr>
          <w:rFonts w:ascii="Barlow" w:hAnsi="Barlow" w:cs="Barlow" w:eastAsia="Barlow"/>
          <w:color w:val="0F2440"/>
          <w:sz w:val="19"/>
          <w:szCs w:val="19"/>
        </w:rPr>
        <w:t xml:space="preserve">MALTA, D. C.; TEIXEIRA, R. A.; BERNAL, R. T. I. et al. Índice Brasileiro de Privação (IBP) e desigualdades na mortalidade por doenças crônicas não transmissíveis (DCNT). In: BARRETO, M. L. et al. (org.). </w:t>
      </w:r>
      <w:r>
        <w:rPr>
          <w:rFonts w:ascii="Barlow SemiBold" w:hAnsi="Barlow SemiBold" w:cs="Barlow SemiBold" w:eastAsia="Barlow SemiBold"/>
          <w:color w:val="0F2440"/>
          <w:sz w:val="19"/>
          <w:szCs w:val="19"/>
        </w:rPr>
        <w:t xml:space="preserve">Desigualdades sociais e saúde</w:t>
      </w:r>
      <w:r>
        <w:rPr>
          <w:rFonts w:ascii="Barlow" w:hAnsi="Barlow" w:cs="Barlow" w:eastAsia="Barlow"/>
          <w:color w:val="0F2440"/>
          <w:sz w:val="19"/>
          <w:szCs w:val="19"/>
        </w:rPr>
        <w:t xml:space="preserve">. Salvador: EDUFBA, 2025. p. 127-141.</w:t>
      </w:r>
    </w:p>
    <w:p>
      <w:pPr>
        <w:spacing w:before="0" w:after="150" w:line="264" w:lineRule="auto"/>
        <w:jc w:val="left"/>
      </w:pPr>
      <w:r>
        <w:rPr>
          <w:rFonts w:ascii="Barlow" w:hAnsi="Barlow" w:cs="Barlow" w:eastAsia="Barlow"/>
          <w:color w:val="0F2440"/>
          <w:sz w:val="19"/>
          <w:szCs w:val="19"/>
        </w:rPr>
        <w:t xml:space="preserve">NARDO, M. et al. </w:t>
      </w:r>
      <w:r>
        <w:rPr>
          <w:rFonts w:ascii="Barlow SemiBold" w:hAnsi="Barlow SemiBold" w:cs="Barlow SemiBold" w:eastAsia="Barlow SemiBold"/>
          <w:color w:val="0F2440"/>
          <w:sz w:val="19"/>
          <w:szCs w:val="19"/>
        </w:rPr>
        <w:t xml:space="preserve">Handbook on constructing composite indicators</w:t>
      </w:r>
      <w:r>
        <w:rPr>
          <w:rFonts w:ascii="Barlow" w:hAnsi="Barlow" w:cs="Barlow" w:eastAsia="Barlow"/>
          <w:color w:val="0F2440"/>
          <w:sz w:val="19"/>
          <w:szCs w:val="19"/>
        </w:rPr>
        <w:t xml:space="preserve">: methodology and user guide. Paris: OECD/JRC, 2008.</w:t>
      </w:r>
    </w:p>
    <w:p>
      <w:pPr>
        <w:spacing w:before="0" w:after="150" w:line="264" w:lineRule="auto"/>
        <w:jc w:val="left"/>
      </w:pPr>
      <w:r>
        <w:rPr>
          <w:rFonts w:ascii="Barlow" w:hAnsi="Barlow" w:cs="Barlow" w:eastAsia="Barlow"/>
          <w:color w:val="0F2440"/>
          <w:sz w:val="19"/>
          <w:szCs w:val="19"/>
        </w:rPr>
        <w:t xml:space="preserve">OECD – ORGANISATION FOR ECONOMIC CO-OPERATION AND DEVELOPMENT. </w:t>
      </w:r>
      <w:r>
        <w:rPr>
          <w:rFonts w:ascii="Barlow SemiBold" w:hAnsi="Barlow SemiBold" w:cs="Barlow SemiBold" w:eastAsia="Barlow SemiBold"/>
          <w:color w:val="0F2440"/>
          <w:sz w:val="19"/>
          <w:szCs w:val="19"/>
        </w:rPr>
        <w:t xml:space="preserve">OECD core set of indicators for environmental performance reviews</w:t>
      </w:r>
      <w:r>
        <w:rPr>
          <w:rFonts w:ascii="Barlow" w:hAnsi="Barlow" w:cs="Barlow" w:eastAsia="Barlow"/>
          <w:color w:val="0F2440"/>
          <w:sz w:val="19"/>
          <w:szCs w:val="19"/>
        </w:rPr>
        <w:t xml:space="preserve">. Paris: OECD, 1993. (Environment Monographs, n. 83).</w:t>
      </w:r>
    </w:p>
    <w:p>
      <w:pPr>
        <w:spacing w:before="0" w:after="150" w:line="264" w:lineRule="auto"/>
        <w:jc w:val="left"/>
      </w:pPr>
      <w:r>
        <w:rPr>
          <w:rFonts w:ascii="Barlow" w:hAnsi="Barlow" w:cs="Barlow" w:eastAsia="Barlow"/>
          <w:color w:val="0F2440"/>
          <w:sz w:val="19"/>
          <w:szCs w:val="19"/>
        </w:rPr>
        <w:t xml:space="preserve">OECD – ORGANISATION FOR ECONOMIC CO-OPERATION AND DEVELOPMENT. </w:t>
      </w:r>
      <w:r>
        <w:rPr>
          <w:rFonts w:ascii="Barlow SemiBold" w:hAnsi="Barlow SemiBold" w:cs="Barlow SemiBold" w:eastAsia="Barlow SemiBold"/>
          <w:color w:val="0F2440"/>
          <w:sz w:val="19"/>
          <w:szCs w:val="19"/>
        </w:rPr>
        <w:t xml:space="preserve">Environmental indicators</w:t>
      </w:r>
      <w:r>
        <w:rPr>
          <w:rFonts w:ascii="Barlow" w:hAnsi="Barlow" w:cs="Barlow" w:eastAsia="Barlow"/>
          <w:color w:val="0F2440"/>
          <w:sz w:val="19"/>
          <w:szCs w:val="19"/>
        </w:rPr>
        <w:t xml:space="preserve">: development, measurement and use. Paris: OECD, 2003.</w:t>
      </w:r>
    </w:p>
    <w:p>
      <w:pPr>
        <w:spacing w:before="0" w:after="150" w:line="264" w:lineRule="auto"/>
        <w:jc w:val="left"/>
      </w:pPr>
      <w:r>
        <w:rPr>
          <w:rFonts w:ascii="Barlow" w:hAnsi="Barlow" w:cs="Barlow" w:eastAsia="Barlow"/>
          <w:color w:val="0F2440"/>
          <w:sz w:val="19"/>
          <w:szCs w:val="19"/>
        </w:rPr>
        <w:t xml:space="preserve">OPENSHAW, S. </w:t>
      </w:r>
      <w:r>
        <w:rPr>
          <w:rFonts w:ascii="Barlow SemiBold" w:hAnsi="Barlow SemiBold" w:cs="Barlow SemiBold" w:eastAsia="Barlow SemiBold"/>
          <w:color w:val="0F2440"/>
          <w:sz w:val="19"/>
          <w:szCs w:val="19"/>
        </w:rPr>
        <w:t xml:space="preserve">The modifiable areal unit problem</w:t>
      </w:r>
      <w:r>
        <w:rPr>
          <w:rFonts w:ascii="Barlow" w:hAnsi="Barlow" w:cs="Barlow" w:eastAsia="Barlow"/>
          <w:color w:val="0F2440"/>
          <w:sz w:val="19"/>
          <w:szCs w:val="19"/>
        </w:rPr>
        <w:t xml:space="preserve">. Norwich: Geo Books, 1984.</w:t>
      </w:r>
    </w:p>
    <w:p>
      <w:pPr>
        <w:spacing w:before="0" w:after="150" w:line="264" w:lineRule="auto"/>
        <w:jc w:val="left"/>
      </w:pPr>
      <w:r>
        <w:rPr>
          <w:rFonts w:ascii="Barlow" w:hAnsi="Barlow" w:cs="Barlow" w:eastAsia="Barlow"/>
          <w:color w:val="0F2440"/>
          <w:sz w:val="19"/>
          <w:szCs w:val="19"/>
        </w:rPr>
        <w:t xml:space="preserve">PAMPALON, R.; RAYMOND, G. A deprivation index for health and welfare planning in Quebec. </w:t>
      </w:r>
      <w:r>
        <w:rPr>
          <w:rFonts w:ascii="Barlow SemiBold" w:hAnsi="Barlow SemiBold" w:cs="Barlow SemiBold" w:eastAsia="Barlow SemiBold"/>
          <w:color w:val="0F2440"/>
          <w:sz w:val="19"/>
          <w:szCs w:val="19"/>
        </w:rPr>
        <w:t xml:space="preserve">Chronic Diseases in Canada</w:t>
      </w:r>
      <w:r>
        <w:rPr>
          <w:rFonts w:ascii="Barlow" w:hAnsi="Barlow" w:cs="Barlow" w:eastAsia="Barlow"/>
          <w:color w:val="0F2440"/>
          <w:sz w:val="19"/>
          <w:szCs w:val="19"/>
        </w:rPr>
        <w:t xml:space="preserve">, v. 21, n. 3, p. 104-113, 2000.</w:t>
      </w:r>
    </w:p>
    <w:p>
      <w:pPr>
        <w:spacing w:before="0" w:after="150" w:line="264" w:lineRule="auto"/>
        <w:jc w:val="left"/>
      </w:pPr>
      <w:r>
        <w:rPr>
          <w:rFonts w:ascii="Barlow" w:hAnsi="Barlow" w:cs="Barlow" w:eastAsia="Barlow"/>
          <w:color w:val="0F2440"/>
          <w:sz w:val="19"/>
          <w:szCs w:val="19"/>
        </w:rPr>
        <w:t xml:space="preserve">PINTO JÚNIOR, E. P.; REBOUÇAS, P.; FERREIRA, A. J. F. et al. Inequidades na mortalidade por causas sensíveis à pobreza em crianças menores de cinco anos no Brasil. In: BARRETO, M. L. et al. (org.). </w:t>
      </w:r>
      <w:r>
        <w:rPr>
          <w:rFonts w:ascii="Barlow SemiBold" w:hAnsi="Barlow SemiBold" w:cs="Barlow SemiBold" w:eastAsia="Barlow SemiBold"/>
          <w:color w:val="0F2440"/>
          <w:sz w:val="19"/>
          <w:szCs w:val="19"/>
        </w:rPr>
        <w:t xml:space="preserve">Desigualdades sociais e saúde</w:t>
      </w:r>
      <w:r>
        <w:rPr>
          <w:rFonts w:ascii="Barlow" w:hAnsi="Barlow" w:cs="Barlow" w:eastAsia="Barlow"/>
          <w:color w:val="0F2440"/>
          <w:sz w:val="19"/>
          <w:szCs w:val="19"/>
        </w:rPr>
        <w:t xml:space="preserve">. Salvador: EDUFBA, 2025. p. 29-41.</w:t>
      </w:r>
    </w:p>
    <w:p>
      <w:pPr>
        <w:spacing w:before="0" w:after="150" w:line="264" w:lineRule="auto"/>
        <w:jc w:val="left"/>
      </w:pPr>
      <w:r>
        <w:rPr>
          <w:rFonts w:ascii="Barlow" w:hAnsi="Barlow" w:cs="Barlow" w:eastAsia="Barlow"/>
          <w:color w:val="0F2440"/>
          <w:sz w:val="19"/>
          <w:szCs w:val="19"/>
        </w:rPr>
        <w:t xml:space="preserve">RAMEH, L. M.; COSTA, L. C. C.; DIÓGENES, V. H. D. et al. Relação entre Índice Brasileiro de Privação (IBP) e cobertura do registro de óbitos para as menores áreas geográficas do Brasil. In: BARRETO, M. L. et al. (org.). </w:t>
      </w:r>
      <w:r>
        <w:rPr>
          <w:rFonts w:ascii="Barlow SemiBold" w:hAnsi="Barlow SemiBold" w:cs="Barlow SemiBold" w:eastAsia="Barlow SemiBold"/>
          <w:color w:val="0F2440"/>
          <w:sz w:val="19"/>
          <w:szCs w:val="19"/>
        </w:rPr>
        <w:t xml:space="preserve">Desigualdades sociais e saúde</w:t>
      </w:r>
      <w:r>
        <w:rPr>
          <w:rFonts w:ascii="Barlow" w:hAnsi="Barlow" w:cs="Barlow" w:eastAsia="Barlow"/>
          <w:color w:val="0F2440"/>
          <w:sz w:val="19"/>
          <w:szCs w:val="19"/>
        </w:rPr>
        <w:t xml:space="preserve">. Salvador: EDUFBA, 2025. p. 59-75.</w:t>
      </w:r>
    </w:p>
    <w:p>
      <w:pPr>
        <w:spacing w:before="0" w:after="150" w:line="264" w:lineRule="auto"/>
        <w:jc w:val="left"/>
      </w:pPr>
      <w:r>
        <w:rPr>
          <w:rFonts w:ascii="Barlow" w:hAnsi="Barlow" w:cs="Barlow" w:eastAsia="Barlow"/>
          <w:color w:val="0F2440"/>
          <w:sz w:val="19"/>
          <w:szCs w:val="19"/>
        </w:rPr>
        <w:t xml:space="preserve">SAISANA, M.; SALTELLI, A.; TARANTOLA, S. Uncertainty and sensitivity analysis techniques as tools for the quality assessment of composite indicators. </w:t>
      </w:r>
      <w:r>
        <w:rPr>
          <w:rFonts w:ascii="Barlow SemiBold" w:hAnsi="Barlow SemiBold" w:cs="Barlow SemiBold" w:eastAsia="Barlow SemiBold"/>
          <w:color w:val="0F2440"/>
          <w:sz w:val="19"/>
          <w:szCs w:val="19"/>
        </w:rPr>
        <w:t xml:space="preserve">Journal of the Royal Statistical Society</w:t>
      </w:r>
      <w:r>
        <w:rPr>
          <w:rFonts w:ascii="Barlow" w:hAnsi="Barlow" w:cs="Barlow" w:eastAsia="Barlow"/>
          <w:color w:val="0F2440"/>
          <w:sz w:val="19"/>
          <w:szCs w:val="19"/>
        </w:rPr>
        <w:t xml:space="preserve">: Series A, v. 168, n. 2, p. 307-323, 2005.</w:t>
      </w:r>
    </w:p>
    <w:p>
      <w:pPr>
        <w:spacing w:before="0" w:after="150" w:line="264" w:lineRule="auto"/>
        <w:jc w:val="left"/>
      </w:pPr>
      <w:r>
        <w:rPr>
          <w:rFonts w:ascii="Barlow" w:hAnsi="Barlow" w:cs="Barlow" w:eastAsia="Barlow"/>
          <w:color w:val="0F2440"/>
          <w:sz w:val="19"/>
          <w:szCs w:val="19"/>
        </w:rPr>
        <w:t xml:space="preserve">SECRETARIA DE ESTADO DE SAÚDE DO DISTRITO FEDERAL. </w:t>
      </w:r>
      <w:r>
        <w:rPr>
          <w:rFonts w:ascii="Barlow SemiBold" w:hAnsi="Barlow SemiBold" w:cs="Barlow SemiBold" w:eastAsia="Barlow SemiBold"/>
          <w:color w:val="0F2440"/>
          <w:sz w:val="19"/>
          <w:szCs w:val="19"/>
        </w:rPr>
        <w:t xml:space="preserve">Relatório INS/SES-DF</w:t>
      </w:r>
      <w:r>
        <w:rPr>
          <w:rFonts w:ascii="Barlow" w:hAnsi="Barlow" w:cs="Barlow" w:eastAsia="Barlow"/>
          <w:color w:val="0F2440"/>
          <w:sz w:val="19"/>
          <w:szCs w:val="19"/>
        </w:rPr>
        <w:t xml:space="preserve">. Versão revisada. Brasília: SES-DF, [s.d.].</w:t>
      </w:r>
    </w:p>
    <w:p>
      <w:pPr>
        <w:spacing w:before="0" w:after="150" w:line="264" w:lineRule="auto"/>
        <w:jc w:val="left"/>
      </w:pPr>
      <w:r>
        <w:rPr>
          <w:rFonts w:ascii="Barlow" w:hAnsi="Barlow" w:cs="Barlow" w:eastAsia="Barlow"/>
          <w:color w:val="0F2440"/>
          <w:sz w:val="19"/>
          <w:szCs w:val="19"/>
        </w:rPr>
        <w:t xml:space="preserve">TOWNSEND, P.; PHILLIMORE, P.; BEATTIE, A. </w:t>
      </w:r>
      <w:r>
        <w:rPr>
          <w:rFonts w:ascii="Barlow SemiBold" w:hAnsi="Barlow SemiBold" w:cs="Barlow SemiBold" w:eastAsia="Barlow SemiBold"/>
          <w:color w:val="0F2440"/>
          <w:sz w:val="19"/>
          <w:szCs w:val="19"/>
        </w:rPr>
        <w:t xml:space="preserve">Health and deprivation</w:t>
      </w:r>
      <w:r>
        <w:rPr>
          <w:rFonts w:ascii="Barlow" w:hAnsi="Barlow" w:cs="Barlow" w:eastAsia="Barlow"/>
          <w:color w:val="0F2440"/>
          <w:sz w:val="19"/>
          <w:szCs w:val="19"/>
        </w:rPr>
        <w:t xml:space="preserve">: inequality and the North. London: Croom Helm, 1988.</w:t>
      </w:r>
    </w:p>
    <w:p>
      <w:pPr>
        <w:spacing w:before="0" w:after="150" w:line="264" w:lineRule="auto"/>
        <w:jc w:val="left"/>
        <w:sectPr>
          <w:headerReference w:type="default" r:id="rId26"/>
          <w:headerReference w:type="even" r:id="rId15"/>
          <w:footerReference w:type="default" r:id="rId16"/>
          <w:footerReference w:type="even" r:id="rId17"/>
          <w:type w:val="nextPage"/>
          <w:pgSz w:w="11906" w:h="16838"/>
          <w:pgMar w:top="1474" w:right="1531" w:bottom="1814" w:left="1531" w:header="850" w:footer="330" w:gutter="0"/>
          <w:cols w:space="720"/>
          <w:docGrid w:linePitch="360"/>
        </w:sectPr>
      </w:pPr>
      <w:r>
        <w:rPr>
          <w:rFonts w:ascii="Barlow" w:hAnsi="Barlow" w:cs="Barlow" w:eastAsia="Barlow"/>
          <w:color w:val="0F2440"/>
          <w:sz w:val="19"/>
          <w:szCs w:val="19"/>
        </w:rPr>
        <w:t xml:space="preserve">UNDRR – UNITED NATIONS OFFICE FOR DISASTER RISK REDUCTION. </w:t>
      </w:r>
      <w:r>
        <w:rPr>
          <w:rFonts w:ascii="Barlow SemiBold" w:hAnsi="Barlow SemiBold" w:cs="Barlow SemiBold" w:eastAsia="Barlow SemiBold"/>
          <w:color w:val="0F2440"/>
          <w:sz w:val="19"/>
          <w:szCs w:val="19"/>
        </w:rPr>
        <w:t xml:space="preserve">Report of the open-ended intergovernmental expert working group on indicators and terminology relating to disaster risk reduction</w:t>
      </w:r>
      <w:r>
        <w:rPr>
          <w:rFonts w:ascii="Barlow" w:hAnsi="Barlow" w:cs="Barlow" w:eastAsia="Barlow"/>
          <w:color w:val="0F2440"/>
          <w:sz w:val="19"/>
          <w:szCs w:val="19"/>
        </w:rPr>
        <w:t xml:space="preserve">. Geneva: UNDRR, 2017.</w:t>
      </w:r>
    </w:p>
    <w:p>
      <w:pPr>
        <w:pStyle w:val="Heading1"/>
        <w:pBdr>
          <w:bottom w:val="single" w:sz="12" w:space="10" w:color="007614"/>
        </w:pBdr>
        <w:spacing w:before="120" w:after="380" w:line="600" w:lineRule="exact"/>
        <w:jc w:val="left"/>
      </w:pPr>
      <w:bookmarkStart w:id="66" w:name="_h52"/>
      <w:r>
        <w:rPr>
          <w:rFonts w:ascii="Barlow Condensed" w:hAnsi="Barlow Condensed" w:cs="Barlow Condensed" w:eastAsia="Barlow Condensed"/>
          <w:b/>
          <w:bCs/>
          <w:color w:val="007614"/>
          <w:sz w:val="52"/>
          <w:szCs w:val="52"/>
        </w:rPr>
        <w:t xml:space="preserve">ANEXO A — </w:t>
      </w:r>
      <w:r>
        <w:rPr>
          <w:rFonts w:ascii="Barlow Condensed" w:hAnsi="Barlow Condensed" w:cs="Barlow Condensed" w:eastAsia="Barlow Condensed"/>
          <w:b/>
          <w:bCs/>
          <w:color w:val="01366F"/>
          <w:sz w:val="52"/>
          <w:szCs w:val="52"/>
        </w:rPr>
        <w:t xml:space="preserve">NOTA METODOLÓGICA</w:t>
      </w:r>
      <w:bookmarkEnd w:id="66"/>
    </w:p>
    <w:p>
      <w:pPr>
        <w:spacing w:before="0" w:after="140" w:line="300" w:lineRule="auto"/>
        <w:jc w:val="both"/>
      </w:pPr>
      <w:r>
        <w:rPr>
          <w:rFonts w:ascii="Barlow" w:hAnsi="Barlow" w:cs="Barlow" w:eastAsia="Barlow"/>
          <w:color w:val="0F2440"/>
          <w:sz w:val="20"/>
          <w:szCs w:val="20"/>
        </w:rPr>
        <w:t xml:space="preserve">Esta nota é redigida para circulação autônoma e acompanha a publicação da base de dados do índice.</w:t>
      </w:r>
    </w:p>
    <w:p>
      <w:pPr>
        <w:pStyle w:val="Heading2"/>
        <w:keepNext/>
        <w:spacing w:before="340" w:after="120" w:line="264" w:lineRule="auto"/>
        <w:jc w:val="left"/>
      </w:pPr>
      <w:bookmarkStart w:id="67" w:name="_h53"/>
      <w:r>
        <w:rPr>
          <w:rFonts w:ascii="Barlow Condensed SemiBold" w:hAnsi="Barlow Condensed SemiBold" w:cs="Barlow Condensed SemiBold" w:eastAsia="Barlow Condensed SemiBold"/>
          <w:color w:val="007614"/>
          <w:sz w:val="30"/>
          <w:szCs w:val="30"/>
        </w:rPr>
        <w:t xml:space="preserve">A.1 Identificação</w:t>
      </w:r>
      <w:bookmarkEnd w:id="67"/>
    </w:p>
    <w:p>
      <w:pPr>
        <w:keepNext/>
        <w:spacing w:before="0" w:after="0" w:line="160" w:lineRule="exact"/>
        <w:jc w:val="both"/>
      </w:pP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2476"/>
        <w:gridCol w:w="6368"/>
      </w:tblGrid>
      <w:tr>
        <w:trPr>
          <w:tblHeader/>
          <w:cantSplit/>
        </w:trPr>
        <w:tc>
          <w:tcPr>
            <w:tcW w:w="2476"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Campo</w:t>
            </w:r>
          </w:p>
        </w:tc>
        <w:tc>
          <w:tcPr>
            <w:tcW w:w="6368"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Conteúdo</w:t>
            </w:r>
          </w:p>
        </w:tc>
      </w:tr>
      <w:tr>
        <w:trPr>
          <w:cantSplit/>
        </w:trPr>
        <w:tc>
          <w:tcPr>
            <w:tcW w:w="2476"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Denominação</w:t>
            </w:r>
          </w:p>
        </w:tc>
        <w:tc>
          <w:tcPr>
            <w:tcW w:w="636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Índice de Necessidade de Saúde (INS), recortes municipal (INS-M) e distrital (INS-DF)</w:t>
            </w:r>
          </w:p>
        </w:tc>
      </w:tr>
      <w:tr>
        <w:trPr>
          <w:cantSplit/>
        </w:trPr>
        <w:tc>
          <w:tcPr>
            <w:tcW w:w="2476"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Versão</w:t>
            </w:r>
          </w:p>
        </w:tc>
        <w:tc>
          <w:tcPr>
            <w:tcW w:w="636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2.0</w:t>
            </w:r>
          </w:p>
        </w:tc>
      </w:tr>
      <w:tr>
        <w:trPr>
          <w:cantSplit/>
        </w:trPr>
        <w:tc>
          <w:tcPr>
            <w:tcW w:w="2476"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Unidade de análise</w:t>
            </w:r>
          </w:p>
        </w:tc>
        <w:tc>
          <w:tcPr>
            <w:tcW w:w="636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Município (5.570 unidades); Região Administrativa do Distrito Federal (35 unidades)</w:t>
            </w:r>
          </w:p>
        </w:tc>
      </w:tr>
      <w:tr>
        <w:trPr>
          <w:cantSplit/>
        </w:trPr>
        <w:tc>
          <w:tcPr>
            <w:tcW w:w="2476"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Natureza</w:t>
            </w:r>
          </w:p>
        </w:tc>
        <w:tc>
          <w:tcPr>
            <w:tcW w:w="636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Indicador sintético, contínuo e relativo, expresso no intervalo de 0 a 1, em que valores maiores indicam maior necessidade</w:t>
            </w:r>
          </w:p>
        </w:tc>
      </w:tr>
      <w:tr>
        <w:trPr>
          <w:cantSplit/>
        </w:trPr>
        <w:tc>
          <w:tcPr>
            <w:tcW w:w="2476"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Finalidade</w:t>
            </w:r>
          </w:p>
        </w:tc>
        <w:tc>
          <w:tcPr>
            <w:tcW w:w="636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Alocação de recursos, pactuação interfederativa, planejamento regional, pesquisa sobre determinação social e escolha de territórios no âmbito da PICAPS</w:t>
            </w:r>
          </w:p>
        </w:tc>
      </w:tr>
      <w:tr>
        <w:trPr>
          <w:cantSplit/>
        </w:trPr>
        <w:tc>
          <w:tcPr>
            <w:tcW w:w="2476"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Periodicidade</w:t>
            </w:r>
          </w:p>
        </w:tc>
        <w:tc>
          <w:tcPr>
            <w:tcW w:w="636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Anual (INS Dinâmico); integral revisto a cada atualização de fonte estrutural (no DF, a cada edição da PDAD)</w:t>
            </w:r>
          </w:p>
        </w:tc>
      </w:tr>
      <w:tr>
        <w:trPr>
          <w:cantSplit/>
        </w:trPr>
        <w:tc>
          <w:tcPr>
            <w:tcW w:w="2476"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Instrumento associado</w:t>
            </w:r>
          </w:p>
        </w:tc>
        <w:tc>
          <w:tcPr>
            <w:tcW w:w="636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Painel de Vigilância Integrada e mapa da cartografia social do Protocolo de Inteligência Territorial, para a leitura dentro dos territórios</w:t>
            </w:r>
          </w:p>
        </w:tc>
      </w:tr>
    </w:tbl>
    <w:p>
      <w:pPr>
        <w:spacing w:before="0" w:after="0" w:line="220" w:lineRule="exact"/>
        <w:jc w:val="both"/>
      </w:pPr>
    </w:p>
    <w:p>
      <w:pPr>
        <w:pStyle w:val="Heading2"/>
        <w:keepNext/>
        <w:spacing w:before="340" w:after="120" w:line="264" w:lineRule="auto"/>
        <w:jc w:val="left"/>
      </w:pPr>
      <w:bookmarkStart w:id="68" w:name="_h54"/>
      <w:r>
        <w:rPr>
          <w:rFonts w:ascii="Barlow Condensed SemiBold" w:hAnsi="Barlow Condensed SemiBold" w:cs="Barlow Condensed SemiBold" w:eastAsia="Barlow Condensed SemiBold"/>
          <w:color w:val="007614"/>
          <w:sz w:val="30"/>
          <w:szCs w:val="30"/>
        </w:rPr>
        <w:t xml:space="preserve">A.2 Definição operacional do construto</w:t>
      </w:r>
      <w:bookmarkEnd w:id="68"/>
    </w:p>
    <w:p>
      <w:pPr>
        <w:spacing w:before="0" w:after="140" w:line="300" w:lineRule="auto"/>
        <w:jc w:val="both"/>
      </w:pPr>
      <w:r>
        <w:rPr>
          <w:rFonts w:ascii="Barlow" w:hAnsi="Barlow" w:cs="Barlow" w:eastAsia="Barlow"/>
          <w:color w:val="0F2440"/>
          <w:sz w:val="20"/>
          <w:szCs w:val="20"/>
        </w:rPr>
        <w:t xml:space="preserve">O INS mede a necessidade potencial de saúde de um território, definida como o volume e a composição de cuidado que sua estrutura social e demográfica tende a produzir, independentemente de esse cuidado ser procurado, ofertado ou consumido. Não mede necessidade sentida, expressa ou manifesta, nem estado de saúde, nem desempenho do sistema, nem exposição a riscos ambientais.</w:t>
      </w:r>
    </w:p>
    <w:p>
      <w:pPr>
        <w:pStyle w:val="Heading2"/>
        <w:keepNext/>
        <w:spacing w:before="340" w:after="120" w:line="264" w:lineRule="auto"/>
        <w:jc w:val="left"/>
      </w:pPr>
      <w:bookmarkStart w:id="69" w:name="_h55"/>
      <w:r>
        <w:rPr>
          <w:rFonts w:ascii="Barlow Condensed SemiBold" w:hAnsi="Barlow Condensed SemiBold" w:cs="Barlow Condensed SemiBold" w:eastAsia="Barlow Condensed SemiBold"/>
          <w:color w:val="007614"/>
          <w:sz w:val="30"/>
          <w:szCs w:val="30"/>
        </w:rPr>
        <w:t xml:space="preserve">A.3 Composição</w:t>
      </w:r>
      <w:bookmarkEnd w:id="69"/>
    </w:p>
    <w:p>
      <w:pPr>
        <w:spacing w:before="0" w:after="140" w:line="300" w:lineRule="auto"/>
        <w:jc w:val="both"/>
      </w:pPr>
      <w:r>
        <w:rPr>
          <w:rFonts w:ascii="Barlow" w:hAnsi="Barlow" w:cs="Barlow" w:eastAsia="Barlow"/>
          <w:color w:val="0F2440"/>
          <w:sz w:val="20"/>
          <w:szCs w:val="20"/>
        </w:rPr>
        <w:t xml:space="preserve">Onze indicadores em quatro dimensões: A, privação material e de renda (A1 a A3); B, privação educacional (B1 a B3); C, composição demográfica e dependência do SUS (C1 a C3); D, barreiras territoriais (D1 e D2). O INS Dinâmico usa A1, A2, A3, B1, B2, C1, C2 e C3. A especificação completa consta do Anexo B.</w:t>
      </w:r>
    </w:p>
    <w:p>
      <w:pPr>
        <w:pStyle w:val="Heading2"/>
        <w:keepNext/>
        <w:spacing w:before="340" w:after="120" w:line="264" w:lineRule="auto"/>
        <w:jc w:val="left"/>
      </w:pPr>
      <w:bookmarkStart w:id="70" w:name="_h56"/>
      <w:r>
        <w:rPr>
          <w:rFonts w:ascii="Barlow Condensed SemiBold" w:hAnsi="Barlow Condensed SemiBold" w:cs="Barlow Condensed SemiBold" w:eastAsia="Barlow Condensed SemiBold"/>
          <w:color w:val="007614"/>
          <w:sz w:val="30"/>
          <w:szCs w:val="30"/>
        </w:rPr>
        <w:t xml:space="preserve">A.4 Critérios de exclusão aplicados</w:t>
      </w:r>
      <w:bookmarkEnd w:id="70"/>
    </w:p>
    <w:p>
      <w:pPr>
        <w:spacing w:before="0" w:after="140" w:line="300" w:lineRule="auto"/>
        <w:jc w:val="both"/>
      </w:pPr>
      <w:r>
        <w:rPr>
          <w:rFonts w:ascii="Barlow" w:hAnsi="Barlow" w:cs="Barlow" w:eastAsia="Barlow"/>
          <w:color w:val="0F2440"/>
          <w:sz w:val="20"/>
          <w:szCs w:val="20"/>
        </w:rPr>
        <w:t xml:space="preserve">Excluídos do escore: indicadores de morbidade e mortalidade, por endogeneidade e por erro de medida diferencial; indicadores de oferta e cobertura assistencial, por inversão de sentido; índices compostos preexistentes cujas variáveis-fonte integrem a cesta, por dupla contagem; indicadores de capacidade fiscal ou de gestão, por medirem condição de resposta; e indicadores sem cobertura universal.</w:t>
      </w:r>
    </w:p>
    <w:p>
      <w:pPr>
        <w:pStyle w:val="Heading2"/>
        <w:keepNext/>
        <w:spacing w:before="340" w:after="120" w:line="264" w:lineRule="auto"/>
        <w:jc w:val="left"/>
      </w:pPr>
      <w:bookmarkStart w:id="71" w:name="_h57"/>
      <w:r>
        <w:rPr>
          <w:rFonts w:ascii="Barlow Condensed SemiBold" w:hAnsi="Barlow Condensed SemiBold" w:cs="Barlow Condensed SemiBold" w:eastAsia="Barlow Condensed SemiBold"/>
          <w:color w:val="007614"/>
          <w:sz w:val="30"/>
          <w:szCs w:val="30"/>
        </w:rPr>
        <w:t xml:space="preserve">A.5 Procedimento de cálculo</w:t>
      </w:r>
      <w:bookmarkEnd w:id="71"/>
    </w:p>
    <w:p>
      <w:pPr>
        <w:pStyle w:val="ListParagraph"/>
        <w:numPr>
          <w:ilvl w:val="0"/>
          <w:numId w:val="16"/>
        </w:numPr>
        <w:spacing w:before="0" w:after="80" w:line="290" w:lineRule="auto"/>
        <w:jc w:val="both"/>
      </w:pPr>
      <w:r>
        <w:rPr>
          <w:rFonts w:ascii="Barlow" w:hAnsi="Barlow" w:cs="Barlow" w:eastAsia="Barlow"/>
          <w:color w:val="0F2440"/>
          <w:sz w:val="20"/>
          <w:szCs w:val="20"/>
        </w:rPr>
        <w:t xml:space="preserve">Harmonização de denominadores nas estimativas populacionais do IBGE do ano de referência; compatibilização da malha; winsorização no percentil 99 sobre extremos identificados pelo critério IQR × 3; imputação de faltantes pela mediana da microrregião; transformação logarítmica de D1.</w:t>
      </w:r>
    </w:p>
    <w:p>
      <w:pPr>
        <w:pStyle w:val="ListParagraph"/>
        <w:numPr>
          <w:ilvl w:val="0"/>
          <w:numId w:val="16"/>
        </w:numPr>
        <w:spacing w:before="0" w:after="80" w:line="290" w:lineRule="auto"/>
        <w:jc w:val="both"/>
      </w:pPr>
      <w:r>
        <w:rPr>
          <w:rFonts w:ascii="Barlow" w:hAnsi="Barlow" w:cs="Barlow" w:eastAsia="Barlow"/>
          <w:color w:val="0F2440"/>
          <w:sz w:val="20"/>
          <w:szCs w:val="20"/>
        </w:rPr>
        <w:t xml:space="preserve">Encadeamento censo-registro para A1, A2 e A3, com correção pelo denominador e truncamento da razão no intervalo [0,5; 2,0]; linha de pobreza fixada em termos reais.</w:t>
      </w:r>
    </w:p>
    <w:p>
      <w:pPr>
        <w:pStyle w:val="ListParagraph"/>
        <w:numPr>
          <w:ilvl w:val="0"/>
          <w:numId w:val="16"/>
        </w:numPr>
        <w:spacing w:before="0" w:after="80" w:line="290" w:lineRule="auto"/>
        <w:jc w:val="both"/>
      </w:pPr>
      <w:r>
        <w:rPr>
          <w:rFonts w:ascii="Barlow" w:hAnsi="Barlow" w:cs="Barlow" w:eastAsia="Barlow"/>
          <w:color w:val="0F2440"/>
          <w:sz w:val="20"/>
          <w:szCs w:val="20"/>
        </w:rPr>
        <w:t xml:space="preserve">Padronização de cada indicador por escore z sobre o universo, com parâmetros fixados na edição de referência.</w:t>
      </w:r>
    </w:p>
    <w:p>
      <w:pPr>
        <w:pStyle w:val="ListParagraph"/>
        <w:numPr>
          <w:ilvl w:val="0"/>
          <w:numId w:val="16"/>
        </w:numPr>
        <w:spacing w:before="0" w:after="80" w:line="290" w:lineRule="auto"/>
        <w:jc w:val="both"/>
      </w:pPr>
      <w:r>
        <w:rPr>
          <w:rFonts w:ascii="Barlow" w:hAnsi="Barlow" w:cs="Barlow" w:eastAsia="Barlow"/>
          <w:color w:val="0F2440"/>
          <w:sz w:val="20"/>
          <w:szCs w:val="20"/>
        </w:rPr>
        <w:t xml:space="preserve">Soma dos escores z de cada dimensão com pesos iguais, seguida de repadronização.</w:t>
      </w:r>
    </w:p>
    <w:p>
      <w:pPr>
        <w:pStyle w:val="ListParagraph"/>
        <w:numPr>
          <w:ilvl w:val="0"/>
          <w:numId w:val="16"/>
        </w:numPr>
        <w:spacing w:before="0" w:after="80" w:line="290" w:lineRule="auto"/>
        <w:jc w:val="both"/>
      </w:pPr>
      <w:r>
        <w:rPr>
          <w:rFonts w:ascii="Barlow" w:hAnsi="Barlow" w:cs="Barlow" w:eastAsia="Barlow"/>
          <w:color w:val="0F2440"/>
          <w:sz w:val="20"/>
          <w:szCs w:val="20"/>
        </w:rPr>
        <w:t xml:space="preserve">Soma dos quatro escores de dimensão, com pesos iguais.</w:t>
      </w:r>
    </w:p>
    <w:p>
      <w:pPr>
        <w:pStyle w:val="ListParagraph"/>
        <w:numPr>
          <w:ilvl w:val="0"/>
          <w:numId w:val="16"/>
        </w:numPr>
        <w:spacing w:before="0" w:after="80" w:line="290" w:lineRule="auto"/>
        <w:jc w:val="both"/>
      </w:pPr>
      <w:r>
        <w:rPr>
          <w:rFonts w:ascii="Barlow" w:hAnsi="Barlow" w:cs="Barlow" w:eastAsia="Barlow"/>
          <w:color w:val="0F2440"/>
          <w:sz w:val="20"/>
          <w:szCs w:val="20"/>
        </w:rPr>
        <w:t xml:space="preserve">Transformação à escala de 0 a 1 pela função de distribuição acumulada da normal padrão, com μ e σ fixados na edição de referência; publicação do percentil empírico ao lado.</w:t>
      </w:r>
    </w:p>
    <w:p>
      <w:pPr>
        <w:pStyle w:val="ListParagraph"/>
        <w:numPr>
          <w:ilvl w:val="0"/>
          <w:numId w:val="16"/>
        </w:numPr>
        <w:spacing w:before="0" w:after="180" w:line="290" w:lineRule="auto"/>
        <w:jc w:val="both"/>
      </w:pPr>
      <w:r>
        <w:rPr>
          <w:rFonts w:ascii="Barlow" w:hAnsi="Barlow" w:cs="Barlow" w:eastAsia="Barlow"/>
          <w:color w:val="0F2440"/>
          <w:sz w:val="20"/>
          <w:szCs w:val="20"/>
        </w:rPr>
        <w:t xml:space="preserve">Classificação em quintis, decis e vintis ponderados pela população.</w:t>
      </w:r>
    </w:p>
    <w:p>
      <w:pPr>
        <w:spacing w:before="0" w:after="140" w:line="300" w:lineRule="auto"/>
        <w:jc w:val="both"/>
      </w:pPr>
      <w:r>
        <w:rPr>
          <w:rFonts w:ascii="Barlow" w:hAnsi="Barlow" w:cs="Barlow" w:eastAsia="Barlow"/>
          <w:color w:val="0F2440"/>
          <w:sz w:val="20"/>
          <w:szCs w:val="20"/>
        </w:rPr>
        <w:t xml:space="preserve">Interpretação: o índice varia de 0 a 1, na convenção do IVS, em que valores maiores indicam maior necessidade. A escala é relativa. A leitura do valor como percentil é aproximada e depende da normalidade do escore composto; para afirmações de posição, usa-se o percentil empírico. Para uso analítico, permanece disponível o escore composto padronizado, em que zero indica necessidade média nacional.</w:t>
      </w:r>
    </w:p>
    <w:p>
      <w:pPr>
        <w:pStyle w:val="Heading2"/>
        <w:keepNext/>
        <w:spacing w:before="340" w:after="120" w:line="264" w:lineRule="auto"/>
        <w:jc w:val="left"/>
      </w:pPr>
      <w:bookmarkStart w:id="72" w:name="_h58"/>
      <w:r>
        <w:rPr>
          <w:rFonts w:ascii="Barlow Condensed SemiBold" w:hAnsi="Barlow Condensed SemiBold" w:cs="Barlow Condensed SemiBold" w:eastAsia="Barlow Condensed SemiBold"/>
          <w:color w:val="007614"/>
          <w:sz w:val="30"/>
          <w:szCs w:val="30"/>
        </w:rPr>
        <w:t xml:space="preserve">A.6 Ponderação</w:t>
      </w:r>
      <w:bookmarkEnd w:id="72"/>
    </w:p>
    <w:p>
      <w:pPr>
        <w:spacing w:before="0" w:after="140" w:line="300" w:lineRule="auto"/>
        <w:jc w:val="both"/>
      </w:pPr>
      <w:r>
        <w:rPr>
          <w:rFonts w:ascii="Barlow" w:hAnsi="Barlow" w:cs="Barlow" w:eastAsia="Barlow"/>
          <w:color w:val="0F2440"/>
          <w:sz w:val="20"/>
          <w:szCs w:val="20"/>
        </w:rPr>
        <w:t xml:space="preserve">A ponderação é igual entre indicadores dentro de cada dimensão e igual entre dimensões. Trata-se de decisão normativa, e não de resultado empírico: afirma-se que as quatro dimensões contribuem igualmente para a produção de necessidade. A opção segue a tradição de Carstairs e é preferida à ponderação derivada de componentes principais, que produz pesos dependentes da amostra e do ano, muda a cada recálculo, destrói a comparabilidade intertemporal e é opaca ao gestor. A escolha é submetida a análise de sensibilidade, cujos resultados acompanham cada publicação.</w:t>
      </w:r>
    </w:p>
    <w:p>
      <w:pPr>
        <w:pStyle w:val="Heading2"/>
        <w:keepNext/>
        <w:spacing w:before="340" w:after="120" w:line="264" w:lineRule="auto"/>
        <w:jc w:val="left"/>
      </w:pPr>
      <w:bookmarkStart w:id="73" w:name="_h59"/>
      <w:r>
        <w:rPr>
          <w:rFonts w:ascii="Barlow Condensed SemiBold" w:hAnsi="Barlow Condensed SemiBold" w:cs="Barlow Condensed SemiBold" w:eastAsia="Barlow Condensed SemiBold"/>
          <w:color w:val="007614"/>
          <w:sz w:val="30"/>
          <w:szCs w:val="30"/>
        </w:rPr>
        <w:t xml:space="preserve">A.7 Tratamento da incerteza</w:t>
      </w:r>
      <w:bookmarkEnd w:id="73"/>
    </w:p>
    <w:p>
      <w:pPr>
        <w:spacing w:before="0" w:after="140" w:line="300" w:lineRule="auto"/>
        <w:jc w:val="both"/>
      </w:pPr>
      <w:r>
        <w:rPr>
          <w:rFonts w:ascii="Barlow" w:hAnsi="Barlow" w:cs="Barlow" w:eastAsia="Barlow"/>
          <w:color w:val="0F2440"/>
          <w:sz w:val="20"/>
          <w:szCs w:val="20"/>
        </w:rPr>
        <w:t xml:space="preserve">Dois métodos: variação aleatória dos pesos, com análise dos efeitos sobre a classificação; e simulação de numeradores por mil amostras binomiais por indicador. Reporta-se o intervalo de 95% da posição de cada unidade. Municípios com menos de 5.000 habitantes recebem sinalização específica. No INS-DF, os intervalos incorporam o desenho amostral da PDAD.</w:t>
      </w:r>
    </w:p>
    <w:p>
      <w:pPr>
        <w:pStyle w:val="Heading2"/>
        <w:keepNext/>
        <w:spacing w:before="340" w:after="120" w:line="264" w:lineRule="auto"/>
        <w:jc w:val="left"/>
      </w:pPr>
      <w:bookmarkStart w:id="74" w:name="_h60"/>
      <w:r>
        <w:rPr>
          <w:rFonts w:ascii="Barlow Condensed SemiBold" w:hAnsi="Barlow Condensed SemiBold" w:cs="Barlow Condensed SemiBold" w:eastAsia="Barlow Condensed SemiBold"/>
          <w:color w:val="007614"/>
          <w:sz w:val="30"/>
          <w:szCs w:val="30"/>
        </w:rPr>
        <w:t xml:space="preserve">A.8 Meta-indicadores de qualidade</w:t>
      </w:r>
      <w:bookmarkEnd w:id="74"/>
    </w:p>
    <w:p>
      <w:pPr>
        <w:spacing w:before="0" w:after="140" w:line="300" w:lineRule="auto"/>
        <w:jc w:val="both"/>
      </w:pPr>
      <w:r>
        <w:rPr>
          <w:rFonts w:ascii="Barlow" w:hAnsi="Barlow" w:cs="Barlow" w:eastAsia="Barlow"/>
          <w:color w:val="0F2440"/>
          <w:sz w:val="20"/>
          <w:szCs w:val="20"/>
        </w:rPr>
        <w:t xml:space="preserve">Acompanham obrigatoriamente cada publicação e não integram o escore:</w:t>
      </w:r>
    </w:p>
    <w:p>
      <w:pPr>
        <w:keepNext/>
        <w:spacing w:before="0" w:after="0" w:line="160" w:lineRule="exact"/>
        <w:jc w:val="both"/>
      </w:pP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884"/>
        <w:gridCol w:w="4422"/>
        <w:gridCol w:w="3538"/>
      </w:tblGrid>
      <w:tr>
        <w:trPr>
          <w:tblHeader/>
          <w:cantSplit/>
        </w:trPr>
        <w:tc>
          <w:tcPr>
            <w:tcW w:w="88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Código</w:t>
            </w:r>
          </w:p>
        </w:tc>
        <w:tc>
          <w:tcPr>
            <w:tcW w:w="4422"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Meta-indicador</w:t>
            </w:r>
          </w:p>
        </w:tc>
        <w:tc>
          <w:tcPr>
            <w:tcW w:w="3538"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Uso</w:t>
            </w:r>
          </w:p>
        </w:tc>
      </w:tr>
      <w:tr>
        <w:trPr>
          <w:cantSplit/>
        </w:trPr>
        <w:tc>
          <w:tcPr>
            <w:tcW w:w="88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Q1</w:t>
            </w:r>
          </w:p>
        </w:tc>
        <w:tc>
          <w:tcPr>
            <w:tcW w:w="442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Cobertura do CadÚnico sobre a população elegível estimada</w:t>
            </w:r>
          </w:p>
        </w:tc>
        <w:tc>
          <w:tcPr>
            <w:tcW w:w="353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Sinalizar municípios em que A1 e A3 podem estar contaminados por capacidade administrativa</w:t>
            </w:r>
          </w:p>
        </w:tc>
      </w:tr>
      <w:tr>
        <w:trPr>
          <w:cantSplit/>
        </w:trPr>
        <w:tc>
          <w:tcPr>
            <w:tcW w:w="88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Q2</w:t>
            </w:r>
          </w:p>
        </w:tc>
        <w:tc>
          <w:tcPr>
            <w:tcW w:w="442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Situação de reporte ao SINISA no ano de referência</w:t>
            </w:r>
          </w:p>
        </w:tc>
        <w:tc>
          <w:tcPr>
            <w:tcW w:w="353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Sinalizar municípios em que A2 permanece no valor censitário</w:t>
            </w:r>
          </w:p>
        </w:tc>
      </w:tr>
      <w:tr>
        <w:trPr>
          <w:cantSplit/>
        </w:trPr>
        <w:tc>
          <w:tcPr>
            <w:tcW w:w="88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Q3</w:t>
            </w:r>
          </w:p>
        </w:tc>
        <w:tc>
          <w:tcPr>
            <w:tcW w:w="442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Razão de encadeamento aplicada e indicação de truncamento</w:t>
            </w:r>
          </w:p>
        </w:tc>
        <w:tc>
          <w:tcPr>
            <w:tcW w:w="353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Auditoria do procedimento de atualização</w:t>
            </w:r>
          </w:p>
        </w:tc>
      </w:tr>
      <w:tr>
        <w:trPr>
          <w:cantSplit/>
        </w:trPr>
        <w:tc>
          <w:tcPr>
            <w:tcW w:w="88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Q4</w:t>
            </w:r>
          </w:p>
        </w:tc>
        <w:tc>
          <w:tcPr>
            <w:tcW w:w="442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Proporção de indicadores imputados por município</w:t>
            </w:r>
          </w:p>
        </w:tc>
        <w:tc>
          <w:tcPr>
            <w:tcW w:w="353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Sinalizar escores de confiabilidade reduzida</w:t>
            </w:r>
          </w:p>
        </w:tc>
      </w:tr>
      <w:tr>
        <w:trPr>
          <w:cantSplit/>
        </w:trPr>
        <w:tc>
          <w:tcPr>
            <w:tcW w:w="88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Q5</w:t>
            </w:r>
          </w:p>
        </w:tc>
        <w:tc>
          <w:tcPr>
            <w:tcW w:w="442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Completude estimada do registro de óbitos</w:t>
            </w:r>
          </w:p>
        </w:tc>
        <w:tc>
          <w:tcPr>
            <w:tcW w:w="353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Correção obrigatória dos desfechos de validação</w:t>
            </w:r>
          </w:p>
        </w:tc>
      </w:tr>
      <w:tr>
        <w:trPr>
          <w:cantSplit/>
        </w:trPr>
        <w:tc>
          <w:tcPr>
            <w:tcW w:w="88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Q6</w:t>
            </w:r>
          </w:p>
        </w:tc>
        <w:tc>
          <w:tcPr>
            <w:tcW w:w="4422"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Porte populacional inferior a 5.000 habitantes</w:t>
            </w:r>
          </w:p>
        </w:tc>
        <w:tc>
          <w:tcPr>
            <w:tcW w:w="3538" w:type="dxa"/>
            <w:shd w:val="clear" w:color="auto" w:fill="E9F2EB"/>
            <w:vAlign w:val="top"/>
          </w:tcPr>
          <w:p>
            <w:pPr>
              <w:spacing w:before="0" w:after="0" w:line="252" w:lineRule="auto"/>
              <w:jc w:val="left"/>
            </w:pPr>
            <w:r>
              <w:rPr>
                <w:rFonts w:ascii="Barlow" w:hAnsi="Barlow" w:cs="Barlow" w:eastAsia="Barlow"/>
                <w:color w:val="0F2440"/>
                <w:sz w:val="17"/>
                <w:szCs w:val="17"/>
              </w:rPr>
              <w:t xml:space="preserve">Sinalizar intervalo de incerteza ampliado</w:t>
            </w:r>
          </w:p>
        </w:tc>
      </w:tr>
      <w:tr>
        <w:trPr>
          <w:cantSplit/>
        </w:trPr>
        <w:tc>
          <w:tcPr>
            <w:tcW w:w="88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Q7</w:t>
            </w:r>
          </w:p>
        </w:tc>
        <w:tc>
          <w:tcPr>
            <w:tcW w:w="4422" w:type="dxa"/>
            <w:shd w:val="clear" w:color="auto" w:fill="FFFFFF"/>
            <w:vAlign w:val="top"/>
          </w:tcPr>
          <w:p>
            <w:pPr>
              <w:spacing w:before="0" w:after="0" w:line="252" w:lineRule="auto"/>
              <w:jc w:val="left"/>
            </w:pPr>
            <w:r>
              <w:rPr>
                <w:rFonts w:ascii="Barlow" w:hAnsi="Barlow" w:cs="Barlow" w:eastAsia="Barlow"/>
                <w:color w:val="0F2440"/>
                <w:sz w:val="17"/>
                <w:szCs w:val="17"/>
              </w:rPr>
              <w:t xml:space="preserve">Teste de aderência à normal do escore composto</w:t>
            </w:r>
          </w:p>
        </w:tc>
        <w:tc>
          <w:tcPr>
            <w:tcW w:w="3538" w:type="dxa"/>
            <w:shd w:val="clear" w:color="auto" w:fill="FFFFFF"/>
            <w:vAlign w:val="top"/>
          </w:tcPr>
          <w:p>
            <w:pPr>
              <w:spacing w:before="0" w:after="0" w:line="252" w:lineRule="auto"/>
              <w:jc w:val="left"/>
            </w:pPr>
            <w:r>
              <w:rPr>
                <w:rFonts w:ascii="Barlow" w:hAnsi="Barlow" w:cs="Barlow" w:eastAsia="Barlow"/>
                <w:color w:val="0F2440"/>
                <w:sz w:val="17"/>
                <w:szCs w:val="17"/>
              </w:rPr>
              <w:t xml:space="preserve">Delimitar a leitura do valor de 0 a 1 como percentil</w:t>
            </w:r>
          </w:p>
        </w:tc>
      </w:tr>
    </w:tbl>
    <w:p>
      <w:pPr>
        <w:spacing w:before="0" w:after="0" w:line="220" w:lineRule="exact"/>
        <w:jc w:val="both"/>
      </w:pPr>
    </w:p>
    <w:p>
      <w:pPr>
        <w:pStyle w:val="Heading2"/>
        <w:keepNext/>
        <w:spacing w:before="340" w:after="120" w:line="264" w:lineRule="auto"/>
        <w:jc w:val="left"/>
      </w:pPr>
      <w:bookmarkStart w:id="75" w:name="_h61"/>
      <w:r>
        <w:rPr>
          <w:rFonts w:ascii="Barlow Condensed SemiBold" w:hAnsi="Barlow Condensed SemiBold" w:cs="Barlow Condensed SemiBold" w:eastAsia="Barlow Condensed SemiBold"/>
          <w:color w:val="007614"/>
          <w:sz w:val="30"/>
          <w:szCs w:val="30"/>
        </w:rPr>
        <w:t xml:space="preserve">A.9 Limitações</w:t>
      </w:r>
      <w:bookmarkEnd w:id="75"/>
    </w:p>
    <w:p>
      <w:pPr>
        <w:pStyle w:val="ListParagraph"/>
        <w:numPr>
          <w:ilvl w:val="0"/>
          <w:numId w:val="17"/>
        </w:numPr>
        <w:spacing w:before="0" w:after="80" w:line="290" w:lineRule="auto"/>
        <w:jc w:val="both"/>
      </w:pPr>
      <w:r>
        <w:rPr>
          <w:rFonts w:ascii="Barlow" w:hAnsi="Barlow" w:cs="Barlow" w:eastAsia="Barlow"/>
          <w:color w:val="0F2440"/>
          <w:sz w:val="20"/>
          <w:szCs w:val="20"/>
        </w:rPr>
        <w:t xml:space="preserve">Mede necessidade potencial, não sentida, expressa ou manifesta.</w:t>
      </w:r>
    </w:p>
    <w:p>
      <w:pPr>
        <w:pStyle w:val="ListParagraph"/>
        <w:numPr>
          <w:ilvl w:val="0"/>
          <w:numId w:val="17"/>
        </w:numPr>
        <w:spacing w:before="0" w:after="80" w:line="290" w:lineRule="auto"/>
        <w:jc w:val="both"/>
      </w:pPr>
      <w:r>
        <w:rPr>
          <w:rFonts w:ascii="Barlow" w:hAnsi="Barlow" w:cs="Barlow" w:eastAsia="Barlow"/>
          <w:color w:val="0F2440"/>
          <w:sz w:val="20"/>
          <w:szCs w:val="20"/>
        </w:rPr>
        <w:t xml:space="preserve">É relativo: descreve posição no ordenamento, não suficiência absoluta.</w:t>
      </w:r>
    </w:p>
    <w:p>
      <w:pPr>
        <w:pStyle w:val="ListParagraph"/>
        <w:numPr>
          <w:ilvl w:val="0"/>
          <w:numId w:val="17"/>
        </w:numPr>
        <w:spacing w:before="0" w:after="80" w:line="290" w:lineRule="auto"/>
        <w:jc w:val="both"/>
      </w:pPr>
      <w:r>
        <w:rPr>
          <w:rFonts w:ascii="Barlow" w:hAnsi="Barlow" w:cs="Barlow" w:eastAsia="Barlow"/>
          <w:color w:val="0F2440"/>
          <w:sz w:val="20"/>
          <w:szCs w:val="20"/>
        </w:rPr>
        <w:t xml:space="preserve">Está sujeito à falácia ecológica: descreve territórios, não pessoas, e é vedado o uso para decisões individuais ou familiares.</w:t>
      </w:r>
    </w:p>
    <w:p>
      <w:pPr>
        <w:pStyle w:val="ListParagraph"/>
        <w:numPr>
          <w:ilvl w:val="0"/>
          <w:numId w:val="17"/>
        </w:numPr>
        <w:spacing w:before="0" w:after="80" w:line="290" w:lineRule="auto"/>
        <w:jc w:val="both"/>
      </w:pPr>
      <w:r>
        <w:rPr>
          <w:rFonts w:ascii="Barlow" w:hAnsi="Barlow" w:cs="Barlow" w:eastAsia="Barlow"/>
          <w:color w:val="0F2440"/>
          <w:sz w:val="20"/>
          <w:szCs w:val="20"/>
        </w:rPr>
        <w:t xml:space="preserve">Está sujeito ao problema da unidade de área modificável.</w:t>
      </w:r>
    </w:p>
    <w:p>
      <w:pPr>
        <w:pStyle w:val="ListParagraph"/>
        <w:numPr>
          <w:ilvl w:val="0"/>
          <w:numId w:val="17"/>
        </w:numPr>
        <w:spacing w:before="0" w:after="80" w:line="290" w:lineRule="auto"/>
        <w:jc w:val="both"/>
      </w:pPr>
      <w:r>
        <w:rPr>
          <w:rFonts w:ascii="Barlow" w:hAnsi="Barlow" w:cs="Barlow" w:eastAsia="Barlow"/>
          <w:color w:val="0F2440"/>
          <w:sz w:val="20"/>
          <w:szCs w:val="20"/>
        </w:rPr>
        <w:t xml:space="preserve">Não capta necessidade decorrente de perfis epidemiológicos que não coincidam com o gradiente social.</w:t>
      </w:r>
    </w:p>
    <w:p>
      <w:pPr>
        <w:pStyle w:val="ListParagraph"/>
        <w:numPr>
          <w:ilvl w:val="0"/>
          <w:numId w:val="17"/>
        </w:numPr>
        <w:spacing w:before="0" w:after="80" w:line="290" w:lineRule="auto"/>
        <w:jc w:val="both"/>
      </w:pPr>
      <w:r>
        <w:rPr>
          <w:rFonts w:ascii="Barlow" w:hAnsi="Barlow" w:cs="Barlow" w:eastAsia="Barlow"/>
          <w:color w:val="0F2440"/>
          <w:sz w:val="20"/>
          <w:szCs w:val="20"/>
        </w:rPr>
        <w:t xml:space="preserve">Não incorpora privação social no sentido de Pampalon (isolamento, monoparentalidade, viuvez) nem exposição a riscos ambientais, lida no mapa da cartografia social.</w:t>
      </w:r>
    </w:p>
    <w:p>
      <w:pPr>
        <w:pStyle w:val="ListParagraph"/>
        <w:numPr>
          <w:ilvl w:val="0"/>
          <w:numId w:val="17"/>
        </w:numPr>
        <w:spacing w:before="0" w:after="180" w:line="290" w:lineRule="auto"/>
        <w:jc w:val="both"/>
      </w:pPr>
      <w:r>
        <w:rPr>
          <w:rFonts w:ascii="Barlow" w:hAnsi="Barlow" w:cs="Barlow" w:eastAsia="Barlow"/>
          <w:color w:val="0F2440"/>
          <w:sz w:val="20"/>
          <w:szCs w:val="20"/>
        </w:rPr>
        <w:t xml:space="preserve">Depende de estimativas populacionais intercensitárias, cuja precisão decai com o envelhecimento do Censo.</w:t>
      </w:r>
    </w:p>
    <w:p>
      <w:pPr>
        <w:pStyle w:val="Heading2"/>
        <w:keepNext/>
        <w:spacing w:before="340" w:after="120" w:line="264" w:lineRule="auto"/>
        <w:jc w:val="left"/>
      </w:pPr>
      <w:bookmarkStart w:id="76" w:name="_h62"/>
      <w:r>
        <w:rPr>
          <w:rFonts w:ascii="Barlow Condensed SemiBold" w:hAnsi="Barlow Condensed SemiBold" w:cs="Barlow Condensed SemiBold" w:eastAsia="Barlow Condensed SemiBold"/>
          <w:color w:val="007614"/>
          <w:sz w:val="30"/>
          <w:szCs w:val="30"/>
        </w:rPr>
        <w:t xml:space="preserve">A.10 Reprodutibilidade</w:t>
      </w:r>
      <w:bookmarkEnd w:id="76"/>
    </w:p>
    <w:p>
      <w:pPr>
        <w:spacing w:before="0" w:after="140" w:line="300" w:lineRule="auto"/>
        <w:jc w:val="both"/>
        <w:sectPr>
          <w:headerReference w:type="default" r:id="rId27"/>
          <w:headerReference w:type="even" r:id="rId15"/>
          <w:footerReference w:type="default" r:id="rId16"/>
          <w:footerReference w:type="even" r:id="rId17"/>
          <w:type w:val="nextPage"/>
          <w:pgSz w:w="11906" w:h="16838"/>
          <w:pgMar w:top="1474" w:right="1531" w:bottom="1814" w:left="1531" w:header="850" w:footer="330" w:gutter="0"/>
          <w:cols w:space="720"/>
          <w:docGrid w:linePitch="360"/>
        </w:sectPr>
      </w:pPr>
      <w:r>
        <w:rPr>
          <w:rFonts w:ascii="Barlow" w:hAnsi="Barlow" w:cs="Barlow" w:eastAsia="Barlow"/>
          <w:color w:val="0F2440"/>
          <w:sz w:val="20"/>
          <w:szCs w:val="20"/>
        </w:rPr>
        <w:t xml:space="preserve">O cálculo é publicado com código-fonte aberto, base de entrada, base de saída, parâmetros de padronização e dicionário de variáveis. Recomenda-se implementação em R, com registro das versões de pacotes, e depósito do plano analítico em repositório de acesso aberto antes da execução, de modo que os critérios de decisão sejam verificáveis como anteriores aos resultados.</w:t>
      </w:r>
    </w:p>
    <w:p>
      <w:pPr>
        <w:pStyle w:val="Heading1"/>
        <w:pBdr>
          <w:bottom w:val="single" w:sz="12" w:space="10" w:color="007614"/>
        </w:pBdr>
        <w:spacing w:before="120" w:after="380" w:line="600" w:lineRule="exact"/>
        <w:jc w:val="left"/>
      </w:pPr>
      <w:bookmarkStart w:id="77" w:name="_h63"/>
      <w:r>
        <w:rPr>
          <w:rFonts w:ascii="Barlow Condensed" w:hAnsi="Barlow Condensed" w:cs="Barlow Condensed" w:eastAsia="Barlow Condensed"/>
          <w:b/>
          <w:bCs/>
          <w:color w:val="007614"/>
          <w:sz w:val="52"/>
          <w:szCs w:val="52"/>
        </w:rPr>
        <w:t xml:space="preserve">ANEXO B — </w:t>
      </w:r>
      <w:r>
        <w:rPr>
          <w:rFonts w:ascii="Barlow Condensed" w:hAnsi="Barlow Condensed" w:cs="Barlow Condensed" w:eastAsia="Barlow Condensed"/>
          <w:b/>
          <w:bCs/>
          <w:color w:val="01366F"/>
          <w:sz w:val="52"/>
          <w:szCs w:val="52"/>
        </w:rPr>
        <w:t xml:space="preserve">DICIONÁRIO DE VARIÁVEIS E INDICADORES</w:t>
      </w:r>
      <w:bookmarkEnd w:id="77"/>
    </w:p>
    <w:p>
      <w:pPr>
        <w:spacing w:before="0" w:after="140" w:line="300" w:lineRule="auto"/>
        <w:jc w:val="both"/>
      </w:pPr>
      <w:r>
        <w:rPr>
          <w:rFonts w:ascii="Barlow" w:hAnsi="Barlow" w:cs="Barlow" w:eastAsia="Barlow"/>
          <w:color w:val="0F2440"/>
          <w:sz w:val="20"/>
          <w:szCs w:val="20"/>
        </w:rPr>
        <w:t xml:space="preserve">Convenções: polaridade positiva significa que valor maior do indicador corresponde a maior necessidade. Todos os indicadores são proporções expressas em percentual, salvo indicação em contrário. O código identifica dimensão e ordem. As fichas referem-se ao INS-M; as adaptações do INS-DF constam do Quadro 11.</w:t>
      </w:r>
    </w:p>
    <w:p>
      <w:pPr>
        <w:keepNext/>
        <w:spacing w:before="200" w:after="100" w:line="264" w:lineRule="auto"/>
        <w:jc w:val="left"/>
      </w:pPr>
      <w:r>
        <w:rPr>
          <w:rFonts w:ascii="Barlow Condensed SemiBold" w:hAnsi="Barlow Condensed SemiBold" w:cs="Barlow Condensed SemiBold" w:eastAsia="Barlow Condensed SemiBold"/>
          <w:color w:val="007614"/>
          <w:sz w:val="21"/>
          <w:szCs w:val="21"/>
        </w:rPr>
        <w:t xml:space="preserve">Ficha A1 – </w:t>
      </w:r>
      <w:r>
        <w:rPr>
          <w:rFonts w:ascii="Barlow Condensed SemiBold" w:hAnsi="Barlow Condensed SemiBold" w:cs="Barlow Condensed SemiBold" w:eastAsia="Barlow Condensed SemiBold"/>
          <w:color w:val="01366F"/>
          <w:sz w:val="21"/>
          <w:szCs w:val="21"/>
        </w:rPr>
        <w:t xml:space="preserve">Baixa renda</w:t>
      </w: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1944"/>
        <w:gridCol w:w="6900"/>
      </w:tblGrid>
      <w:tr>
        <w:trPr>
          <w:tblHeader/>
          <w:cantSplit/>
        </w:trPr>
        <w:tc>
          <w:tcPr>
            <w:tcW w:w="194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Campo</w:t>
            </w:r>
          </w:p>
        </w:tc>
        <w:tc>
          <w:tcPr>
            <w:tcW w:w="690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Especificação</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Definição</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Proporção da população em famílias com renda per capita igual ou inferior a meio salário-mínimo do ano do Censo, corrigido anualmente pelo INPC</w:t>
            </w:r>
          </w:p>
        </w:tc>
      </w:tr>
      <w:tr>
        <w:trPr>
          <w:cantSplit/>
        </w:trPr>
        <w:tc>
          <w:tcPr>
            <w:tcW w:w="194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Justificativa</w:t>
            </w:r>
          </w:p>
        </w:tc>
        <w:tc>
          <w:tcPr>
            <w:tcW w:w="690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 linha coincide com o critério de baixa renda do Cadastro Único, o que confere ao indicador validade de política pública além da estatística</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Numerador</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Nível: pessoas em domicílios com rendimento domiciliar per capita abaixo da linha (Censo 2022). Variação: pessoas em famílias do Cadastro Único abaixo da linha</w:t>
            </w:r>
          </w:p>
        </w:tc>
      </w:tr>
      <w:tr>
        <w:trPr>
          <w:cantSplit/>
        </w:trPr>
        <w:tc>
          <w:tcPr>
            <w:tcW w:w="194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Denominador</w:t>
            </w:r>
          </w:p>
        </w:tc>
        <w:tc>
          <w:tcPr>
            <w:tcW w:w="690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População residente (Censo 2022 para o nível; estimativa do IBGE do ano t para a atualização)</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Fórmula</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A1(m,t) = A1(m,c) × [N(m,t) / N(m,c)] / [P(m,t) / P(m,c)], com N = pessoas abaixo da linha no Cadastro Único e a razão truncada em [0,5; 2,0]</w:t>
            </w:r>
          </w:p>
        </w:tc>
      </w:tr>
      <w:tr>
        <w:trPr>
          <w:cantSplit/>
        </w:trPr>
        <w:tc>
          <w:tcPr>
            <w:tcW w:w="194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Periodicidade</w:t>
            </w:r>
          </w:p>
        </w:tc>
        <w:tc>
          <w:tcPr>
            <w:tcW w:w="690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Mensal (média móvel de 12 meses); cálculo anual</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Defasagem</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2 a 3 meses</w:t>
            </w:r>
          </w:p>
        </w:tc>
      </w:tr>
      <w:tr>
        <w:trPr>
          <w:cantSplit/>
        </w:trPr>
        <w:tc>
          <w:tcPr>
            <w:tcW w:w="194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Tratamento</w:t>
            </w:r>
          </w:p>
        </w:tc>
        <w:tc>
          <w:tcPr>
            <w:tcW w:w="690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Sinalização de municípios com variação de cobertura superior a 20% em relação ao ano anterior</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Limitações</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Renda declarada é subestimada nos extremos; ignora renda não monetária; sem ajuste por custo de vida regional; viés de cobertura do Cadastro Único mitigado, não eliminado</w:t>
            </w:r>
          </w:p>
        </w:tc>
      </w:tr>
    </w:tbl>
    <w:p>
      <w:pPr>
        <w:spacing w:before="0" w:after="0" w:line="220" w:lineRule="exact"/>
        <w:jc w:val="both"/>
      </w:pPr>
    </w:p>
    <w:p>
      <w:pPr>
        <w:keepNext/>
        <w:spacing w:before="200" w:after="100" w:line="264" w:lineRule="auto"/>
        <w:jc w:val="left"/>
      </w:pPr>
      <w:r>
        <w:rPr>
          <w:rFonts w:ascii="Barlow Condensed SemiBold" w:hAnsi="Barlow Condensed SemiBold" w:cs="Barlow Condensed SemiBold" w:eastAsia="Barlow Condensed SemiBold"/>
          <w:color w:val="007614"/>
          <w:sz w:val="21"/>
          <w:szCs w:val="21"/>
        </w:rPr>
        <w:t xml:space="preserve">Ficha A2 – </w:t>
      </w:r>
      <w:r>
        <w:rPr>
          <w:rFonts w:ascii="Barlow Condensed SemiBold" w:hAnsi="Barlow Condensed SemiBold" w:cs="Barlow Condensed SemiBold" w:eastAsia="Barlow Condensed SemiBold"/>
          <w:color w:val="01366F"/>
          <w:sz w:val="21"/>
          <w:szCs w:val="21"/>
        </w:rPr>
        <w:t xml:space="preserve">Saneamento inadequado</w:t>
      </w: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1944"/>
        <w:gridCol w:w="6900"/>
      </w:tblGrid>
      <w:tr>
        <w:trPr>
          <w:tblHeader/>
          <w:cantSplit/>
        </w:trPr>
        <w:tc>
          <w:tcPr>
            <w:tcW w:w="194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Campo</w:t>
            </w:r>
          </w:p>
        </w:tc>
        <w:tc>
          <w:tcPr>
            <w:tcW w:w="690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Especificação</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Definição</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Média aritmética das proporções de domicílios sem abastecimento de água por rede geral, poço ou nascente; sem esgotamento por rede geral, rede pluvial ou fossa séptica; e sem coleta de lixo por serviço de limpeza ou caçamba</w:t>
            </w:r>
          </w:p>
        </w:tc>
      </w:tr>
      <w:tr>
        <w:trPr>
          <w:cantSplit/>
        </w:trPr>
        <w:tc>
          <w:tcPr>
            <w:tcW w:w="194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Justificativa</w:t>
            </w:r>
          </w:p>
        </w:tc>
        <w:tc>
          <w:tcPr>
            <w:tcW w:w="690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 média de três carências confere robustez ao efeito de piso que afeta cada quesito isolado; é a dimensão com plausibilidade causal mais direta sobre desfechos infecciosos</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Denominador</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Domicílios particulares permanentes ocupados</w:t>
            </w:r>
          </w:p>
        </w:tc>
      </w:tr>
      <w:tr>
        <w:trPr>
          <w:cantSplit/>
        </w:trPr>
        <w:tc>
          <w:tcPr>
            <w:tcW w:w="194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Fórmula</w:t>
            </w:r>
          </w:p>
        </w:tc>
        <w:tc>
          <w:tcPr>
            <w:tcW w:w="690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Água e coleta de lixo: d̂k(m,t) = dk(m,c) × [(100 − IAk(m,t)) / (100 − IAk(m,c))], com IA = índice de atendimento do SINISA (atualização aditiva se o déficit de base for zero). Esgotamento: encadeado pelo indicador do SINISA que inclui soluções individuais adequadas, se disponível; caso contrário, mantém-se o valor censitário. A2 = média dos três componentes</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Periodicidade</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Anual</w:t>
            </w:r>
          </w:p>
        </w:tc>
      </w:tr>
      <w:tr>
        <w:trPr>
          <w:cantSplit/>
        </w:trPr>
        <w:tc>
          <w:tcPr>
            <w:tcW w:w="194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Defasagem</w:t>
            </w:r>
          </w:p>
        </w:tc>
        <w:tc>
          <w:tcPr>
            <w:tcW w:w="690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12 a 18 meses</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Tratamento</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Sem reporte ao SINISA: mantém-se o valor censitário e o município é sinalizado</w:t>
            </w:r>
          </w:p>
        </w:tc>
      </w:tr>
      <w:tr>
        <w:trPr>
          <w:cantSplit/>
        </w:trPr>
        <w:tc>
          <w:tcPr>
            <w:tcW w:w="194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Limitações</w:t>
            </w:r>
          </w:p>
        </w:tc>
        <w:tc>
          <w:tcPr>
            <w:tcW w:w="690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Fossa séptica tratada como adequada, o que é discutível em áreas densas com lençol freático raso; o índice de atendimento por rede não equivale à carência censitária, que aceita fossa séptica; ligação à rede não implica tratamento do efluente; o ano-base (2022) vem do SNIS e exige ponte documentada com o SINISA; reporte correlacionado com o porte</w:t>
            </w:r>
          </w:p>
        </w:tc>
      </w:tr>
    </w:tbl>
    <w:p>
      <w:pPr>
        <w:spacing w:before="0" w:after="0" w:line="220" w:lineRule="exact"/>
        <w:jc w:val="both"/>
      </w:pPr>
    </w:p>
    <w:p>
      <w:pPr>
        <w:keepNext/>
        <w:spacing w:before="200" w:after="100" w:line="264" w:lineRule="auto"/>
        <w:jc w:val="left"/>
      </w:pPr>
      <w:r>
        <w:rPr>
          <w:rFonts w:ascii="Barlow Condensed SemiBold" w:hAnsi="Barlow Condensed SemiBold" w:cs="Barlow Condensed SemiBold" w:eastAsia="Barlow Condensed SemiBold"/>
          <w:color w:val="007614"/>
          <w:sz w:val="21"/>
          <w:szCs w:val="21"/>
        </w:rPr>
        <w:t xml:space="preserve">Ficha A3 – </w:t>
      </w:r>
      <w:r>
        <w:rPr>
          <w:rFonts w:ascii="Barlow Condensed SemiBold" w:hAnsi="Barlow Condensed SemiBold" w:cs="Barlow Condensed SemiBold" w:eastAsia="Barlow Condensed SemiBold"/>
          <w:color w:val="01366F"/>
          <w:sz w:val="21"/>
          <w:szCs w:val="21"/>
        </w:rPr>
        <w:t xml:space="preserve">Adensamento domiciliar excessivo</w:t>
      </w: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1944"/>
        <w:gridCol w:w="6900"/>
      </w:tblGrid>
      <w:tr>
        <w:trPr>
          <w:tblHeader/>
          <w:cantSplit/>
        </w:trPr>
        <w:tc>
          <w:tcPr>
            <w:tcW w:w="194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Campo</w:t>
            </w:r>
          </w:p>
        </w:tc>
        <w:tc>
          <w:tcPr>
            <w:tcW w:w="690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Especificação</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Definição</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Proporção de domicílios com mais de três moradores por cômodo que serve de dormitório</w:t>
            </w:r>
          </w:p>
        </w:tc>
      </w:tr>
      <w:tr>
        <w:trPr>
          <w:cantSplit/>
        </w:trPr>
        <w:tc>
          <w:tcPr>
            <w:tcW w:w="194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Justificativa</w:t>
            </w:r>
          </w:p>
        </w:tc>
        <w:tc>
          <w:tcPr>
            <w:tcW w:w="690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Componente de superlotação de Townsend e de Carstairs; marcador de risco de transmissão respiratória e de sofrimento psíquico; substitui a inadequação habitacional da FJP</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Numerador</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Nível: domicílios adensados (Censo 2022). Variação: domicílios adensados no Cadastro Único</w:t>
            </w:r>
          </w:p>
        </w:tc>
      </w:tr>
      <w:tr>
        <w:trPr>
          <w:cantSplit/>
        </w:trPr>
        <w:tc>
          <w:tcPr>
            <w:tcW w:w="194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Denominador</w:t>
            </w:r>
          </w:p>
        </w:tc>
        <w:tc>
          <w:tcPr>
            <w:tcW w:w="690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Domicílios particulares permanentes ocupados</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Fórmula</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A3(m,t) = A3(m,c) × [N(m,t) / N(m,c)] / [P(m,t) / P(m,c)], com a razão truncada em [0,5; 2,0]; P aproxima o crescimento do número de domicílios</w:t>
            </w:r>
          </w:p>
        </w:tc>
      </w:tr>
      <w:tr>
        <w:trPr>
          <w:cantSplit/>
        </w:trPr>
        <w:tc>
          <w:tcPr>
            <w:tcW w:w="194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Periodicidade</w:t>
            </w:r>
          </w:p>
        </w:tc>
        <w:tc>
          <w:tcPr>
            <w:tcW w:w="690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Mensal (média móvel de 12 meses); cálculo anual</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Limitações</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 variação reflete as famílias inscritas no Cadastro Único; o crescimento populacional aproxima o de domicílios, que tende a ser maior com a redução do tamanho médio das famílias</w:t>
            </w:r>
          </w:p>
        </w:tc>
      </w:tr>
    </w:tbl>
    <w:p>
      <w:pPr>
        <w:spacing w:before="0" w:after="0" w:line="220" w:lineRule="exact"/>
        <w:jc w:val="both"/>
      </w:pPr>
    </w:p>
    <w:p>
      <w:pPr>
        <w:keepNext/>
        <w:spacing w:before="200" w:after="100" w:line="264" w:lineRule="auto"/>
        <w:jc w:val="left"/>
      </w:pPr>
      <w:r>
        <w:rPr>
          <w:rFonts w:ascii="Barlow Condensed SemiBold" w:hAnsi="Barlow Condensed SemiBold" w:cs="Barlow Condensed SemiBold" w:eastAsia="Barlow Condensed SemiBold"/>
          <w:color w:val="007614"/>
          <w:sz w:val="21"/>
          <w:szCs w:val="21"/>
        </w:rPr>
        <w:t xml:space="preserve">Ficha B1 – </w:t>
      </w:r>
      <w:r>
        <w:rPr>
          <w:rFonts w:ascii="Barlow Condensed SemiBold" w:hAnsi="Barlow Condensed SemiBold" w:cs="Barlow Condensed SemiBold" w:eastAsia="Barlow Condensed SemiBold"/>
          <w:color w:val="01366F"/>
          <w:sz w:val="21"/>
          <w:szCs w:val="21"/>
        </w:rPr>
        <w:t xml:space="preserve">Distorção idade-série nos anos finais do ensino fundamental</w:t>
      </w: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1944"/>
        <w:gridCol w:w="6900"/>
      </w:tblGrid>
      <w:tr>
        <w:trPr>
          <w:tblHeader/>
          <w:cantSplit/>
        </w:trPr>
        <w:tc>
          <w:tcPr>
            <w:tcW w:w="194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Campo</w:t>
            </w:r>
          </w:p>
        </w:tc>
        <w:tc>
          <w:tcPr>
            <w:tcW w:w="690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Especificação</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Definição</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Proporção de matrículas nos anos finais do ensino fundamental com idade dois ou mais anos acima da adequada à série</w:t>
            </w:r>
          </w:p>
        </w:tc>
      </w:tr>
      <w:tr>
        <w:trPr>
          <w:cantSplit/>
        </w:trPr>
        <w:tc>
          <w:tcPr>
            <w:tcW w:w="194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Justificativa</w:t>
            </w:r>
          </w:p>
        </w:tc>
        <w:tc>
          <w:tcPr>
            <w:tcW w:w="690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Medida prospectiva, anual e responsiva da produção corrente de desvantagem educacional; antecede o abandono</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Denominador</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Matrículas nos anos finais do ensino fundamental do município, em todas as redes</w:t>
            </w:r>
          </w:p>
        </w:tc>
      </w:tr>
      <w:tr>
        <w:trPr>
          <w:cantSplit/>
        </w:trPr>
        <w:tc>
          <w:tcPr>
            <w:tcW w:w="194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Fonte</w:t>
            </w:r>
          </w:p>
        </w:tc>
        <w:tc>
          <w:tcPr>
            <w:tcW w:w="690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INEP, Censo Escolar da Educação Básica</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Periodicidade</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Anual (defasagem de 9 a 12 meses)</w:t>
            </w:r>
          </w:p>
        </w:tc>
      </w:tr>
      <w:tr>
        <w:trPr>
          <w:cantSplit/>
        </w:trPr>
        <w:tc>
          <w:tcPr>
            <w:tcW w:w="194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Limitações</w:t>
            </w:r>
          </w:p>
        </w:tc>
        <w:tc>
          <w:tcPr>
            <w:tcW w:w="690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Refere-se à rede localizada no município, e não à população residente; sensível a regimes de fluxo escolar que variam entre redes; análise de sensibilidade com padronização por UF</w:t>
            </w:r>
          </w:p>
        </w:tc>
      </w:tr>
    </w:tbl>
    <w:p>
      <w:pPr>
        <w:spacing w:before="0" w:after="0" w:line="220" w:lineRule="exact"/>
        <w:jc w:val="both"/>
      </w:pPr>
    </w:p>
    <w:p>
      <w:pPr>
        <w:keepNext/>
        <w:spacing w:before="200" w:after="100" w:line="264" w:lineRule="auto"/>
        <w:jc w:val="left"/>
      </w:pPr>
      <w:r>
        <w:rPr>
          <w:rFonts w:ascii="Barlow Condensed SemiBold" w:hAnsi="Barlow Condensed SemiBold" w:cs="Barlow Condensed SemiBold" w:eastAsia="Barlow Condensed SemiBold"/>
          <w:color w:val="007614"/>
          <w:sz w:val="21"/>
          <w:szCs w:val="21"/>
        </w:rPr>
        <w:t xml:space="preserve">Ficha B2 – </w:t>
      </w:r>
      <w:r>
        <w:rPr>
          <w:rFonts w:ascii="Barlow Condensed SemiBold" w:hAnsi="Barlow Condensed SemiBold" w:cs="Barlow Condensed SemiBold" w:eastAsia="Barlow Condensed SemiBold"/>
          <w:color w:val="01366F"/>
          <w:sz w:val="21"/>
          <w:szCs w:val="21"/>
        </w:rPr>
        <w:t xml:space="preserve">Abandono escolar no ensino médio</w:t>
      </w: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1944"/>
        <w:gridCol w:w="6900"/>
      </w:tblGrid>
      <w:tr>
        <w:trPr>
          <w:tblHeader/>
          <w:cantSplit/>
        </w:trPr>
        <w:tc>
          <w:tcPr>
            <w:tcW w:w="194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Campo</w:t>
            </w:r>
          </w:p>
        </w:tc>
        <w:tc>
          <w:tcPr>
            <w:tcW w:w="690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Especificação</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Definição</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Proporção de matrículas no ensino médio que abandonaram a escola antes da conclusão do ano letivo</w:t>
            </w:r>
          </w:p>
        </w:tc>
      </w:tr>
      <w:tr>
        <w:trPr>
          <w:cantSplit/>
        </w:trPr>
        <w:tc>
          <w:tcPr>
            <w:tcW w:w="194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Justificativa</w:t>
            </w:r>
          </w:p>
        </w:tc>
        <w:tc>
          <w:tcPr>
            <w:tcW w:w="690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Desfecho educacional terminal do processo cuja fase inicial é medida por B1; responsivo a condições familiares e a choques econômicos</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Fonte</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INEP, Censo Escolar (taxas de rendimento)</w:t>
            </w:r>
          </w:p>
        </w:tc>
      </w:tr>
      <w:tr>
        <w:trPr>
          <w:cantSplit/>
        </w:trPr>
        <w:tc>
          <w:tcPr>
            <w:tcW w:w="194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Periodicidade</w:t>
            </w:r>
          </w:p>
        </w:tc>
        <w:tc>
          <w:tcPr>
            <w:tcW w:w="690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Anual</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Limitações</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Mesmo problema de localização de B1; municípios sem rede de ensino médio recebem valor imputado pela microrregião, com sinalização</w:t>
            </w:r>
          </w:p>
        </w:tc>
      </w:tr>
    </w:tbl>
    <w:p>
      <w:pPr>
        <w:spacing w:before="0" w:after="0" w:line="220" w:lineRule="exact"/>
        <w:jc w:val="both"/>
      </w:pPr>
    </w:p>
    <w:p>
      <w:pPr>
        <w:keepNext/>
        <w:spacing w:before="200" w:after="100" w:line="264" w:lineRule="auto"/>
        <w:jc w:val="left"/>
      </w:pPr>
      <w:r>
        <w:rPr>
          <w:rFonts w:ascii="Barlow Condensed SemiBold" w:hAnsi="Barlow Condensed SemiBold" w:cs="Barlow Condensed SemiBold" w:eastAsia="Barlow Condensed SemiBold"/>
          <w:color w:val="007614"/>
          <w:sz w:val="21"/>
          <w:szCs w:val="21"/>
        </w:rPr>
        <w:t xml:space="preserve">Ficha B3 – </w:t>
      </w:r>
      <w:r>
        <w:rPr>
          <w:rFonts w:ascii="Barlow Condensed SemiBold" w:hAnsi="Barlow Condensed SemiBold" w:cs="Barlow Condensed SemiBold" w:eastAsia="Barlow Condensed SemiBold"/>
          <w:color w:val="01366F"/>
          <w:sz w:val="21"/>
          <w:szCs w:val="21"/>
        </w:rPr>
        <w:t xml:space="preserve">Pessoas de 25 anos ou mais sem ensino fundamental completo</w:t>
      </w: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1944"/>
        <w:gridCol w:w="6900"/>
      </w:tblGrid>
      <w:tr>
        <w:trPr>
          <w:tblHeader/>
          <w:cantSplit/>
        </w:trPr>
        <w:tc>
          <w:tcPr>
            <w:tcW w:w="194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Campo</w:t>
            </w:r>
          </w:p>
        </w:tc>
        <w:tc>
          <w:tcPr>
            <w:tcW w:w="690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Especificação</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Definição</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Proporção de pessoas de 25 anos ou mais que não concluíram o ensino fundamental</w:t>
            </w:r>
          </w:p>
        </w:tc>
      </w:tr>
      <w:tr>
        <w:trPr>
          <w:cantSplit/>
        </w:trPr>
        <w:tc>
          <w:tcPr>
            <w:tcW w:w="194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Justificativa</w:t>
            </w:r>
          </w:p>
        </w:tc>
        <w:tc>
          <w:tcPr>
            <w:tcW w:w="690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Âncora estrutural da dimensão; continuidade com a literatura internacional de privação</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Fonte</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IBGE, Censo Demográfico 2022</w:t>
            </w:r>
          </w:p>
        </w:tc>
      </w:tr>
      <w:tr>
        <w:trPr>
          <w:cantSplit/>
        </w:trPr>
        <w:tc>
          <w:tcPr>
            <w:tcW w:w="194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Periodicidade</w:t>
            </w:r>
          </w:p>
        </w:tc>
        <w:tc>
          <w:tcPr>
            <w:tcW w:w="690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Decenal (fora do INS Dinâmico)</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Limitações</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Determinado por coorte e pela estrutura etária; não responde a política no médio prazo</w:t>
            </w:r>
          </w:p>
        </w:tc>
      </w:tr>
    </w:tbl>
    <w:p>
      <w:pPr>
        <w:spacing w:before="0" w:after="0" w:line="220" w:lineRule="exact"/>
        <w:jc w:val="both"/>
      </w:pPr>
    </w:p>
    <w:p>
      <w:pPr>
        <w:keepNext/>
        <w:spacing w:before="200" w:after="100" w:line="264" w:lineRule="auto"/>
        <w:jc w:val="left"/>
      </w:pPr>
      <w:r>
        <w:rPr>
          <w:rFonts w:ascii="Barlow Condensed SemiBold" w:hAnsi="Barlow Condensed SemiBold" w:cs="Barlow Condensed SemiBold" w:eastAsia="Barlow Condensed SemiBold"/>
          <w:color w:val="007614"/>
          <w:sz w:val="21"/>
          <w:szCs w:val="21"/>
        </w:rPr>
        <w:t xml:space="preserve">Ficha C1 – </w:t>
      </w:r>
      <w:r>
        <w:rPr>
          <w:rFonts w:ascii="Barlow Condensed SemiBold" w:hAnsi="Barlow Condensed SemiBold" w:cs="Barlow Condensed SemiBold" w:eastAsia="Barlow Condensed SemiBold"/>
          <w:color w:val="01366F"/>
          <w:sz w:val="21"/>
          <w:szCs w:val="21"/>
        </w:rPr>
        <w:t xml:space="preserve">Primeira infância</w:t>
      </w: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1944"/>
        <w:gridCol w:w="6900"/>
      </w:tblGrid>
      <w:tr>
        <w:trPr>
          <w:tblHeader/>
          <w:cantSplit/>
        </w:trPr>
        <w:tc>
          <w:tcPr>
            <w:tcW w:w="194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Campo</w:t>
            </w:r>
          </w:p>
        </w:tc>
        <w:tc>
          <w:tcPr>
            <w:tcW w:w="690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Especificação</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Definição</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Proporção da população de 0 a 4 anos completos</w:t>
            </w:r>
          </w:p>
        </w:tc>
      </w:tr>
      <w:tr>
        <w:trPr>
          <w:cantSplit/>
        </w:trPr>
        <w:tc>
          <w:tcPr>
            <w:tcW w:w="194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Justificativa</w:t>
            </w:r>
          </w:p>
        </w:tc>
        <w:tc>
          <w:tcPr>
            <w:tcW w:w="690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Extremo etário de maior consumo per capita de cuidado (puericultura, imunização, agravos respiratórios e infecciosos)</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Fonte</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Estimativas populacionais por município, sexo e idade do Ministério da Saúde (DATASUS), ancoradas no Censo 2022; o IBGE publica anualmente apenas a população total dos municípios</w:t>
            </w:r>
          </w:p>
        </w:tc>
      </w:tr>
      <w:tr>
        <w:trPr>
          <w:cantSplit/>
        </w:trPr>
        <w:tc>
          <w:tcPr>
            <w:tcW w:w="194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Periodicidade</w:t>
            </w:r>
          </w:p>
        </w:tc>
        <w:tc>
          <w:tcPr>
            <w:tcW w:w="690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Anual</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Limitações</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Estimativas intercensitárias perdem precisão com o envelhecimento do Censo, sobretudo em municípios com fluxo migratório intenso</w:t>
            </w:r>
          </w:p>
        </w:tc>
      </w:tr>
    </w:tbl>
    <w:p>
      <w:pPr>
        <w:spacing w:before="0" w:after="0" w:line="220" w:lineRule="exact"/>
        <w:jc w:val="both"/>
      </w:pPr>
    </w:p>
    <w:p>
      <w:pPr>
        <w:keepNext/>
        <w:spacing w:before="200" w:after="100" w:line="264" w:lineRule="auto"/>
        <w:jc w:val="left"/>
      </w:pPr>
      <w:r>
        <w:rPr>
          <w:rFonts w:ascii="Barlow Condensed SemiBold" w:hAnsi="Barlow Condensed SemiBold" w:cs="Barlow Condensed SemiBold" w:eastAsia="Barlow Condensed SemiBold"/>
          <w:color w:val="007614"/>
          <w:sz w:val="21"/>
          <w:szCs w:val="21"/>
        </w:rPr>
        <w:t xml:space="preserve">Ficha C2 – </w:t>
      </w:r>
      <w:r>
        <w:rPr>
          <w:rFonts w:ascii="Barlow Condensed SemiBold" w:hAnsi="Barlow Condensed SemiBold" w:cs="Barlow Condensed SemiBold" w:eastAsia="Barlow Condensed SemiBold"/>
          <w:color w:val="01366F"/>
          <w:sz w:val="21"/>
          <w:szCs w:val="21"/>
        </w:rPr>
        <w:t xml:space="preserve">Idosos longevos</w:t>
      </w: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1944"/>
        <w:gridCol w:w="6900"/>
      </w:tblGrid>
      <w:tr>
        <w:trPr>
          <w:tblHeader/>
          <w:cantSplit/>
        </w:trPr>
        <w:tc>
          <w:tcPr>
            <w:tcW w:w="194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Campo</w:t>
            </w:r>
          </w:p>
        </w:tc>
        <w:tc>
          <w:tcPr>
            <w:tcW w:w="690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Especificação</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Definição</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Proporção da população de 75 anos ou mais</w:t>
            </w:r>
          </w:p>
        </w:tc>
      </w:tr>
      <w:tr>
        <w:trPr>
          <w:cantSplit/>
        </w:trPr>
        <w:tc>
          <w:tcPr>
            <w:tcW w:w="194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Justificativa</w:t>
            </w:r>
          </w:p>
        </w:tc>
        <w:tc>
          <w:tcPr>
            <w:tcW w:w="690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Extremo etário que concentra multimorbidade, dependência funcional e internações longas; o corte em 75 anos discrimina melhor a demanda assistencial efetiva</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Fonte</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Estimativas populacionais por município, sexo e idade do Ministério da Saúde (DATASUS), ancoradas no Censo 2022; o IBGE publica anualmente apenas a população total dos municípios</w:t>
            </w:r>
          </w:p>
        </w:tc>
      </w:tr>
      <w:tr>
        <w:trPr>
          <w:cantSplit/>
        </w:trPr>
        <w:tc>
          <w:tcPr>
            <w:tcW w:w="194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Periodicidade</w:t>
            </w:r>
          </w:p>
        </w:tc>
        <w:tc>
          <w:tcPr>
            <w:tcW w:w="690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Anual</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Limitações</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Em municípios pequenos com forte emigração de jovens, a proporção sobe por esvaziamento do denominador; leitura conjunta com o porte</w:t>
            </w:r>
          </w:p>
        </w:tc>
      </w:tr>
    </w:tbl>
    <w:p>
      <w:pPr>
        <w:spacing w:before="0" w:after="0" w:line="220" w:lineRule="exact"/>
        <w:jc w:val="both"/>
      </w:pPr>
    </w:p>
    <w:p>
      <w:pPr>
        <w:keepNext/>
        <w:spacing w:before="200" w:after="100" w:line="264" w:lineRule="auto"/>
        <w:jc w:val="left"/>
      </w:pPr>
      <w:r>
        <w:rPr>
          <w:rFonts w:ascii="Barlow Condensed SemiBold" w:hAnsi="Barlow Condensed SemiBold" w:cs="Barlow Condensed SemiBold" w:eastAsia="Barlow Condensed SemiBold"/>
          <w:color w:val="007614"/>
          <w:sz w:val="21"/>
          <w:szCs w:val="21"/>
        </w:rPr>
        <w:t xml:space="preserve">Ficha C3 – </w:t>
      </w:r>
      <w:r>
        <w:rPr>
          <w:rFonts w:ascii="Barlow Condensed SemiBold" w:hAnsi="Barlow Condensed SemiBold" w:cs="Barlow Condensed SemiBold" w:eastAsia="Barlow Condensed SemiBold"/>
          <w:color w:val="01366F"/>
          <w:sz w:val="21"/>
          <w:szCs w:val="21"/>
        </w:rPr>
        <w:t xml:space="preserve">Dependência exclusiva do SUS</w:t>
      </w: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1944"/>
        <w:gridCol w:w="6900"/>
      </w:tblGrid>
      <w:tr>
        <w:trPr>
          <w:tblHeader/>
          <w:cantSplit/>
        </w:trPr>
        <w:tc>
          <w:tcPr>
            <w:tcW w:w="194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Campo</w:t>
            </w:r>
          </w:p>
        </w:tc>
        <w:tc>
          <w:tcPr>
            <w:tcW w:w="690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Especificação</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Definição</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Proporção da população sem plano privado de assistência médica</w:t>
            </w:r>
          </w:p>
        </w:tc>
      </w:tr>
      <w:tr>
        <w:trPr>
          <w:cantSplit/>
        </w:trPr>
        <w:tc>
          <w:tcPr>
            <w:tcW w:w="194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Justificativa</w:t>
            </w:r>
          </w:p>
        </w:tc>
        <w:tc>
          <w:tcPr>
            <w:tcW w:w="690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Marcador direto da demanda potencial sobre o SUS e medida indireta de inserção no mercado formal; exógeno ao sistema público</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Fórmula</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C3 = 100 × [1 − B(m,t) / P(m,t)], truncado em [0; 100], com B = beneficiários de planos com cobertura assistencial médica por município de residência</w:t>
            </w:r>
          </w:p>
        </w:tc>
      </w:tr>
      <w:tr>
        <w:trPr>
          <w:cantSplit/>
        </w:trPr>
        <w:tc>
          <w:tcPr>
            <w:tcW w:w="194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Fonte</w:t>
            </w:r>
          </w:p>
        </w:tc>
        <w:tc>
          <w:tcPr>
            <w:tcW w:w="690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ANS, Sistema de Informações de Beneficiários (SIB); estimativas do IBGE</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Periodicidade</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Mensal (defasagem de 2 meses); cálculo anual</w:t>
            </w:r>
          </w:p>
        </w:tc>
      </w:tr>
      <w:tr>
        <w:trPr>
          <w:cantSplit/>
        </w:trPr>
        <w:tc>
          <w:tcPr>
            <w:tcW w:w="194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Limitações</w:t>
            </w:r>
          </w:p>
        </w:tc>
        <w:tc>
          <w:tcPr>
            <w:tcW w:w="690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Um beneficiário pode constar de mais de um contrato; a alocação municipal depende do cadastro das operadoras; forte correlação esperada com A1</w:t>
            </w:r>
          </w:p>
        </w:tc>
      </w:tr>
    </w:tbl>
    <w:p>
      <w:pPr>
        <w:spacing w:before="0" w:after="0" w:line="220" w:lineRule="exact"/>
        <w:jc w:val="both"/>
      </w:pPr>
    </w:p>
    <w:p>
      <w:pPr>
        <w:keepNext/>
        <w:spacing w:before="200" w:after="100" w:line="264" w:lineRule="auto"/>
        <w:jc w:val="left"/>
      </w:pPr>
      <w:r>
        <w:rPr>
          <w:rFonts w:ascii="Barlow Condensed SemiBold" w:hAnsi="Barlow Condensed SemiBold" w:cs="Barlow Condensed SemiBold" w:eastAsia="Barlow Condensed SemiBold"/>
          <w:color w:val="007614"/>
          <w:sz w:val="21"/>
          <w:szCs w:val="21"/>
        </w:rPr>
        <w:t xml:space="preserve">Ficha D1 – </w:t>
      </w:r>
      <w:r>
        <w:rPr>
          <w:rFonts w:ascii="Barlow Condensed SemiBold" w:hAnsi="Barlow Condensed SemiBold" w:cs="Barlow Condensed SemiBold" w:eastAsia="Barlow Condensed SemiBold"/>
          <w:color w:val="01366F"/>
          <w:sz w:val="21"/>
          <w:szCs w:val="21"/>
        </w:rPr>
        <w:t xml:space="preserve">Fricção territorial de acesso</w:t>
      </w: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1944"/>
        <w:gridCol w:w="6900"/>
      </w:tblGrid>
      <w:tr>
        <w:trPr>
          <w:tblHeader/>
          <w:cantSplit/>
        </w:trPr>
        <w:tc>
          <w:tcPr>
            <w:tcW w:w="194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Campo</w:t>
            </w:r>
          </w:p>
        </w:tc>
        <w:tc>
          <w:tcPr>
            <w:tcW w:w="690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Especificação</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Definição</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Tempo mínimo de deslocamento, pela malha rodoviária e hidroviária, da sede municipal até a sede do município-polo de sua Região Geográfica Imediata</w:t>
            </w:r>
          </w:p>
        </w:tc>
      </w:tr>
      <w:tr>
        <w:trPr>
          <w:cantSplit/>
        </w:trPr>
        <w:tc>
          <w:tcPr>
            <w:tcW w:w="194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Justificativa</w:t>
            </w:r>
          </w:p>
        </w:tc>
        <w:tc>
          <w:tcPr>
            <w:tcW w:w="690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O isolamento converte qualquer demanda de média ou alta complexidade em problema logístico; mede a fricção do território, e não a presença de serviços</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Unidade</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Minutos (municípios-polo recebem valor zero)</w:t>
            </w:r>
          </w:p>
        </w:tc>
      </w:tr>
      <w:tr>
        <w:trPr>
          <w:cantSplit/>
        </w:trPr>
        <w:tc>
          <w:tcPr>
            <w:tcW w:w="194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Fonte</w:t>
            </w:r>
          </w:p>
        </w:tc>
        <w:tc>
          <w:tcPr>
            <w:tcW w:w="690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IBGE, divisão regional em Regiões Geográficas Imediatas e malha de ligações rodoviárias e hidroviárias</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Periodicidade</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Irregular, acompanhando a atualização da malha (fora do INS Dinâmico)</w:t>
            </w:r>
          </w:p>
        </w:tc>
      </w:tr>
      <w:tr>
        <w:trPr>
          <w:cantSplit/>
        </w:trPr>
        <w:tc>
          <w:tcPr>
            <w:tcW w:w="194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Tratamento</w:t>
            </w:r>
          </w:p>
        </w:tc>
        <w:tc>
          <w:tcPr>
            <w:tcW w:w="690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Transformação logarítmica de (tempo + 1) antes da padronização</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Limitações</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Não capta sazonalidade de estradas não pavimentadas nem custo do transporte; a sede municipal pode não representar a população rural dispersa</w:t>
            </w:r>
          </w:p>
        </w:tc>
      </w:tr>
    </w:tbl>
    <w:p>
      <w:pPr>
        <w:spacing w:before="0" w:after="0" w:line="220" w:lineRule="exact"/>
        <w:jc w:val="both"/>
      </w:pPr>
    </w:p>
    <w:p>
      <w:pPr>
        <w:keepNext/>
        <w:spacing w:before="200" w:after="100" w:line="264" w:lineRule="auto"/>
        <w:jc w:val="left"/>
      </w:pPr>
      <w:r>
        <w:rPr>
          <w:rFonts w:ascii="Barlow Condensed SemiBold" w:hAnsi="Barlow Condensed SemiBold" w:cs="Barlow Condensed SemiBold" w:eastAsia="Barlow Condensed SemiBold"/>
          <w:color w:val="007614"/>
          <w:sz w:val="21"/>
          <w:szCs w:val="21"/>
        </w:rPr>
        <w:t xml:space="preserve">Ficha D2 – </w:t>
      </w:r>
      <w:r>
        <w:rPr>
          <w:rFonts w:ascii="Barlow Condensed SemiBold" w:hAnsi="Barlow Condensed SemiBold" w:cs="Barlow Condensed SemiBold" w:eastAsia="Barlow Condensed SemiBold"/>
          <w:color w:val="01366F"/>
          <w:sz w:val="21"/>
          <w:szCs w:val="21"/>
        </w:rPr>
        <w:t xml:space="preserve">Situação territorial precária</w:t>
      </w: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1944"/>
        <w:gridCol w:w="6900"/>
      </w:tblGrid>
      <w:tr>
        <w:trPr>
          <w:tblHeader/>
          <w:cantSplit/>
        </w:trPr>
        <w:tc>
          <w:tcPr>
            <w:tcW w:w="1944"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Campo</w:t>
            </w:r>
          </w:p>
        </w:tc>
        <w:tc>
          <w:tcPr>
            <w:tcW w:w="690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Especificação</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Definição</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Proporção da população residente em domicílio rural, em favela ou comunidade urbana, em terra indígena ou em território quilombola, segundo as delimitações do Censo 2022 (contagem por união, sem dupla contagem)</w:t>
            </w:r>
          </w:p>
        </w:tc>
      </w:tr>
      <w:tr>
        <w:trPr>
          <w:cantSplit/>
        </w:trPr>
        <w:tc>
          <w:tcPr>
            <w:tcW w:w="194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Justificativa</w:t>
            </w:r>
          </w:p>
        </w:tc>
        <w:tc>
          <w:tcPr>
            <w:tcW w:w="690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Situações associadas a barreiras persistentes de acesso a serviços públicos e a subcontagem nos sistemas de informação</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Fonte</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IBGE, Censo Demográfico 2022</w:t>
            </w:r>
          </w:p>
        </w:tc>
      </w:tr>
      <w:tr>
        <w:trPr>
          <w:cantSplit/>
        </w:trPr>
        <w:tc>
          <w:tcPr>
            <w:tcW w:w="1944"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Periodicidade</w:t>
            </w:r>
          </w:p>
        </w:tc>
        <w:tc>
          <w:tcPr>
            <w:tcW w:w="690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Decenal (fora do INS Dinâmico)</w:t>
            </w:r>
          </w:p>
        </w:tc>
      </w:tr>
      <w:tr>
        <w:trPr>
          <w:cantSplit/>
        </w:trPr>
        <w:tc>
          <w:tcPr>
            <w:tcW w:w="1944"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Limitações</w:t>
            </w:r>
          </w:p>
        </w:tc>
        <w:tc>
          <w:tcPr>
            <w:tcW w:w="690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 delimitação de favelas e comunidades urbanas foi revista no Censo 2022, o que afeta a comparação com 2010; outras comunidades tradicionais não são identificadas pelo Censo</w:t>
            </w:r>
          </w:p>
        </w:tc>
      </w:tr>
    </w:tbl>
    <w:p>
      <w:pPr>
        <w:spacing w:before="0" w:after="0" w:line="220" w:lineRule="exact"/>
        <w:jc w:val="both"/>
        <w:sectPr>
          <w:headerReference w:type="default" r:id="rId28"/>
          <w:headerReference w:type="even" r:id="rId15"/>
          <w:footerReference w:type="default" r:id="rId16"/>
          <w:footerReference w:type="even" r:id="rId17"/>
          <w:type w:val="nextPage"/>
          <w:pgSz w:w="11906" w:h="16838"/>
          <w:pgMar w:top="1474" w:right="1531" w:bottom="1814" w:left="1531" w:header="850" w:footer="330" w:gutter="0"/>
          <w:cols w:space="720"/>
          <w:docGrid w:linePitch="360"/>
        </w:sectPr>
      </w:pPr>
    </w:p>
    <w:p>
      <w:pPr>
        <w:pStyle w:val="Heading1"/>
        <w:pBdr>
          <w:bottom w:val="single" w:sz="12" w:space="10" w:color="007614"/>
        </w:pBdr>
        <w:spacing w:before="120" w:after="380" w:line="600" w:lineRule="exact"/>
        <w:jc w:val="left"/>
      </w:pPr>
      <w:bookmarkStart w:id="78" w:name="_h64"/>
      <w:r>
        <w:rPr>
          <w:rFonts w:ascii="Barlow Condensed" w:hAnsi="Barlow Condensed" w:cs="Barlow Condensed" w:eastAsia="Barlow Condensed"/>
          <w:b/>
          <w:bCs/>
          <w:color w:val="007614"/>
          <w:sz w:val="52"/>
          <w:szCs w:val="52"/>
        </w:rPr>
        <w:t xml:space="preserve">ANEXO C — </w:t>
      </w:r>
      <w:r>
        <w:rPr>
          <w:rFonts w:ascii="Barlow Condensed" w:hAnsi="Barlow Condensed" w:cs="Barlow Condensed" w:eastAsia="Barlow Condensed"/>
          <w:b/>
          <w:bCs/>
          <w:color w:val="01366F"/>
          <w:sz w:val="52"/>
          <w:szCs w:val="52"/>
        </w:rPr>
        <w:t xml:space="preserve">REGISTRO DAS ALTERAÇÕES DA VERSÃO 1.0 PARA A 2.0</w:t>
      </w:r>
      <w:bookmarkEnd w:id="78"/>
    </w:p>
    <w:p>
      <w:pPr>
        <w:keepNext/>
        <w:spacing w:before="0" w:after="0" w:line="160" w:lineRule="exact"/>
        <w:jc w:val="both"/>
      </w:pPr>
    </w:p>
    <w:tbl>
      <w:tblPr>
        <w:tblW w:w="8844" w:type="dxa"/>
        <w:jc w:val="center"/>
        <w:tblBorders>
          <w:top w:val="nil" w:sz="6" w:space="0" w:color="01366F"/>
          <w:left w:val="nil"/>
          <w:bottom w:val="single" w:sz="6" w:space="0" w:color="01366F"/>
          <w:right w:val="nil"/>
          <w:insideH w:val="single" w:sz="4" w:space="0" w:color="D9DEE3"/>
          <w:insideV w:val="nil"/>
        </w:tblBorders>
        <w:tblLayout w:type="fixed"/>
        <w:tblCellMar>
          <w:top w:w="55" w:type="dxa"/>
          <w:left w:w="90" w:type="dxa"/>
          <w:bottom w:w="55" w:type="dxa"/>
          <w:right w:w="90" w:type="dxa"/>
        </w:tblCellMar>
        <w:tblLook w:val="04A0" w:firstRow="1" w:lastRow="0" w:firstColumn="1" w:lastColumn="0" w:noHBand="0" w:noVBand="1"/>
      </w:tblPr>
      <w:tblGrid>
        <w:gridCol w:w="2298"/>
        <w:gridCol w:w="3536"/>
        <w:gridCol w:w="3010"/>
      </w:tblGrid>
      <w:tr>
        <w:trPr>
          <w:tblHeader/>
          <w:cantSplit/>
        </w:trPr>
        <w:tc>
          <w:tcPr>
            <w:tcW w:w="2298"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Ponto</w:t>
            </w:r>
          </w:p>
        </w:tc>
        <w:tc>
          <w:tcPr>
            <w:tcW w:w="3536"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Versão 1.0</w:t>
            </w:r>
          </w:p>
        </w:tc>
        <w:tc>
          <w:tcPr>
            <w:tcW w:w="3010" w:type="dxa"/>
            <w:shd w:val="clear" w:color="auto" w:fill="01366F"/>
            <w:vAlign w:val="center"/>
          </w:tcPr>
          <w:p>
            <w:pPr>
              <w:spacing w:before="0" w:after="0" w:line="240" w:lineRule="auto"/>
              <w:jc w:val="left"/>
            </w:pPr>
            <w:r>
              <w:rPr>
                <w:rFonts w:ascii="Barlow Condensed SemiBold" w:hAnsi="Barlow Condensed SemiBold" w:cs="Barlow Condensed SemiBold" w:eastAsia="Barlow Condensed SemiBold"/>
                <w:color w:val="FFFFFF"/>
                <w:sz w:val="16"/>
                <w:szCs w:val="16"/>
              </w:rPr>
              <w:t xml:space="preserve">Versão 2.0 e fundamento</w:t>
            </w:r>
          </w:p>
        </w:tc>
      </w:tr>
      <w:tr>
        <w:trPr>
          <w:cantSplit/>
        </w:trPr>
        <w:tc>
          <w:tcPr>
            <w:tcW w:w="2298"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Regra de encadeamento</w:t>
            </w:r>
          </w:p>
        </w:tc>
        <w:tc>
          <w:tcPr>
            <w:tcW w:w="353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Razão de contagens aplicada sobre a proporção censitária</w:t>
            </w:r>
          </w:p>
        </w:tc>
        <w:tc>
          <w:tcPr>
            <w:tcW w:w="301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Razão corrigida pelo crescimento do denominador; sem a correção, crescimento populacional aparecia como variação da pobreza</w:t>
            </w:r>
          </w:p>
        </w:tc>
      </w:tr>
      <w:tr>
        <w:trPr>
          <w:cantSplit/>
        </w:trPr>
        <w:tc>
          <w:tcPr>
            <w:tcW w:w="2298"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Escala de 0 a 1</w:t>
            </w:r>
          </w:p>
        </w:tc>
        <w:tc>
          <w:tcPr>
            <w:tcW w:w="353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Valor descrito como proporção exata de municípios com necessidade inferior; quintis em 0,2, 0,4, 0,6 e 0,8</w:t>
            </w:r>
          </w:p>
        </w:tc>
        <w:tc>
          <w:tcPr>
            <w:tcW w:w="301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Leitura como percentil só sob normalidade; publicação obrigatória do percentil empírico e do teste de aderência</w:t>
            </w:r>
          </w:p>
        </w:tc>
      </w:tr>
      <w:tr>
        <w:trPr>
          <w:cantSplit/>
        </w:trPr>
        <w:tc>
          <w:tcPr>
            <w:tcW w:w="2298"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Áreas de risco (D1)</w:t>
            </w:r>
          </w:p>
        </w:tc>
        <w:tc>
          <w:tcPr>
            <w:tcW w:w="353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Indicador da cesta, periodicidade bienal</w:t>
            </w:r>
          </w:p>
        </w:tc>
        <w:tc>
          <w:tcPr>
            <w:tcW w:w="301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Excluído: base de 872 municípios e de 2010; exposição lida no mapa da cartografia social</w:t>
            </w:r>
          </w:p>
        </w:tc>
      </w:tr>
      <w:tr>
        <w:trPr>
          <w:cantSplit/>
        </w:trPr>
        <w:tc>
          <w:tcPr>
            <w:tcW w:w="2298"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Fricção territorial (D2)</w:t>
            </w:r>
          </w:p>
        </w:tc>
        <w:tc>
          <w:tcPr>
            <w:tcW w:w="353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Tempo de deslocamento do REGIC, quinquenal</w:t>
            </w:r>
          </w:p>
        </w:tc>
        <w:tc>
          <w:tcPr>
            <w:tcW w:w="301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Fonte corrigida (o REGIC não publica tempos; edições 2007 e 2018); malha rodoviária e hidroviária do IBGE; atualização irregular</w:t>
            </w:r>
          </w:p>
        </w:tc>
      </w:tr>
      <w:tr>
        <w:trPr>
          <w:cantSplit/>
        </w:trPr>
        <w:tc>
          <w:tcPr>
            <w:tcW w:w="2298"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Inadequação habitacional (A3)</w:t>
            </w:r>
          </w:p>
        </w:tc>
        <w:tc>
          <w:tcPr>
            <w:tcW w:w="353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Composto da FJP, trienal</w:t>
            </w:r>
          </w:p>
        </w:tc>
        <w:tc>
          <w:tcPr>
            <w:tcW w:w="301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Adensamento excessivo, encadeado ao Cadastro Único; definição estável</w:t>
            </w:r>
          </w:p>
        </w:tc>
      </w:tr>
      <w:tr>
        <w:trPr>
          <w:cantSplit/>
        </w:trPr>
        <w:tc>
          <w:tcPr>
            <w:tcW w:w="2298"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Linha de pobreza (A1)</w:t>
            </w:r>
          </w:p>
        </w:tc>
        <w:tc>
          <w:tcPr>
            <w:tcW w:w="353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Meio salário-mínimo nominal</w:t>
            </w:r>
          </w:p>
        </w:tc>
        <w:tc>
          <w:tcPr>
            <w:tcW w:w="301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Linha real fixada no ano do Censo e corrigida pelo INPC</w:t>
            </w:r>
          </w:p>
        </w:tc>
      </w:tr>
      <w:tr>
        <w:trPr>
          <w:cantSplit/>
        </w:trPr>
        <w:tc>
          <w:tcPr>
            <w:tcW w:w="2298"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Simetria das dimensões</w:t>
            </w:r>
          </w:p>
        </w:tc>
        <w:tc>
          <w:tcPr>
            <w:tcW w:w="353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Três indicadores por dimensão como garantia da ponderação igual</w:t>
            </w:r>
          </w:p>
        </w:tc>
        <w:tc>
          <w:tcPr>
            <w:tcW w:w="301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 repadronização garante a ponderação igual; dimensões com três ou dois indicadores</w:t>
            </w:r>
          </w:p>
        </w:tc>
      </w:tr>
      <w:tr>
        <w:trPr>
          <w:cantSplit/>
        </w:trPr>
        <w:tc>
          <w:tcPr>
            <w:tcW w:w="2298"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Fração responsiva</w:t>
            </w:r>
          </w:p>
        </w:tc>
        <w:tc>
          <w:tcPr>
            <w:tcW w:w="353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7 de 12 (58,3%)</w:t>
            </w:r>
          </w:p>
        </w:tc>
        <w:tc>
          <w:tcPr>
            <w:tcW w:w="301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8 de 11 (72,7%)</w:t>
            </w:r>
          </w:p>
        </w:tc>
      </w:tr>
      <w:tr>
        <w:trPr>
          <w:cantSplit/>
        </w:trPr>
        <w:tc>
          <w:tcPr>
            <w:tcW w:w="2298"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Critérios de qualidade</w:t>
            </w:r>
          </w:p>
        </w:tc>
        <w:tc>
          <w:tcPr>
            <w:tcW w:w="353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Listados</w:t>
            </w:r>
          </w:p>
        </w:tc>
        <w:tc>
          <w:tcPr>
            <w:tcW w:w="301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Aplicados indicador a indicador (Quadro 7) e etapa a etapa (Quadro 1)</w:t>
            </w:r>
          </w:p>
        </w:tc>
      </w:tr>
      <w:tr>
        <w:trPr>
          <w:cantSplit/>
        </w:trPr>
        <w:tc>
          <w:tcPr>
            <w:tcW w:w="2298"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Validação convergente</w:t>
            </w:r>
          </w:p>
        </w:tc>
        <w:tc>
          <w:tcPr>
            <w:tcW w:w="353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Mencionada nos produtos, sem especificação</w:t>
            </w:r>
          </w:p>
        </w:tc>
        <w:tc>
          <w:tcPr>
            <w:tcW w:w="301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Especificada com IBP, IVS e GeoSES e limiares de interpretação</w:t>
            </w:r>
          </w:p>
        </w:tc>
      </w:tr>
      <w:tr>
        <w:trPr>
          <w:cantSplit/>
        </w:trPr>
        <w:tc>
          <w:tcPr>
            <w:tcW w:w="2298"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Articulação</w:t>
            </w:r>
          </w:p>
        </w:tc>
        <w:tc>
          <w:tcPr>
            <w:tcW w:w="353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Ausente</w:t>
            </w:r>
          </w:p>
        </w:tc>
        <w:tc>
          <w:tcPr>
            <w:tcW w:w="301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Seção 3.8; papel no Protocolo de IT</w:t>
            </w:r>
          </w:p>
        </w:tc>
      </w:tr>
      <w:tr>
        <w:trPr>
          <w:cantSplit/>
        </w:trPr>
        <w:tc>
          <w:tcPr>
            <w:tcW w:w="2298"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Citações</w:t>
            </w:r>
          </w:p>
        </w:tc>
        <w:tc>
          <w:tcPr>
            <w:tcW w:w="353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Achados sobre registro de óbitos e mortalidade proporcional sem autoria</w:t>
            </w:r>
          </w:p>
        </w:tc>
        <w:tc>
          <w:tcPr>
            <w:tcW w:w="301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Atribuídos a Diógenes et al., Rameh et al., Gonzaga et al., Pinto Júnior et al. e Malta et al. (2025)</w:t>
            </w:r>
          </w:p>
        </w:tc>
      </w:tr>
      <w:tr>
        <w:trPr>
          <w:cantSplit/>
        </w:trPr>
        <w:tc>
          <w:tcPr>
            <w:tcW w:w="2298" w:type="dxa"/>
            <w:shd w:val="clear" w:color="auto" w:fill="FFFFFF"/>
            <w:vAlign w:val="top"/>
          </w:tcPr>
          <w:p>
            <w:pPr>
              <w:spacing w:before="0" w:after="0" w:line="252" w:lineRule="auto"/>
              <w:jc w:val="left"/>
            </w:pPr>
            <w:r>
              <w:rPr>
                <w:rFonts w:ascii="Barlow SemiBold" w:hAnsi="Barlow SemiBold" w:cs="Barlow SemiBold" w:eastAsia="Barlow SemiBold"/>
                <w:color w:val="01366F"/>
                <w:sz w:val="17"/>
                <w:szCs w:val="17"/>
              </w:rPr>
              <w:t xml:space="preserve">Referências</w:t>
            </w:r>
          </w:p>
        </w:tc>
        <w:tc>
          <w:tcPr>
            <w:tcW w:w="3536" w:type="dxa"/>
            <w:shd w:val="clear" w:color="auto" w:fill="FFFFFF"/>
            <w:vAlign w:val="top"/>
          </w:tcPr>
          <w:p>
            <w:pPr>
              <w:spacing w:before="0" w:after="0" w:line="252" w:lineRule="auto"/>
              <w:jc w:val="left"/>
            </w:pPr>
            <w:r>
              <w:rPr>
                <w:rFonts w:ascii="Barlow" w:hAnsi="Barlow" w:cs="Barlow" w:eastAsia="Barlow"/>
                <w:color w:val="0F2440"/>
                <w:sz w:val="17"/>
                <w:szCs w:val="17"/>
              </w:rPr>
              <w:t xml:space="preserve">Lista duplicada</w:t>
            </w:r>
          </w:p>
        </w:tc>
        <w:tc>
          <w:tcPr>
            <w:tcW w:w="3010" w:type="dxa"/>
            <w:shd w:val="clear" w:color="auto" w:fill="FFFFFF"/>
            <w:vAlign w:val="top"/>
          </w:tcPr>
          <w:p>
            <w:pPr>
              <w:spacing w:before="0" w:after="0" w:line="252" w:lineRule="auto"/>
              <w:jc w:val="left"/>
            </w:pPr>
            <w:r>
              <w:rPr>
                <w:rFonts w:ascii="Barlow" w:hAnsi="Barlow" w:cs="Barlow" w:eastAsia="Barlow"/>
                <w:color w:val="0F2440"/>
                <w:sz w:val="17"/>
                <w:szCs w:val="17"/>
              </w:rPr>
              <w:t xml:space="preserve">Lista única, completada (Bradshaw, Hart, OCDE, Openshaw, IBGE)</w:t>
            </w:r>
          </w:p>
        </w:tc>
      </w:tr>
      <w:tr>
        <w:trPr>
          <w:cantSplit/>
        </w:trPr>
        <w:tc>
          <w:tcPr>
            <w:tcW w:w="2298" w:type="dxa"/>
            <w:shd w:val="clear" w:color="auto" w:fill="E9F2EB"/>
            <w:vAlign w:val="top"/>
          </w:tcPr>
          <w:p>
            <w:pPr>
              <w:spacing w:before="0" w:after="0" w:line="252" w:lineRule="auto"/>
              <w:jc w:val="left"/>
            </w:pPr>
            <w:r>
              <w:rPr>
                <w:rFonts w:ascii="Barlow SemiBold" w:hAnsi="Barlow SemiBold" w:cs="Barlow SemiBold" w:eastAsia="Barlow SemiBold"/>
                <w:color w:val="01366F"/>
                <w:sz w:val="17"/>
                <w:szCs w:val="17"/>
              </w:rPr>
              <w:t xml:space="preserve">Unidades do DF</w:t>
            </w:r>
          </w:p>
        </w:tc>
        <w:tc>
          <w:tcPr>
            <w:tcW w:w="3536" w:type="dxa"/>
            <w:shd w:val="clear" w:color="auto" w:fill="E9F2EB"/>
            <w:vAlign w:val="top"/>
          </w:tcPr>
          <w:p>
            <w:pPr>
              <w:spacing w:before="0" w:after="0" w:line="252" w:lineRule="auto"/>
              <w:jc w:val="left"/>
            </w:pPr>
            <w:r>
              <w:rPr>
                <w:rFonts w:ascii="Barlow" w:hAnsi="Barlow" w:cs="Barlow" w:eastAsia="Barlow"/>
                <w:color w:val="0F2440"/>
                <w:sz w:val="17"/>
                <w:szCs w:val="17"/>
              </w:rPr>
              <w:t xml:space="preserve">"Pouco mais de três dezenas"</w:t>
            </w:r>
          </w:p>
        </w:tc>
        <w:tc>
          <w:tcPr>
            <w:tcW w:w="3010" w:type="dxa"/>
            <w:shd w:val="clear" w:color="auto" w:fill="E9F2EB"/>
            <w:vAlign w:val="top"/>
          </w:tcPr>
          <w:p>
            <w:pPr>
              <w:spacing w:before="0" w:after="0" w:line="252" w:lineRule="auto"/>
              <w:jc w:val="left"/>
            </w:pPr>
            <w:r>
              <w:rPr>
                <w:rFonts w:ascii="Barlow" w:hAnsi="Barlow" w:cs="Barlow" w:eastAsia="Barlow"/>
                <w:color w:val="0F2440"/>
                <w:sz w:val="17"/>
                <w:szCs w:val="17"/>
              </w:rPr>
              <w:t xml:space="preserve">35 Regiões Administrativas; INS-DF Dinâmico especificado</w:t>
            </w:r>
          </w:p>
        </w:tc>
      </w:tr>
    </w:tbl>
    <w:p>
      <w:pPr>
        <w:spacing w:before="0" w:after="0" w:line="220" w:lineRule="exact"/>
        <w:jc w:val="both"/>
      </w:pPr>
    </w:p>
    <w:sectPr>
      <w:headerReference w:type="default" r:id="rId29"/>
      <w:headerReference w:type="even" r:id="rId15"/>
      <w:footerReference w:type="default" r:id="rId16"/>
      <w:footerReference w:type="even" r:id="rId17"/>
      <w:type w:val="nextPage"/>
      <w:pgSz w:w="11906" w:h="16838"/>
      <w:pgMar w:top="1474" w:right="1531" w:bottom="1814" w:left="1531" w:header="850" w:footer="33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rlow">
    <w:charset w:val="00"/>
    <w:family w:val="swiss"/>
    <w:pitch w:val="variable"/>
    <w:embedRegular r:id="rIdF1" w:fontKey="{E11E2784-DE61-41B1-9D02-FFB957C50984}"/>
    <w:embedBold r:id="rIdF3" w:fontKey="{08D161DA-7231-425B-8F6F-6BB6D968E9B6}"/>
    <w:embedItalic r:id="rIdF2" w:fontKey="{8FE01DB9-6890-44C0-A997-402DDAF978CF}"/>
  </w:font>
  <w:font w:name="Barlow Medium">
    <w:charset w:val="00"/>
    <w:family w:val="swiss"/>
    <w:pitch w:val="variable"/>
    <w:embedRegular r:id="rIdF4" w:fontKey="{7F5AB29D-F2AD-455B-9318-2D6D52CEC457}"/>
  </w:font>
  <w:font w:name="Barlow SemiBold">
    <w:charset w:val="00"/>
    <w:family w:val="swiss"/>
    <w:pitch w:val="variable"/>
    <w:embedRegular r:id="rIdF5" w:fontKey="{9DD1AFA1-4081-4B72-9866-F92FABEB8BFE}"/>
  </w:font>
  <w:font w:name="Barlow Condensed">
    <w:charset w:val="00"/>
    <w:family w:val="swiss"/>
    <w:pitch w:val="variable"/>
    <w:embedRegular r:id="rIdF6" w:fontKey="{40FE3F0F-962B-4B2F-A157-8360586C46A1}"/>
    <w:embedBold r:id="rIdF7" w:fontKey="{A79CF569-DDEC-4DAE-820D-CF50913D2296}"/>
  </w:font>
  <w:font w:name="Barlow Condensed Medium">
    <w:charset w:val="00"/>
    <w:family w:val="swiss"/>
    <w:pitch w:val="variable"/>
    <w:embedRegular r:id="rIdF8" w:fontKey="{0A21C469-390B-47B2-8C49-A947E74F4489}"/>
  </w:font>
  <w:font w:name="Barlow Condensed SemiBold">
    <w:charset w:val="00"/>
    <w:family w:val="swiss"/>
    <w:pitch w:val="variable"/>
    <w:embedRegular r:id="rIdF9" w:fontKey="{6A9BB3CF-9A62-4406-AD64-18C5B65E1537}"/>
  </w:font>
  <w:font w:name="Segoe UI Symbol">
    <w:charset w:val="00"/>
    <w:family w:val="swiss"/>
    <w:pitch w:val="variable"/>
  </w:font>
</w:fonts>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both"/>
    </w:pPr>
  </w:p>
</w:ftr>
</file>

<file path=word/footer6.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lio"/>
      <w:spacing w:before="0" w:after="0" w:line="240" w:lineRule="auto"/>
      <w:jc w:val="right"/>
      <w:rPr>
        <w:rFonts w:ascii="Barlow Condensed SemiBold" w:hAnsi="Barlow Condensed SemiBold" w:cs="Barlow Condensed SemiBold" w:eastAsia="Barlow Condensed SemiBold"/>
        <w:color w:val="FFFFFF"/>
        <w:sz w:val="21"/>
        <w:szCs w:val="21"/>
      </w:rPr>
    </w:pPr>
    <w:fldSimple w:instr=" PAGE ">
      <w:r>
        <w:rPr>
          <w:rFonts w:ascii="Barlow Condensed SemiBold" w:hAnsi="Barlow Condensed SemiBold" w:cs="Barlow Condensed SemiBold" w:eastAsia="Barlow Condensed SemiBold"/>
          <w:color w:val="FFFFFF"/>
          <w:sz w:val="21"/>
          <w:szCs w:val="21"/>
        </w:rPr>
        <w:t>1</w:t>
      </w:r>
    </w:fldSimple>
  </w:p>
</w:ftr>
</file>

<file path=word/footer7.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lio"/>
      <w:spacing w:before="0" w:after="0" w:line="240" w:lineRule="auto"/>
      <w:jc w:val="left"/>
      <w:rPr>
        <w:rFonts w:ascii="Barlow Condensed SemiBold" w:hAnsi="Barlow Condensed SemiBold" w:cs="Barlow Condensed SemiBold" w:eastAsia="Barlow Condensed SemiBold"/>
        <w:color w:val="FFFFFF"/>
        <w:sz w:val="21"/>
        <w:szCs w:val="21"/>
      </w:rPr>
    </w:pPr>
    <w:fldSimple w:instr=" PAGE ">
      <w:r>
        <w:rPr>
          <w:rFonts w:ascii="Barlow Condensed SemiBold" w:hAnsi="Barlow Condensed SemiBold" w:cs="Barlow Condensed SemiBold" w:eastAsia="Barlow Condensed SemiBold"/>
          <w:color w:val="FFFFFF"/>
          <w:sz w:val="21"/>
          <w:szCs w:val="21"/>
        </w:rPr>
        <w:t>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01" name="Fundo 1"/>
          <wp:cNvGraphicFramePr/>
          <a:graphic xmlns:a="http://schemas.openxmlformats.org/drawingml/2006/main">
            <a:graphicData uri="http://schemas.openxmlformats.org/drawingml/2006/picture">
              <pic:pic xmlns:pic="http://schemas.openxmlformats.org/drawingml/2006/picture">
                <pic:nvPicPr>
                  <pic:cNvPr id="5001" name="Fundo 1"/>
                  <pic:cNvPicPr/>
                </pic:nvPicPr>
                <pic:blipFill>
                  <a:blip r:embed="rIdB1"/>
                  <a:stretch>
                    <a:fillRect/>
                  </a:stretch>
                </pic:blipFill>
                <pic:spPr>
                  <a:xfrm>
                    <a:off x="0" y="0"/>
                    <a:ext cx="7560310" cy="10692130"/>
                  </a:xfrm>
                  <a:prstGeom prst="rect">
                    <a:avLst/>
                  </a:prstGeom>
                </pic:spPr>
              </pic:pic>
            </a:graphicData>
          </a:graphic>
        </wp:anchor>
      </w:drawing>
    </w:r>
  </w:p>
</w:hdr>
</file>

<file path=word/header3.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03" name="Fundo 3"/>
          <wp:cNvGraphicFramePr/>
          <a:graphic xmlns:a="http://schemas.openxmlformats.org/drawingml/2006/main">
            <a:graphicData uri="http://schemas.openxmlformats.org/drawingml/2006/picture">
              <pic:pic xmlns:pic="http://schemas.openxmlformats.org/drawingml/2006/picture">
                <pic:nvPicPr>
                  <pic:cNvPr id="5003" name="Fundo 3"/>
                  <pic:cNvPicPr/>
                </pic:nvPicPr>
                <pic:blipFill>
                  <a:blip r:embed="rIdB1"/>
                  <a:stretch>
                    <a:fillRect/>
                  </a:stretch>
                </pic:blipFill>
                <pic:spPr>
                  <a:xfrm>
                    <a:off x="0" y="0"/>
                    <a:ext cx="7560310" cy="10692130"/>
                  </a:xfrm>
                  <a:prstGeom prst="rect">
                    <a:avLst/>
                  </a:prstGeom>
                </pic:spPr>
              </pic:pic>
            </a:graphicData>
          </a:graphic>
        </wp:anchor>
      </w:drawing>
    </w:r>
  </w:p>
</w:hdr>
</file>

<file path=word/header4.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04" name="Fundo 4"/>
          <wp:cNvGraphicFramePr/>
          <a:graphic xmlns:a="http://schemas.openxmlformats.org/drawingml/2006/main">
            <a:graphicData uri="http://schemas.openxmlformats.org/drawingml/2006/picture">
              <pic:pic xmlns:pic="http://schemas.openxmlformats.org/drawingml/2006/picture">
                <pic:nvPicPr>
                  <pic:cNvPr id="5004" name="Fundo 4"/>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1 APRESENTAÇÃO E JUSTIFICATIVA  </w:t>
    </w:r>
  </w:p>
</w:hdr>
</file>

<file path=word/header5.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lef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05" name="Fundo 5"/>
          <wp:cNvGraphicFramePr/>
          <a:graphic xmlns:a="http://schemas.openxmlformats.org/drawingml/2006/main">
            <a:graphicData uri="http://schemas.openxmlformats.org/drawingml/2006/picture">
              <pic:pic xmlns:pic="http://schemas.openxmlformats.org/drawingml/2006/picture">
                <pic:nvPicPr>
                  <pic:cNvPr id="5005" name="Fundo 5"/>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ÍNDICE DE NECESSIDADE DE SAÚDE (INS)  </w:t>
    </w:r>
  </w:p>
</w:hdr>
</file>

<file path=word/header8.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08" name="Fundo 8"/>
          <wp:cNvGraphicFramePr/>
          <a:graphic xmlns:a="http://schemas.openxmlformats.org/drawingml/2006/main">
            <a:graphicData uri="http://schemas.openxmlformats.org/drawingml/2006/picture">
              <pic:pic xmlns:pic="http://schemas.openxmlformats.org/drawingml/2006/picture">
                <pic:nvPicPr>
                  <pic:cNvPr id="5008" name="Fundo 8"/>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2 OBJETIVOS  </w:t>
    </w:r>
  </w:p>
</w:hdr>
</file>

<file path=word/header9.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09" name="Fundo 9"/>
          <wp:cNvGraphicFramePr/>
          <a:graphic xmlns:a="http://schemas.openxmlformats.org/drawingml/2006/main">
            <a:graphicData uri="http://schemas.openxmlformats.org/drawingml/2006/picture">
              <pic:pic xmlns:pic="http://schemas.openxmlformats.org/drawingml/2006/picture">
                <pic:nvPicPr>
                  <pic:cNvPr id="5009" name="Fundo 9"/>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3 DISCUSSÃO TEÓRICO-METODOLÓGICA  </w:t>
    </w:r>
  </w:p>
</w:hdr>
</file>

<file path=word/header10.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0" name="Fundo 10"/>
          <wp:cNvGraphicFramePr/>
          <a:graphic xmlns:a="http://schemas.openxmlformats.org/drawingml/2006/main">
            <a:graphicData uri="http://schemas.openxmlformats.org/drawingml/2006/picture">
              <pic:pic xmlns:pic="http://schemas.openxmlformats.org/drawingml/2006/picture">
                <pic:nvPicPr>
                  <pic:cNvPr id="5010" name="Fundo 10"/>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4 CESTA DE INDICADORES  </w:t>
    </w:r>
  </w:p>
</w:hdr>
</file>

<file path=word/header1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1" name="Fundo 11"/>
          <wp:cNvGraphicFramePr/>
          <a:graphic xmlns:a="http://schemas.openxmlformats.org/drawingml/2006/main">
            <a:graphicData uri="http://schemas.openxmlformats.org/drawingml/2006/picture">
              <pic:pic xmlns:pic="http://schemas.openxmlformats.org/drawingml/2006/picture">
                <pic:nvPicPr>
                  <pic:cNvPr id="5011" name="Fundo 11"/>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5 METODOLOGIA DE CÁLCULO  </w:t>
    </w:r>
  </w:p>
</w:hdr>
</file>

<file path=word/header1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2" name="Fundo 12"/>
          <wp:cNvGraphicFramePr/>
          <a:graphic xmlns:a="http://schemas.openxmlformats.org/drawingml/2006/main">
            <a:graphicData uri="http://schemas.openxmlformats.org/drawingml/2006/picture">
              <pic:pic xmlns:pic="http://schemas.openxmlformats.org/drawingml/2006/picture">
                <pic:nvPicPr>
                  <pic:cNvPr id="5012" name="Fundo 12"/>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6 PLANO DE VALIDAÇÃO  </w:t>
    </w:r>
  </w:p>
</w:hdr>
</file>

<file path=word/header13.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3" name="Fundo 13"/>
          <wp:cNvGraphicFramePr/>
          <a:graphic xmlns:a="http://schemas.openxmlformats.org/drawingml/2006/main">
            <a:graphicData uri="http://schemas.openxmlformats.org/drawingml/2006/picture">
              <pic:pic xmlns:pic="http://schemas.openxmlformats.org/drawingml/2006/picture">
                <pic:nvPicPr>
                  <pic:cNvPr id="5013" name="Fundo 13"/>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7 RISCOS, LIMITAÇÕES E USOS PREVISTOS  </w:t>
    </w:r>
  </w:p>
</w:hdr>
</file>

<file path=word/header14.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4" name="Fundo 14"/>
          <wp:cNvGraphicFramePr/>
          <a:graphic xmlns:a="http://schemas.openxmlformats.org/drawingml/2006/main">
            <a:graphicData uri="http://schemas.openxmlformats.org/drawingml/2006/picture">
              <pic:pic xmlns:pic="http://schemas.openxmlformats.org/drawingml/2006/picture">
                <pic:nvPicPr>
                  <pic:cNvPr id="5014" name="Fundo 14"/>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8 APLICAÇÃO AO DISTRITO FEDERAL: O INS-DF…  </w:t>
    </w:r>
  </w:p>
</w:hdr>
</file>

<file path=word/header15.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5" name="Fundo 15"/>
          <wp:cNvGraphicFramePr/>
          <a:graphic xmlns:a="http://schemas.openxmlformats.org/drawingml/2006/main">
            <a:graphicData uri="http://schemas.openxmlformats.org/drawingml/2006/picture">
              <pic:pic xmlns:pic="http://schemas.openxmlformats.org/drawingml/2006/picture">
                <pic:nvPicPr>
                  <pic:cNvPr id="5015" name="Fundo 15"/>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9 VERIFICAÇÕES PENDENTES ANTES DA PRIMEIRA…  </w:t>
    </w:r>
  </w:p>
</w:hdr>
</file>

<file path=word/header16.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6" name="Fundo 16"/>
          <wp:cNvGraphicFramePr/>
          <a:graphic xmlns:a="http://schemas.openxmlformats.org/drawingml/2006/main">
            <a:graphicData uri="http://schemas.openxmlformats.org/drawingml/2006/picture">
              <pic:pic xmlns:pic="http://schemas.openxmlformats.org/drawingml/2006/picture">
                <pic:nvPicPr>
                  <pic:cNvPr id="5016" name="Fundo 16"/>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REFERÊNCIAS  </w:t>
    </w:r>
  </w:p>
</w:hdr>
</file>

<file path=word/header17.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7" name="Fundo 17"/>
          <wp:cNvGraphicFramePr/>
          <a:graphic xmlns:a="http://schemas.openxmlformats.org/drawingml/2006/main">
            <a:graphicData uri="http://schemas.openxmlformats.org/drawingml/2006/picture">
              <pic:pic xmlns:pic="http://schemas.openxmlformats.org/drawingml/2006/picture">
                <pic:nvPicPr>
                  <pic:cNvPr id="5017" name="Fundo 17"/>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ANEXO A — NOTA METODOLÓGICA  </w:t>
    </w:r>
  </w:p>
</w:hdr>
</file>

<file path=word/header18.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8" name="Fundo 18"/>
          <wp:cNvGraphicFramePr/>
          <a:graphic xmlns:a="http://schemas.openxmlformats.org/drawingml/2006/main">
            <a:graphicData uri="http://schemas.openxmlformats.org/drawingml/2006/picture">
              <pic:pic xmlns:pic="http://schemas.openxmlformats.org/drawingml/2006/picture">
                <pic:nvPicPr>
                  <pic:cNvPr id="5018" name="Fundo 18"/>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ANEXO B  </w:t>
    </w:r>
  </w:p>
</w:hdr>
</file>

<file path=word/header19.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5019" name="Fundo 19"/>
          <wp:cNvGraphicFramePr/>
          <a:graphic xmlns:a="http://schemas.openxmlformats.org/drawingml/2006/main">
            <a:graphicData uri="http://schemas.openxmlformats.org/drawingml/2006/picture">
              <pic:pic xmlns:pic="http://schemas.openxmlformats.org/drawingml/2006/picture">
                <pic:nvPicPr>
                  <pic:cNvPr id="5019" name="Fundo 19"/>
                  <pic:cNvPicPr/>
                </pic:nvPicPr>
                <pic:blipFill>
                  <a:blip r:embed="rIdB1"/>
                  <a:stretch>
                    <a:fillRect/>
                  </a:stretch>
                </pic:blipFill>
                <pic:spPr>
                  <a:xfrm>
                    <a:off x="0" y="0"/>
                    <a:ext cx="7560310" cy="10692130"/>
                  </a:xfrm>
                  <a:prstGeom prst="rect">
                    <a:avLst/>
                  </a:prstGeom>
                </pic:spPr>
              </pic:pic>
            </a:graphicData>
          </a:graphic>
        </wp:anchor>
      </w:drawing>
    </w:r>
    <w:r>
      <w:rPr>
        <w:rFonts w:ascii="Barlow Condensed SemiBold" w:hAnsi="Barlow Condensed SemiBold" w:cs="Barlow Condensed SemiBold" w:eastAsia="Barlow Condensed SemiBold"/>
        <w:color w:val="FFFFFF"/>
        <w:sz w:val="15"/>
        <w:szCs w:val="15"/>
        <w:shd w:val="clear" w:color="auto" w:fill="01366F"/>
      </w:rPr>
      <w:t xml:space="preserve">  ANEXO C  </w:t>
    </w:r>
  </w:p>
</w:hdr>
</file>

<file path=word/numbering.xml><?xml version="1.0" encoding="utf-8"?>
<w:numbering xmlns:w="http://schemas.openxmlformats.org/wordprocessingml/2006/main">
  <w:abstractNum w:abstractNumId="11">
    <w:multiLevelType w:val="singleLevel"/>
    <w:lvl w:ilvl="0">
      <w:start w:val="1"/>
      <w:numFmt w:val="decimal"/>
      <w:lvlText w:val="%1."/>
      <w:lvlJc w:val="left"/>
      <w:pPr>
        <w:ind w:left="380" w:hanging="300"/>
      </w:pPr>
      <w:rPr>
        <w:rFonts w:ascii="Barlow Condensed SemiBold" w:hAnsi="Barlow Condensed SemiBold"/>
        <w:color w:val="007614"/>
        <w:sz w:val="21"/>
      </w:rPr>
    </w:lvl>
  </w:abstractNum>
  <w:abstractNum w:abstractNumId="12">
    <w:multiLevelType w:val="singleLevel"/>
    <w:lvl w:ilvl="0">
      <w:start w:val="1"/>
      <w:numFmt w:val="decimal"/>
      <w:lvlText w:val="%1."/>
      <w:lvlJc w:val="left"/>
      <w:pPr>
        <w:ind w:left="380" w:hanging="300"/>
      </w:pPr>
      <w:rPr>
        <w:rFonts w:ascii="Barlow Condensed SemiBold" w:hAnsi="Barlow Condensed SemiBold"/>
        <w:color w:val="007614"/>
        <w:sz w:val="21"/>
      </w:rPr>
    </w:lvl>
  </w:abstractNum>
  <w:abstractNum w:abstractNumId="13">
    <w:multiLevelType w:val="singleLevel"/>
    <w:lvl w:ilvl="0">
      <w:start w:val="1"/>
      <w:numFmt w:val="bullet"/>
      <w:lvlText w:val="•"/>
      <w:lvlJc w:val="left"/>
      <w:pPr>
        <w:ind w:left="340" w:hanging="240"/>
      </w:pPr>
      <w:rPr>
        <w:rFonts w:ascii="Barlow" w:hAnsi="Barlow"/>
        <w:color w:val="007614"/>
        <w:sz w:val="24"/>
      </w:rPr>
    </w:lvl>
  </w:abstractNum>
  <w:abstractNum w:abstractNumId="14">
    <w:multiLevelType w:val="singleLevel"/>
    <w:lvl w:ilvl="0">
      <w:start w:val="1"/>
      <w:numFmt w:val="decimal"/>
      <w:lvlText w:val="%1."/>
      <w:lvlJc w:val="left"/>
      <w:pPr>
        <w:ind w:left="380" w:hanging="300"/>
      </w:pPr>
      <w:rPr>
        <w:rFonts w:ascii="Barlow Condensed SemiBold" w:hAnsi="Barlow Condensed SemiBold"/>
        <w:color w:val="007614"/>
        <w:sz w:val="21"/>
      </w:rPr>
    </w:lvl>
  </w:abstractNum>
  <w:abstractNum w:abstractNumId="15">
    <w:multiLevelType w:val="singleLevel"/>
    <w:lvl w:ilvl="0">
      <w:start w:val="1"/>
      <w:numFmt w:val="bullet"/>
      <w:lvlText w:val="•"/>
      <w:lvlJc w:val="left"/>
      <w:pPr>
        <w:ind w:left="340" w:hanging="240"/>
      </w:pPr>
      <w:rPr>
        <w:rFonts w:ascii="Barlow" w:hAnsi="Barlow"/>
        <w:color w:val="007614"/>
        <w:sz w:val="24"/>
      </w:rPr>
    </w:lvl>
  </w:abstractNum>
  <w:abstractNum w:abstractNumId="16">
    <w:multiLevelType w:val="singleLevel"/>
    <w:lvl w:ilvl="0">
      <w:start w:val="1"/>
      <w:numFmt w:val="decimal"/>
      <w:lvlText w:val="%1."/>
      <w:lvlJc w:val="left"/>
      <w:pPr>
        <w:ind w:left="380" w:hanging="300"/>
      </w:pPr>
      <w:rPr>
        <w:rFonts w:ascii="Barlow Condensed SemiBold" w:hAnsi="Barlow Condensed SemiBold"/>
        <w:color w:val="007614"/>
        <w:sz w:val="21"/>
      </w:rPr>
    </w:lvl>
  </w:abstractNum>
  <w:abstractNum w:abstractNumId="17">
    <w:multiLevelType w:val="singleLevel"/>
    <w:lvl w:ilvl="0">
      <w:start w:val="1"/>
      <w:numFmt w:val="bullet"/>
      <w:lvlText w:val="•"/>
      <w:lvlJc w:val="left"/>
      <w:pPr>
        <w:ind w:left="340" w:hanging="240"/>
      </w:pPr>
      <w:rPr>
        <w:rFonts w:ascii="Barlow" w:hAnsi="Barlow"/>
        <w:color w:val="007614"/>
        <w:sz w:val="24"/>
      </w:rPr>
    </w:lvl>
  </w:abstract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embedTrueTypeFonts/>
  <w:defaultTabStop w:val="708"/>
  <w:hyphenationZone w:val="425"/>
  <w:evenAndOddHeaders/>
  <w:characterSpacingControl w:val="doNotCompress"/>
  <w:compat>
    <w:compatSetting w:name="compatibilityMode" w:uri="http://schemas.microsoft.com/office/word" w:val="15"/>
  </w:compat>
  <w:themeFontLang w:val="pt-BR"/>
</w:settings>
</file>

<file path=word/styles.xml><?xml version="1.0" encoding="utf-8"?>
<w:styles xmlns:w="http://schemas.openxmlformats.org/wordprocessingml/2006/main">
  <w:docDefaults>
    <w:rPrDefault>
      <w:rPr>
        <w:rFonts w:ascii="Barlow" w:hAnsi="Barlow" w:cs="Barlow" w:eastAsia="Barlow"/>
        <w:color w:val="0F2440"/>
        <w:sz w:val="20"/>
        <w:szCs w:val="20"/>
        <w:lang w:val="pt-BR" w:eastAsia="en-US" w:bidi="ar-SA"/>
      </w:rPr>
    </w:rPrDefault>
    <w:pPrDefault>
      <w:pPr>
        <w:spacing w:after="120" w:line="300" w:lineRule="auto"/>
      </w:pPr>
    </w:pPrDefault>
  </w:docDefaults>
  <w:style w:type="paragraph" w:default="1" w:styleId="Normal">
    <w:name w:val="Normal"/>
    <w:qFormat/>
    <w:pPr>
      <w:jc w:val="both"/>
    </w:pPr>
    <w:rPr/>
  </w:style>
  <w:style w:type="paragraph" w:styleId="Heading1">
    <w:name w:val="heading 1"/>
    <w:basedOn w:val="Normal"/>
    <w:next w:val="Normal"/>
    <w:qFormat/>
    <w:pPr>
      <w:keepNext/>
      <w:outlineLvl w:val="0"/>
    </w:pPr>
    <w:rPr>
      <w:rFonts w:ascii="Barlow Condensed" w:hAnsi="Barlow Condensed"/>
      <w:b/>
      <w:color w:val="01366F"/>
      <w:sz w:val="56"/>
    </w:rPr>
  </w:style>
  <w:style w:type="paragraph" w:styleId="Heading2">
    <w:name w:val="heading 2"/>
    <w:basedOn w:val="Normal"/>
    <w:next w:val="Normal"/>
    <w:qFormat/>
    <w:pPr>
      <w:keepNext/>
      <w:outlineLvl w:val="1"/>
    </w:pPr>
    <w:rPr>
      <w:rFonts w:ascii="Barlow Condensed SemiBold" w:hAnsi="Barlow Condensed SemiBold"/>
      <w:color w:val="007614"/>
      <w:sz w:val="32"/>
    </w:rPr>
  </w:style>
  <w:style w:type="paragraph" w:styleId="Heading3">
    <w:name w:val="heading 3"/>
    <w:basedOn w:val="Normal"/>
    <w:next w:val="Normal"/>
    <w:qFormat/>
    <w:pPr>
      <w:keepNext/>
      <w:outlineLvl w:val="2"/>
    </w:pPr>
    <w:rPr>
      <w:rFonts w:ascii="Barlow Condensed SemiBold" w:hAnsi="Barlow Condensed SemiBold"/>
      <w:color w:val="01366F"/>
      <w:sz w:val="25"/>
    </w:rPr>
  </w:style>
  <w:style w:type="paragraph" w:styleId="Heading4">
    <w:name w:val="heading 4"/>
    <w:basedOn w:val="Normal"/>
    <w:next w:val="Normal"/>
    <w:qFormat/>
    <w:pPr>
      <w:keepNext/>
      <w:outlineLvl w:val="3"/>
    </w:pPr>
    <w:rPr>
      <w:rFonts w:ascii="Barlow SemiBold" w:hAnsi="Barlow SemiBold"/>
      <w:color w:val="01366F"/>
    </w:rPr>
  </w:style>
  <w:style w:type="paragraph" w:styleId="Folio">
    <w:name w:val="Fólio"/>
    <w:basedOn w:val="Normal"/>
    <w:qFormat/>
    <w:pPr/>
    <w:rPr>
      <w:rFonts w:ascii="Barlow Condensed SemiBold" w:hAnsi="Barlow Condensed SemiBold"/>
      <w:color w:val="FFFFFF"/>
      <w:sz w:val="21"/>
    </w:rPr>
  </w:style>
  <w:style w:type="paragraph" w:styleId="ListParagraph">
    <w:name w:val="List Paragraph"/>
    <w:basedOn w:val="Normal"/>
    <w:qFormat/>
    <w:pPr>
      <w:ind w:left="340"/>
      <w:contextualSpacing/>
    </w:pPr>
    <w:rPr/>
  </w:style>
  <w:style w:type="paragraph" w:styleId="TOC1">
    <w:name w:val="toc 1"/>
    <w:basedOn w:val="Normal"/>
    <w:qFormat/>
    <w:pPr/>
    <w:rPr/>
  </w:style>
  <w:style w:type="paragraph" w:styleId="TOC2">
    <w:name w:val="toc 2"/>
    <w:basedOn w:val="Normal"/>
    <w:qFormat/>
    <w:pPr>
      <w:ind w:left="300"/>
    </w:pPr>
    <w:rPr/>
  </w:style>
  <w:style w:type="paragraph" w:styleId="TOC3">
    <w:name w:val="toc 3"/>
    <w:basedOn w:val="Normal"/>
    <w:qFormat/>
    <w:pPr>
      <w:ind w:left="600"/>
    </w:pPr>
    <w:rPr/>
  </w:style>
  <w:style w:type="character" w:styleId="Hyperlink">
    <w:name w:val="Hyperlink"/>
    <w:rPr/>
  </w:style>
  <w:style w:type="table" w:default="1" w:styleId="TableNormal">
    <w:name w:val="Normal Table"/>
    <w:tblPr>
      <w:tblInd w:w="0" w:type="dxa"/>
      <w:tblCellMar>
        <w:top w:w="0" w:type="dxa"/>
        <w:left w:w="108" w:type="dxa"/>
        <w:bottom w:w="0" w:type="dxa"/>
        <w:right w:w="108" w:type="dxa"/>
      </w:tblCellMar>
    </w:tblPr>
  </w:style>
  <w:style w:type="paragraph" w:styleId="TOC9">
    <w:name w:val="table of figures"/>
    <w:basedOn w:val="Normal"/>
    <w:qFormat/>
    <w:pPr/>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theme" Target="theme/theme1.xml"/><Relationship Id="rId10" Type="http://schemas.openxmlformats.org/officeDocument/2006/relationships/image" Target="media/img5.png"/><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header" Target="header8.xml"/><Relationship Id="rId19" Type="http://schemas.openxmlformats.org/officeDocument/2006/relationships/header" Target="head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header" Target="header13.xml"/><Relationship Id="rId24" Type="http://schemas.openxmlformats.org/officeDocument/2006/relationships/header" Target="header14.xml"/><Relationship Id="rId25" Type="http://schemas.openxmlformats.org/officeDocument/2006/relationships/header" Target="header15.xml"/><Relationship Id="rId26" Type="http://schemas.openxmlformats.org/officeDocument/2006/relationships/header" Target="header16.xml"/><Relationship Id="rId27" Type="http://schemas.openxmlformats.org/officeDocument/2006/relationships/header" Target="header17.xml"/><Relationship Id="rId28" Type="http://schemas.openxmlformats.org/officeDocument/2006/relationships/header" Target="header18.xml"/><Relationship Id="rId29" Type="http://schemas.openxmlformats.org/officeDocument/2006/relationships/header" Target="header19.xm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 Id="rIdF5" Type="http://schemas.openxmlformats.org/officeDocument/2006/relationships/font" Target="fonts/font5.odttf"/><Relationship Id="rIdF6" Type="http://schemas.openxmlformats.org/officeDocument/2006/relationships/font" Target="fonts/font6.odttf"/><Relationship Id="rIdF7" Type="http://schemas.openxmlformats.org/officeDocument/2006/relationships/font" Target="fonts/font7.odttf"/><Relationship Id="rIdF8" Type="http://schemas.openxmlformats.org/officeDocument/2006/relationships/font" Target="fonts/font8.odttf"/><Relationship Id="rIdF9" Type="http://schemas.openxmlformats.org/officeDocument/2006/relationships/font" Target="fonts/font9.odttf"/></Relationships>
</file>

<file path=word/_rels/header1.xml.rels><?xml version="1.0" encoding="UTF-8" standalone="yes"?><Relationships xmlns="http://schemas.openxmlformats.org/package/2006/relationships"><Relationship Id="rIdB1" Type="http://schemas.openxmlformats.org/officeDocument/2006/relationships/image" Target="media/bg1.png"/></Relationships>
</file>

<file path=word/_rels/header3.xml.rels><?xml version="1.0" encoding="UTF-8" standalone="yes"?><Relationships xmlns="http://schemas.openxmlformats.org/package/2006/relationships"><Relationship Id="rIdB1" Type="http://schemas.openxmlformats.org/officeDocument/2006/relationships/image" Target="media/bg2.png"/></Relationships>
</file>

<file path=word/_rels/header4.xml.rels><?xml version="1.0" encoding="UTF-8" standalone="yes"?><Relationships xmlns="http://schemas.openxmlformats.org/package/2006/relationships"><Relationship Id="rIdB1" Type="http://schemas.openxmlformats.org/officeDocument/2006/relationships/image" Target="media/bg3.png"/></Relationships>
</file>

<file path=word/_rels/header5.xml.rels><?xml version="1.0" encoding="UTF-8" standalone="yes"?><Relationships xmlns="http://schemas.openxmlformats.org/package/2006/relationships"><Relationship Id="rIdB1" Type="http://schemas.openxmlformats.org/officeDocument/2006/relationships/image" Target="media/bg4.png"/></Relationships>
</file>

<file path=word/_rels/header8.xml.rels><?xml version="1.0" encoding="UTF-8" standalone="yes"?><Relationships xmlns="http://schemas.openxmlformats.org/package/2006/relationships"><Relationship Id="rIdB1" Type="http://schemas.openxmlformats.org/officeDocument/2006/relationships/image" Target="media/bg3.png"/></Relationships>
</file>

<file path=word/_rels/header9.xml.rels><?xml version="1.0" encoding="UTF-8" standalone="yes"?><Relationships xmlns="http://schemas.openxmlformats.org/package/2006/relationships"><Relationship Id="rIdB1" Type="http://schemas.openxmlformats.org/officeDocument/2006/relationships/image" Target="media/bg3.png"/></Relationships>
</file>

<file path=word/_rels/header10.xml.rels><?xml version="1.0" encoding="UTF-8" standalone="yes"?><Relationships xmlns="http://schemas.openxmlformats.org/package/2006/relationships"><Relationship Id="rIdB1" Type="http://schemas.openxmlformats.org/officeDocument/2006/relationships/image" Target="media/bg3.png"/></Relationships>
</file>

<file path=word/_rels/header11.xml.rels><?xml version="1.0" encoding="UTF-8" standalone="yes"?><Relationships xmlns="http://schemas.openxmlformats.org/package/2006/relationships"><Relationship Id="rIdB1" Type="http://schemas.openxmlformats.org/officeDocument/2006/relationships/image" Target="media/bg3.png"/></Relationships>
</file>

<file path=word/_rels/header12.xml.rels><?xml version="1.0" encoding="UTF-8" standalone="yes"?><Relationships xmlns="http://schemas.openxmlformats.org/package/2006/relationships"><Relationship Id="rIdB1" Type="http://schemas.openxmlformats.org/officeDocument/2006/relationships/image" Target="media/bg3.png"/></Relationships>
</file>

<file path=word/_rels/header13.xml.rels><?xml version="1.0" encoding="UTF-8" standalone="yes"?><Relationships xmlns="http://schemas.openxmlformats.org/package/2006/relationships"><Relationship Id="rIdB1" Type="http://schemas.openxmlformats.org/officeDocument/2006/relationships/image" Target="media/bg3.png"/></Relationships>
</file>

<file path=word/_rels/header14.xml.rels><?xml version="1.0" encoding="UTF-8" standalone="yes"?><Relationships xmlns="http://schemas.openxmlformats.org/package/2006/relationships"><Relationship Id="rIdB1" Type="http://schemas.openxmlformats.org/officeDocument/2006/relationships/image" Target="media/bg3.png"/></Relationships>
</file>

<file path=word/_rels/header15.xml.rels><?xml version="1.0" encoding="UTF-8" standalone="yes"?><Relationships xmlns="http://schemas.openxmlformats.org/package/2006/relationships"><Relationship Id="rIdB1" Type="http://schemas.openxmlformats.org/officeDocument/2006/relationships/image" Target="media/bg3.png"/></Relationships>
</file>

<file path=word/_rels/header16.xml.rels><?xml version="1.0" encoding="UTF-8" standalone="yes"?><Relationships xmlns="http://schemas.openxmlformats.org/package/2006/relationships"><Relationship Id="rIdB1" Type="http://schemas.openxmlformats.org/officeDocument/2006/relationships/image" Target="media/bg3.png"/></Relationships>
</file>

<file path=word/_rels/header17.xml.rels><?xml version="1.0" encoding="UTF-8" standalone="yes"?><Relationships xmlns="http://schemas.openxmlformats.org/package/2006/relationships"><Relationship Id="rIdB1" Type="http://schemas.openxmlformats.org/officeDocument/2006/relationships/image" Target="media/bg3.png"/></Relationships>
</file>

<file path=word/_rels/header18.xml.rels><?xml version="1.0" encoding="UTF-8" standalone="yes"?><Relationships xmlns="http://schemas.openxmlformats.org/package/2006/relationships"><Relationship Id="rIdB1" Type="http://schemas.openxmlformats.org/officeDocument/2006/relationships/image" Target="media/bg3.png"/></Relationships>
</file>

<file path=word/_rels/header19.xml.rels><?xml version="1.0" encoding="UTF-8" standalone="yes"?><Relationships xmlns="http://schemas.openxmlformats.org/package/2006/relationships"><Relationship Id="rIdB1" Type="http://schemas.openxmlformats.org/officeDocument/2006/relationships/image" Target="media/bg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Projeto técnico do Índice de Necessidade de Saúde (INS)</dc:title>
  <dc:creator>Fiocruz Brasília · CoLaboratório CTIS · PICAPS</dc:creator>
  <dc:language>pt-BR</dc:language>
</cp:coreProperties>
</file>