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500" w:lineRule="exact"/>
        <w:jc w:val="both"/>
      </w:pPr>
    </w:p>
    <w:p>
      <w:pPr>
        <w:spacing w:before="0" w:after="40" w:line="250" w:lineRule="auto"/>
        <w:jc w:val="left"/>
      </w:pPr>
      <w:r>
        <w:rPr>
          <w:rFonts w:ascii="Barlow Condensed SemiBold" w:hAnsi="Barlow Condensed SemiBold" w:cs="Barlow Condensed SemiBold" w:eastAsia="Barlow Condensed SemiBold"/>
          <w:color w:val="007614"/>
          <w:sz w:val="17"/>
          <w:szCs w:val="17"/>
        </w:rPr>
        <w:t xml:space="preserve">FIOCRUZ BRASÍLIA — COLABORATÓRIO DE CIÊNCIA, TECNOLOGIA, INOVAÇÃO E SOCIEDADE (CTIS)</w:t>
      </w:r>
    </w:p>
    <w:p>
      <w:pPr>
        <w:spacing w:before="0" w:after="40" w:line="250" w:lineRule="auto"/>
        <w:jc w:val="left"/>
      </w:pPr>
      <w:r>
        <w:rPr>
          <w:rFonts w:ascii="Barlow Condensed SemiBold" w:hAnsi="Barlow Condensed SemiBold" w:cs="Barlow Condensed SemiBold" w:eastAsia="Barlow Condensed SemiBold"/>
          <w:color w:val="01366F"/>
          <w:sz w:val="17"/>
          <w:szCs w:val="17"/>
        </w:rPr>
        <w:t xml:space="preserve">PLATAFORMA DE INTELIGÊNCIA COOPERATIVA COM A ATENÇÃO PRIMÁRIA À SAÚDE (PICAPS)</w:t>
      </w:r>
    </w:p>
    <w:p>
      <w:pPr>
        <w:pBdr>
          <w:top w:val="single" w:sz="12" w:space="10" w:color="007614"/>
        </w:pBdr>
        <w:spacing w:before="420" w:after="160" w:line="260" w:lineRule="auto"/>
        <w:jc w:val="left"/>
      </w:pPr>
      <w:r>
        <w:rPr>
          <w:rFonts w:ascii="Barlow Condensed SemiBold" w:hAnsi="Barlow Condensed SemiBold" w:cs="Barlow Condensed SemiBold" w:eastAsia="Barlow Condensed SemiBold"/>
          <w:color w:val="007614"/>
          <w:sz w:val="19"/>
          <w:szCs w:val="19"/>
        </w:rPr>
        <w:t xml:space="preserve">GUIA METODOLÓGICO</w:t>
      </w:r>
    </w:p>
    <w:p>
      <w:pPr>
        <w:spacing w:before="0" w:after="0" w:line="848" w:lineRule="exact"/>
        <w:jc w:val="left"/>
      </w:pPr>
      <w:r>
        <w:rPr>
          <w:rFonts w:ascii="Barlow Condensed" w:hAnsi="Barlow Condensed" w:cs="Barlow Condensed" w:eastAsia="Barlow Condensed"/>
          <w:b/>
          <w:bCs/>
          <w:color w:val="01366F"/>
          <w:sz w:val="80"/>
          <w:szCs w:val="80"/>
        </w:rPr>
        <w:t xml:space="preserve">ÍNDICE DE VULNERABILIDADE TERRITORIAL (IVT)</w:t>
      </w:r>
    </w:p>
    <w:p>
      <w:pPr>
        <w:pBdr>
          <w:left w:val="single" w:sz="24" w:space="0" w:color="007614"/>
        </w:pBdr>
        <w:spacing w:before="300" w:after="0" w:line="560" w:lineRule="exact"/>
        <w:ind w:left="40"/>
        <w:jc w:val="left"/>
      </w:pPr>
    </w:p>
    <w:p>
      <w:pPr>
        <w:spacing w:before="200" w:after="0" w:line="300" w:lineRule="auto"/>
        <w:ind w:right="2400"/>
        <w:jc w:val="left"/>
      </w:pPr>
      <w:r>
        <w:rPr>
          <w:rFonts w:ascii="Barlow" w:hAnsi="Barlow" w:cs="Barlow" w:eastAsia="Barlow"/>
          <w:color w:val="01366F"/>
          <w:sz w:val="22"/>
          <w:szCs w:val="22"/>
        </w:rPr>
        <w:t xml:space="preserve">Cálculo intraterritorial a partir de registros contínuos da atenção primária e da proteção social, ancorados no Censo Demográfico e verificados pela cartografia social</w:t>
      </w:r>
    </w:p>
    <w:p>
      <w:pPr>
        <w:spacing w:before="300" w:after="0" w:line="270" w:lineRule="auto"/>
        <w:jc w:val="left"/>
        <w:sectPr>
          <w:headerReference w:type="default" r:id="rId13"/>
          <w:headerReference w:type="even" r:id="rId13"/>
          <w:footerReference w:type="default" r:id="rId14"/>
          <w:footerReference w:type="even" r:id="rId14"/>
          <w:type w:val="nextPage"/>
          <w:pgSz w:w="11906" w:h="16838"/>
          <w:pgMar w:top="1300" w:right="1361" w:bottom="1000" w:left="1361" w:header="850" w:footer="330" w:gutter="0"/>
          <w:cols w:space="720"/>
          <w:docGrid w:linePitch="360"/>
        </w:sectPr>
      </w:pPr>
      <w:r>
        <w:rPr>
          <w:rFonts w:ascii="Barlow SemiBold" w:hAnsi="Barlow SemiBold" w:cs="Barlow SemiBold" w:eastAsia="Barlow SemiBold"/>
          <w:color w:val="01366F"/>
          <w:sz w:val="20"/>
          <w:szCs w:val="20"/>
        </w:rPr>
        <w:t xml:space="preserve">Wagner de Jesus Martins, Fernanda Machiner, Maria Eduarda Silva, Jeferson Martins de Castro</w:t>
      </w:r>
    </w:p>
    <w:p>
      <w:pPr>
        <w:spacing w:before="0" w:after="0" w:line="6200" w:lineRule="exact"/>
        <w:jc w:val="both"/>
      </w:pPr>
    </w:p>
    <w:p>
      <w:pPr>
        <w:spacing w:before="0" w:after="120" w:line="280" w:lineRule="auto"/>
        <w:jc w:val="left"/>
      </w:pPr>
      <w:r>
        <w:rPr>
          <w:rFonts w:ascii="Barlow Condensed SemiBold" w:hAnsi="Barlow Condensed SemiBold" w:cs="Barlow Condensed SemiBold" w:eastAsia="Barlow Condensed SemiBold"/>
          <w:color w:val="007614"/>
          <w:sz w:val="19"/>
          <w:szCs w:val="19"/>
        </w:rPr>
        <w:t xml:space="preserve">Proponente:</w:t>
      </w:r>
      <w:r>
        <w:rPr>
          <w:rFonts w:ascii="Barlow" w:hAnsi="Barlow" w:cs="Barlow" w:eastAsia="Barlow"/>
          <w:color w:val="0F2440"/>
          <w:sz w:val="19"/>
          <w:szCs w:val="19"/>
        </w:rPr>
        <w:t xml:space="preserve"> Fiocruz Brasília / CoLaboratório CTIS</w:t>
      </w:r>
    </w:p>
    <w:p>
      <w:pPr>
        <w:spacing w:before="0" w:after="120" w:line="280" w:lineRule="auto"/>
        <w:jc w:val="left"/>
      </w:pPr>
      <w:r>
        <w:rPr>
          <w:rFonts w:ascii="Barlow Condensed SemiBold" w:hAnsi="Barlow Condensed SemiBold" w:cs="Barlow Condensed SemiBold" w:eastAsia="Barlow Condensed SemiBold"/>
          <w:color w:val="007614"/>
          <w:sz w:val="19"/>
          <w:szCs w:val="19"/>
        </w:rPr>
        <w:t xml:space="preserve">Vinculado a:</w:t>
      </w:r>
      <w:r>
        <w:rPr>
          <w:rFonts w:ascii="Barlow" w:hAnsi="Barlow" w:cs="Barlow" w:eastAsia="Barlow"/>
          <w:color w:val="0F2440"/>
          <w:sz w:val="19"/>
          <w:szCs w:val="19"/>
        </w:rPr>
        <w:t xml:space="preserve"> PICAPS — Protocolo de Inteligência Territorial (versão 2.0)</w:t>
      </w:r>
    </w:p>
    <w:p>
      <w:pPr>
        <w:spacing w:before="0" w:after="120" w:line="280" w:lineRule="auto"/>
        <w:jc w:val="left"/>
      </w:pPr>
      <w:r>
        <w:rPr>
          <w:rFonts w:ascii="Barlow Condensed SemiBold" w:hAnsi="Barlow Condensed SemiBold" w:cs="Barlow Condensed SemiBold" w:eastAsia="Barlow Condensed SemiBold"/>
          <w:color w:val="007614"/>
          <w:sz w:val="19"/>
          <w:szCs w:val="19"/>
        </w:rPr>
        <w:t xml:space="preserve">Versão:</w:t>
      </w:r>
      <w:r>
        <w:rPr>
          <w:rFonts w:ascii="Barlow" w:hAnsi="Barlow" w:cs="Barlow" w:eastAsia="Barlow"/>
          <w:color w:val="0F2440"/>
          <w:sz w:val="19"/>
          <w:szCs w:val="19"/>
        </w:rPr>
        <w:t xml:space="preserve"> 2.0 — Brasília, outubro de 2026</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0" w:line="290" w:lineRule="auto"/>
              <w:jc w:val="both"/>
            </w:pPr>
            <w:r>
              <w:rPr>
                <w:rFonts w:ascii="Barlow SemiBold" w:hAnsi="Barlow SemiBold" w:cs="Barlow SemiBold" w:eastAsia="Barlow SemiBold"/>
                <w:color w:val="01366F"/>
                <w:sz w:val="19"/>
                <w:szCs w:val="19"/>
              </w:rPr>
              <w:t xml:space="preserve">Nota de versão.</w:t>
            </w:r>
            <w:r>
              <w:rPr>
                <w:rFonts w:ascii="Barlow" w:hAnsi="Barlow" w:cs="Barlow" w:eastAsia="Barlow"/>
                <w:color w:val="0F2440"/>
                <w:sz w:val="19"/>
                <w:szCs w:val="19"/>
              </w:rPr>
              <w:t xml:space="preserve"> Esta versão substitui o Guia do Índice de Vulnerabilidade Territorial Ampliado (IVT+A), versão 1.0. O índice passa a chamar-se Índice de Vulnerabilidade Territorial (IVT) e muda em quatro pontos: (i) opera dentro do território (setor censitário), deixando a comparação entre municípios e Regiões Administrativas ao Índice de Necessidade de Saúde (INS); (ii) a cesta cai de 28 para 6 indicadores, todos com coleta regular; (iii) saem do índice os indicadores de morbimortalidade, de oferta de serviços e os produzidos pela própria intervenção, que passam à validação, à camada de oferta e ao Painel de Vigilância Integrada; (iv) os pesos deixam de ser recalibrados por território e a participação do território passa à validação de conteúdo, à verificação territorial e à deliberação. O Apêndice B registra, indicador por indicador, o destino de cada componente da versão anterior.</w:t>
            </w:r>
          </w:p>
        </w:tc>
      </w:tr>
    </w:tbl>
    <w:p>
      <w:pPr>
        <w:spacing w:before="0" w:after="0" w:line="160" w:lineRule="exact"/>
        <w:jc w:val="both"/>
        <w:sectPr>
          <w:headerReference w:type="default" r:id="rId15"/>
          <w:headerReference w:type="even" r:id="rId15"/>
          <w:footerReference w:type="default" r:id="rId14"/>
          <w:footerReference w:type="even" r:id="rId14"/>
          <w:type w:val="nextPage"/>
          <w:pgSz w:w="11906" w:h="16838"/>
          <w:pgMar w:top="1700" w:right="1531" w:bottom="1700" w:left="1531" w:header="850" w:footer="330" w:gutter="0"/>
          <w:cols w:space="720"/>
          <w:docGrid w:linePitch="360"/>
        </w:sectPr>
      </w:pPr>
    </w:p>
    <w:p>
      <w:pPr>
        <w:pBdr>
          <w:bottom w:val="single" w:sz="12" w:space="10" w:color="007614"/>
        </w:pBdr>
        <w:spacing w:before="0" w:after="480" w:line="300" w:lineRule="auto"/>
        <w:jc w:val="center"/>
      </w:pPr>
      <w:r>
        <w:rPr>
          <w:rFonts w:ascii="Barlow Condensed" w:hAnsi="Barlow Condensed" w:cs="Barlow Condensed" w:eastAsia="Barlow Condensed"/>
          <w:b/>
          <w:bCs/>
          <w:color w:val="01366F"/>
          <w:sz w:val="44"/>
          <w:szCs w:val="44"/>
        </w:rPr>
        <w:t xml:space="preserve">SUMÁRIO</w:t>
      </w:r>
    </w:p>
    <w:p>
      <w:pPr>
        <w:pStyle w:val="TOC1"/>
        <w:tabs>
          <w:tab w:val="right" w:leader="dot" w:pos="8844"/>
        </w:tabs>
        <w:spacing w:before="110" w:after="30" w:line="250" w:lineRule="auto"/>
        <w:ind w:right="400"/>
        <w:jc w:val="left"/>
      </w:pPr>
      <w:r>
        <w:fldChar w:fldCharType="begin"/>
      </w:r>
      <w:r>
        <w:instrText xml:space="preserve"> TOC \o "1-3" \h \z \u </w:instrText>
      </w:r>
      <w:r>
        <w:fldChar w:fldCharType="separate"/>
      </w:r>
      <w:hyperlink w:anchor="_h0" w:history="1">
        <w:r>
          <w:rPr>
            <w:rFonts w:ascii="Barlow Condensed SemiBold" w:hAnsi="Barlow Condensed SemiBold" w:cs="Barlow Condensed SemiBold" w:eastAsia="Barlow Condensed SemiBold"/>
            <w:color w:val="01366F"/>
            <w:sz w:val="19"/>
            <w:szCs w:val="19"/>
          </w:rPr>
          <w:t xml:space="preserve">APRESENTAÇÃO</w:t>
        </w:r>
        <w:r>
          <w:tab/>
        </w:r>
        <w:r>
          <w:rPr>
            <w:rFonts w:ascii="Barlow Condensed SemiBold" w:hAnsi="Barlow Condensed SemiBold" w:cs="Barlow Condensed SemiBold" w:eastAsia="Barlow Condensed SemiBold"/>
            <w:color w:val="007614"/>
            <w:sz w:val="19"/>
            <w:szCs w:val="19"/>
          </w:rPr>
          <w:t xml:space="preserve">5</w:t>
        </w:r>
      </w:hyperlink>
    </w:p>
    <w:p>
      <w:pPr>
        <w:pStyle w:val="TOC1"/>
        <w:tabs>
          <w:tab w:val="right" w:leader="dot" w:pos="8844"/>
        </w:tabs>
        <w:spacing w:before="110" w:after="30" w:line="250" w:lineRule="auto"/>
        <w:ind w:right="400"/>
        <w:jc w:val="left"/>
      </w:pPr>
      <w:hyperlink w:anchor="_h1" w:history="1">
        <w:r>
          <w:rPr>
            <w:rFonts w:ascii="Barlow Condensed SemiBold" w:hAnsi="Barlow Condensed SemiBold" w:cs="Barlow Condensed SemiBold" w:eastAsia="Barlow Condensed SemiBold"/>
            <w:color w:val="01366F"/>
            <w:sz w:val="19"/>
            <w:szCs w:val="19"/>
          </w:rPr>
          <w:t xml:space="preserve">1 FUNDAMENTOS CONCEITUAIS</w:t>
        </w:r>
        <w:r>
          <w:tab/>
        </w:r>
        <w:r>
          <w:rPr>
            <w:rFonts w:ascii="Barlow Condensed SemiBold" w:hAnsi="Barlow Condensed SemiBold" w:cs="Barlow Condensed SemiBold" w:eastAsia="Barlow Condensed SemiBold"/>
            <w:color w:val="007614"/>
            <w:sz w:val="19"/>
            <w:szCs w:val="19"/>
          </w:rPr>
          <w:t xml:space="preserve">6</w:t>
        </w:r>
      </w:hyperlink>
    </w:p>
    <w:p>
      <w:pPr>
        <w:pStyle w:val="TOC2"/>
        <w:tabs>
          <w:tab w:val="right" w:leader="dot" w:pos="8844"/>
        </w:tabs>
        <w:spacing w:before="0" w:after="20" w:line="250" w:lineRule="auto"/>
        <w:ind w:left="300" w:right="400"/>
        <w:jc w:val="left"/>
      </w:pPr>
      <w:hyperlink w:anchor="_h2" w:history="1">
        <w:r>
          <w:rPr>
            <w:rFonts w:ascii="Barlow" w:hAnsi="Barlow" w:cs="Barlow" w:eastAsia="Barlow"/>
            <w:color w:val="0F2440"/>
            <w:sz w:val="19"/>
            <w:szCs w:val="19"/>
          </w:rPr>
          <w:t xml:space="preserve">1.1 Vulnerabilidade territorial e determinação social da saúde</w:t>
        </w:r>
        <w:r>
          <w:tab/>
        </w:r>
        <w:r>
          <w:rPr>
            <w:rFonts w:ascii="Barlow Condensed SemiBold" w:hAnsi="Barlow Condensed SemiBold" w:cs="Barlow Condensed SemiBold" w:eastAsia="Barlow Condensed SemiBold"/>
            <w:color w:val="007614"/>
            <w:sz w:val="19"/>
            <w:szCs w:val="19"/>
          </w:rPr>
          <w:t xml:space="preserve">6</w:t>
        </w:r>
      </w:hyperlink>
    </w:p>
    <w:p>
      <w:pPr>
        <w:pStyle w:val="TOC2"/>
        <w:tabs>
          <w:tab w:val="right" w:leader="dot" w:pos="8844"/>
        </w:tabs>
        <w:spacing w:before="0" w:after="20" w:line="250" w:lineRule="auto"/>
        <w:ind w:left="300" w:right="400"/>
        <w:jc w:val="left"/>
      </w:pPr>
      <w:hyperlink w:anchor="_h3" w:history="1">
        <w:r>
          <w:rPr>
            <w:rFonts w:ascii="Barlow" w:hAnsi="Barlow" w:cs="Barlow" w:eastAsia="Barlow"/>
            <w:color w:val="0F2440"/>
            <w:sz w:val="19"/>
            <w:szCs w:val="19"/>
          </w:rPr>
          <w:t xml:space="preserve">1.2 O que o IVT mede e o que deliberadamente não mede</w:t>
        </w:r>
        <w:r>
          <w:tab/>
        </w:r>
        <w:r>
          <w:rPr>
            <w:rFonts w:ascii="Barlow Condensed SemiBold" w:hAnsi="Barlow Condensed SemiBold" w:cs="Barlow Condensed SemiBold" w:eastAsia="Barlow Condensed SemiBold"/>
            <w:color w:val="007614"/>
            <w:sz w:val="19"/>
            <w:szCs w:val="19"/>
          </w:rPr>
          <w:t xml:space="preserve">6</w:t>
        </w:r>
      </w:hyperlink>
    </w:p>
    <w:p>
      <w:pPr>
        <w:pStyle w:val="TOC2"/>
        <w:tabs>
          <w:tab w:val="right" w:leader="dot" w:pos="8844"/>
        </w:tabs>
        <w:spacing w:before="0" w:after="20" w:line="250" w:lineRule="auto"/>
        <w:ind w:left="300" w:right="400"/>
        <w:jc w:val="left"/>
      </w:pPr>
      <w:hyperlink w:anchor="_h4" w:history="1">
        <w:r>
          <w:rPr>
            <w:rFonts w:ascii="Barlow" w:hAnsi="Barlow" w:cs="Barlow" w:eastAsia="Barlow"/>
            <w:color w:val="0F2440"/>
            <w:sz w:val="19"/>
            <w:szCs w:val="19"/>
          </w:rPr>
          <w:t xml:space="preserve">1.3 O lugar do IVT no sistema de leitura da PICAPS</w:t>
        </w:r>
        <w:r>
          <w:tab/>
        </w:r>
        <w:r>
          <w:rPr>
            <w:rFonts w:ascii="Barlow Condensed SemiBold" w:hAnsi="Barlow Condensed SemiBold" w:cs="Barlow Condensed SemiBold" w:eastAsia="Barlow Condensed SemiBold"/>
            <w:color w:val="007614"/>
            <w:sz w:val="19"/>
            <w:szCs w:val="19"/>
          </w:rPr>
          <w:t xml:space="preserve">7</w:t>
        </w:r>
      </w:hyperlink>
    </w:p>
    <w:p>
      <w:pPr>
        <w:pStyle w:val="TOC2"/>
        <w:tabs>
          <w:tab w:val="right" w:leader="dot" w:pos="8844"/>
        </w:tabs>
        <w:spacing w:before="0" w:after="20" w:line="250" w:lineRule="auto"/>
        <w:ind w:left="300" w:right="400"/>
        <w:jc w:val="left"/>
      </w:pPr>
      <w:hyperlink w:anchor="_h5" w:history="1">
        <w:r>
          <w:rPr>
            <w:rFonts w:ascii="Barlow" w:hAnsi="Barlow" w:cs="Barlow" w:eastAsia="Barlow"/>
            <w:color w:val="0F2440"/>
            <w:sz w:val="19"/>
            <w:szCs w:val="19"/>
          </w:rPr>
          <w:t xml:space="preserve">1.4 Princípios orientadores</w:t>
        </w:r>
        <w:r>
          <w:tab/>
        </w:r>
        <w:r>
          <w:rPr>
            <w:rFonts w:ascii="Barlow Condensed SemiBold" w:hAnsi="Barlow Condensed SemiBold" w:cs="Barlow Condensed SemiBold" w:eastAsia="Barlow Condensed SemiBold"/>
            <w:color w:val="007614"/>
            <w:sz w:val="19"/>
            <w:szCs w:val="19"/>
          </w:rPr>
          <w:t xml:space="preserve">8</w:t>
        </w:r>
      </w:hyperlink>
    </w:p>
    <w:p>
      <w:pPr>
        <w:pStyle w:val="TOC1"/>
        <w:tabs>
          <w:tab w:val="right" w:leader="dot" w:pos="8844"/>
        </w:tabs>
        <w:spacing w:before="110" w:after="30" w:line="250" w:lineRule="auto"/>
        <w:ind w:right="400"/>
        <w:jc w:val="left"/>
      </w:pPr>
      <w:hyperlink w:anchor="_h6" w:history="1">
        <w:r>
          <w:rPr>
            <w:rFonts w:ascii="Barlow Condensed SemiBold" w:hAnsi="Barlow Condensed SemiBold" w:cs="Barlow Condensed SemiBold" w:eastAsia="Barlow Condensed SemiBold"/>
            <w:color w:val="01366F"/>
            <w:sz w:val="19"/>
            <w:szCs w:val="19"/>
          </w:rPr>
          <w:t xml:space="preserve">2 CRITÉRIOS DE QUALIDADE ADOTADOS</w:t>
        </w:r>
        <w:r>
          <w:tab/>
        </w:r>
        <w:r>
          <w:rPr>
            <w:rFonts w:ascii="Barlow Condensed SemiBold" w:hAnsi="Barlow Condensed SemiBold" w:cs="Barlow Condensed SemiBold" w:eastAsia="Barlow Condensed SemiBold"/>
            <w:color w:val="007614"/>
            <w:sz w:val="19"/>
            <w:szCs w:val="19"/>
          </w:rPr>
          <w:t xml:space="preserve">9</w:t>
        </w:r>
      </w:hyperlink>
    </w:p>
    <w:p>
      <w:pPr>
        <w:pStyle w:val="TOC2"/>
        <w:tabs>
          <w:tab w:val="right" w:leader="dot" w:pos="8844"/>
        </w:tabs>
        <w:spacing w:before="0" w:after="20" w:line="250" w:lineRule="auto"/>
        <w:ind w:left="300" w:right="400"/>
        <w:jc w:val="left"/>
      </w:pPr>
      <w:hyperlink w:anchor="_h7" w:history="1">
        <w:r>
          <w:rPr>
            <w:rFonts w:ascii="Barlow" w:hAnsi="Barlow" w:cs="Barlow" w:eastAsia="Barlow"/>
            <w:color w:val="0F2440"/>
            <w:sz w:val="19"/>
            <w:szCs w:val="19"/>
          </w:rPr>
          <w:t xml:space="preserve">2.1 Propriedades de um bom indicador social (Jannuzzi)</w:t>
        </w:r>
        <w:r>
          <w:tab/>
        </w:r>
        <w:r>
          <w:rPr>
            <w:rFonts w:ascii="Barlow Condensed SemiBold" w:hAnsi="Barlow Condensed SemiBold" w:cs="Barlow Condensed SemiBold" w:eastAsia="Barlow Condensed SemiBold"/>
            <w:color w:val="007614"/>
            <w:sz w:val="19"/>
            <w:szCs w:val="19"/>
          </w:rPr>
          <w:t xml:space="preserve">9</w:t>
        </w:r>
      </w:hyperlink>
    </w:p>
    <w:p>
      <w:pPr>
        <w:pStyle w:val="TOC2"/>
        <w:tabs>
          <w:tab w:val="right" w:leader="dot" w:pos="8844"/>
        </w:tabs>
        <w:spacing w:before="0" w:after="20" w:line="250" w:lineRule="auto"/>
        <w:ind w:left="300" w:right="400"/>
        <w:jc w:val="left"/>
      </w:pPr>
      <w:hyperlink w:anchor="_h8" w:history="1">
        <w:r>
          <w:rPr>
            <w:rFonts w:ascii="Barlow" w:hAnsi="Barlow" w:cs="Barlow" w:eastAsia="Barlow"/>
            <w:color w:val="0F2440"/>
            <w:sz w:val="19"/>
            <w:szCs w:val="19"/>
          </w:rPr>
          <w:t xml:space="preserve">2.2 Critérios da OCDE para indicadores e para índices compostos</w:t>
        </w:r>
        <w:r>
          <w:tab/>
        </w:r>
        <w:r>
          <w:rPr>
            <w:rFonts w:ascii="Barlow Condensed SemiBold" w:hAnsi="Barlow Condensed SemiBold" w:cs="Barlow Condensed SemiBold" w:eastAsia="Barlow Condensed SemiBold"/>
            <w:color w:val="007614"/>
            <w:sz w:val="19"/>
            <w:szCs w:val="19"/>
          </w:rPr>
          <w:t xml:space="preserve">9</w:t>
        </w:r>
      </w:hyperlink>
    </w:p>
    <w:p>
      <w:pPr>
        <w:pStyle w:val="TOC2"/>
        <w:tabs>
          <w:tab w:val="right" w:leader="dot" w:pos="8844"/>
        </w:tabs>
        <w:spacing w:before="0" w:after="20" w:line="250" w:lineRule="auto"/>
        <w:ind w:left="300" w:right="400"/>
        <w:jc w:val="left"/>
      </w:pPr>
      <w:hyperlink w:anchor="_h9" w:history="1">
        <w:r>
          <w:rPr>
            <w:rFonts w:ascii="Barlow" w:hAnsi="Barlow" w:cs="Barlow" w:eastAsia="Barlow"/>
            <w:color w:val="0F2440"/>
            <w:sz w:val="19"/>
            <w:szCs w:val="19"/>
          </w:rPr>
          <w:t xml:space="preserve">2.3 Critérios de inclusão e de exclusão</w:t>
        </w:r>
        <w:r>
          <w:tab/>
        </w:r>
        <w:r>
          <w:rPr>
            <w:rFonts w:ascii="Barlow Condensed SemiBold" w:hAnsi="Barlow Condensed SemiBold" w:cs="Barlow Condensed SemiBold" w:eastAsia="Barlow Condensed SemiBold"/>
            <w:color w:val="007614"/>
            <w:sz w:val="19"/>
            <w:szCs w:val="19"/>
          </w:rPr>
          <w:t xml:space="preserve">10</w:t>
        </w:r>
      </w:hyperlink>
    </w:p>
    <w:p>
      <w:pPr>
        <w:pStyle w:val="TOC1"/>
        <w:tabs>
          <w:tab w:val="right" w:leader="dot" w:pos="8844"/>
        </w:tabs>
        <w:spacing w:before="110" w:after="30" w:line="250" w:lineRule="auto"/>
        <w:ind w:right="400"/>
        <w:jc w:val="left"/>
      </w:pPr>
      <w:hyperlink w:anchor="_h10" w:history="1">
        <w:r>
          <w:rPr>
            <w:rFonts w:ascii="Barlow Condensed SemiBold" w:hAnsi="Barlow Condensed SemiBold" w:cs="Barlow Condensed SemiBold" w:eastAsia="Barlow Condensed SemiBold"/>
            <w:color w:val="01366F"/>
            <w:sz w:val="19"/>
            <w:szCs w:val="19"/>
          </w:rPr>
          <w:t xml:space="preserve">3 ARQUITETURA E CESTA DE INDICADORES</w:t>
        </w:r>
        <w:r>
          <w:tab/>
        </w:r>
        <w:r>
          <w:rPr>
            <w:rFonts w:ascii="Barlow Condensed SemiBold" w:hAnsi="Barlow Condensed SemiBold" w:cs="Barlow Condensed SemiBold" w:eastAsia="Barlow Condensed SemiBold"/>
            <w:color w:val="007614"/>
            <w:sz w:val="19"/>
            <w:szCs w:val="19"/>
          </w:rPr>
          <w:t xml:space="preserve">11</w:t>
        </w:r>
      </w:hyperlink>
    </w:p>
    <w:p>
      <w:pPr>
        <w:pStyle w:val="TOC2"/>
        <w:tabs>
          <w:tab w:val="right" w:leader="dot" w:pos="8844"/>
        </w:tabs>
        <w:spacing w:before="0" w:after="20" w:line="250" w:lineRule="auto"/>
        <w:ind w:left="300" w:right="400"/>
        <w:jc w:val="left"/>
      </w:pPr>
      <w:hyperlink w:anchor="_h11" w:history="1">
        <w:r>
          <w:rPr>
            <w:rFonts w:ascii="Barlow" w:hAnsi="Barlow" w:cs="Barlow" w:eastAsia="Barlow"/>
            <w:color w:val="0F2440"/>
            <w:sz w:val="19"/>
            <w:szCs w:val="19"/>
          </w:rPr>
          <w:t xml:space="preserve">3.1 Unidades de cálculo e de leitura</w:t>
        </w:r>
        <w:r>
          <w:tab/>
        </w:r>
        <w:r>
          <w:rPr>
            <w:rFonts w:ascii="Barlow Condensed SemiBold" w:hAnsi="Barlow Condensed SemiBold" w:cs="Barlow Condensed SemiBold" w:eastAsia="Barlow Condensed SemiBold"/>
            <w:color w:val="007614"/>
            <w:sz w:val="19"/>
            <w:szCs w:val="19"/>
          </w:rPr>
          <w:t xml:space="preserve">11</w:t>
        </w:r>
      </w:hyperlink>
    </w:p>
    <w:p>
      <w:pPr>
        <w:pStyle w:val="TOC2"/>
        <w:tabs>
          <w:tab w:val="right" w:leader="dot" w:pos="8844"/>
        </w:tabs>
        <w:spacing w:before="0" w:after="20" w:line="250" w:lineRule="auto"/>
        <w:ind w:left="300" w:right="400"/>
        <w:jc w:val="left"/>
      </w:pPr>
      <w:hyperlink w:anchor="_h12" w:history="1">
        <w:r>
          <w:rPr>
            <w:rFonts w:ascii="Barlow" w:hAnsi="Barlow" w:cs="Barlow" w:eastAsia="Barlow"/>
            <w:color w:val="0F2440"/>
            <w:sz w:val="19"/>
            <w:szCs w:val="19"/>
          </w:rPr>
          <w:t xml:space="preserve">3.2 Dimensão E — Exposição do lugar</w:t>
        </w:r>
        <w:r>
          <w:tab/>
        </w:r>
        <w:r>
          <w:rPr>
            <w:rFonts w:ascii="Barlow Condensed SemiBold" w:hAnsi="Barlow Condensed SemiBold" w:cs="Barlow Condensed SemiBold" w:eastAsia="Barlow Condensed SemiBold"/>
            <w:color w:val="007614"/>
            <w:sz w:val="19"/>
            <w:szCs w:val="19"/>
          </w:rPr>
          <w:t xml:space="preserve">11</w:t>
        </w:r>
      </w:hyperlink>
    </w:p>
    <w:p>
      <w:pPr>
        <w:pStyle w:val="TOC2"/>
        <w:tabs>
          <w:tab w:val="right" w:leader="dot" w:pos="8844"/>
        </w:tabs>
        <w:spacing w:before="0" w:after="20" w:line="250" w:lineRule="auto"/>
        <w:ind w:left="300" w:right="400"/>
        <w:jc w:val="left"/>
      </w:pPr>
      <w:hyperlink w:anchor="_h13" w:history="1">
        <w:r>
          <w:rPr>
            <w:rFonts w:ascii="Barlow" w:hAnsi="Barlow" w:cs="Barlow" w:eastAsia="Barlow"/>
            <w:color w:val="0F2440"/>
            <w:sz w:val="19"/>
            <w:szCs w:val="19"/>
          </w:rPr>
          <w:t xml:space="preserve">3.3 Dimensão S — Sensibilidade da população</w:t>
        </w:r>
        <w:r>
          <w:tab/>
        </w:r>
        <w:r>
          <w:rPr>
            <w:rFonts w:ascii="Barlow Condensed SemiBold" w:hAnsi="Barlow Condensed SemiBold" w:cs="Barlow Condensed SemiBold" w:eastAsia="Barlow Condensed SemiBold"/>
            <w:color w:val="007614"/>
            <w:sz w:val="19"/>
            <w:szCs w:val="19"/>
          </w:rPr>
          <w:t xml:space="preserve">12</w:t>
        </w:r>
      </w:hyperlink>
    </w:p>
    <w:p>
      <w:pPr>
        <w:pStyle w:val="TOC2"/>
        <w:tabs>
          <w:tab w:val="right" w:leader="dot" w:pos="8844"/>
        </w:tabs>
        <w:spacing w:before="0" w:after="20" w:line="250" w:lineRule="auto"/>
        <w:ind w:left="300" w:right="400"/>
        <w:jc w:val="left"/>
      </w:pPr>
      <w:hyperlink w:anchor="_h14" w:history="1">
        <w:r>
          <w:rPr>
            <w:rFonts w:ascii="Barlow" w:hAnsi="Barlow" w:cs="Barlow" w:eastAsia="Barlow"/>
            <w:color w:val="0F2440"/>
            <w:sz w:val="19"/>
            <w:szCs w:val="19"/>
          </w:rPr>
          <w:t xml:space="preserve">3.4 O que ficou fora e por quê</w:t>
        </w:r>
        <w:r>
          <w:tab/>
        </w:r>
        <w:r>
          <w:rPr>
            <w:rFonts w:ascii="Barlow Condensed SemiBold" w:hAnsi="Barlow Condensed SemiBold" w:cs="Barlow Condensed SemiBold" w:eastAsia="Barlow Condensed SemiBold"/>
            <w:color w:val="007614"/>
            <w:sz w:val="19"/>
            <w:szCs w:val="19"/>
          </w:rPr>
          <w:t xml:space="preserve">12</w:t>
        </w:r>
      </w:hyperlink>
    </w:p>
    <w:p>
      <w:pPr>
        <w:pStyle w:val="TOC2"/>
        <w:tabs>
          <w:tab w:val="right" w:leader="dot" w:pos="8844"/>
        </w:tabs>
        <w:spacing w:before="0" w:after="20" w:line="250" w:lineRule="auto"/>
        <w:ind w:left="300" w:right="400"/>
        <w:jc w:val="left"/>
      </w:pPr>
      <w:hyperlink w:anchor="_h15" w:history="1">
        <w:r>
          <w:rPr>
            <w:rFonts w:ascii="Barlow" w:hAnsi="Barlow" w:cs="Barlow" w:eastAsia="Barlow"/>
            <w:color w:val="0F2440"/>
            <w:sz w:val="19"/>
            <w:szCs w:val="19"/>
          </w:rPr>
          <w:t xml:space="preserve">3.5 Matriz de aderência dos indicadores</w:t>
        </w:r>
        <w:r>
          <w:tab/>
        </w:r>
        <w:r>
          <w:rPr>
            <w:rFonts w:ascii="Barlow Condensed SemiBold" w:hAnsi="Barlow Condensed SemiBold" w:cs="Barlow Condensed SemiBold" w:eastAsia="Barlow Condensed SemiBold"/>
            <w:color w:val="007614"/>
            <w:sz w:val="19"/>
            <w:szCs w:val="19"/>
          </w:rPr>
          <w:t xml:space="preserve">12</w:t>
        </w:r>
      </w:hyperlink>
    </w:p>
    <w:p>
      <w:pPr>
        <w:pStyle w:val="TOC1"/>
        <w:tabs>
          <w:tab w:val="right" w:leader="dot" w:pos="8844"/>
        </w:tabs>
        <w:spacing w:before="110" w:after="30" w:line="250" w:lineRule="auto"/>
        <w:ind w:right="400"/>
        <w:jc w:val="left"/>
      </w:pPr>
      <w:hyperlink w:anchor="_h16" w:history="1">
        <w:r>
          <w:rPr>
            <w:rFonts w:ascii="Barlow Condensed SemiBold" w:hAnsi="Barlow Condensed SemiBold" w:cs="Barlow Condensed SemiBold" w:eastAsia="Barlow Condensed SemiBold"/>
            <w:color w:val="01366F"/>
            <w:sz w:val="19"/>
            <w:szCs w:val="19"/>
          </w:rPr>
          <w:t xml:space="preserve">4 FONTES E REGRA DE ENCADEAMENTO</w:t>
        </w:r>
        <w:r>
          <w:tab/>
        </w:r>
        <w:r>
          <w:rPr>
            <w:rFonts w:ascii="Barlow Condensed SemiBold" w:hAnsi="Barlow Condensed SemiBold" w:cs="Barlow Condensed SemiBold" w:eastAsia="Barlow Condensed SemiBold"/>
            <w:color w:val="007614"/>
            <w:sz w:val="19"/>
            <w:szCs w:val="19"/>
          </w:rPr>
          <w:t xml:space="preserve">14</w:t>
        </w:r>
      </w:hyperlink>
    </w:p>
    <w:p>
      <w:pPr>
        <w:pStyle w:val="TOC2"/>
        <w:tabs>
          <w:tab w:val="right" w:leader="dot" w:pos="8844"/>
        </w:tabs>
        <w:spacing w:before="0" w:after="20" w:line="250" w:lineRule="auto"/>
        <w:ind w:left="300" w:right="400"/>
        <w:jc w:val="left"/>
      </w:pPr>
      <w:hyperlink w:anchor="_h17" w:history="1">
        <w:r>
          <w:rPr>
            <w:rFonts w:ascii="Barlow" w:hAnsi="Barlow" w:cs="Barlow" w:eastAsia="Barlow"/>
            <w:color w:val="0F2440"/>
            <w:sz w:val="19"/>
            <w:szCs w:val="19"/>
          </w:rPr>
          <w:t xml:space="preserve">4.1 Fontes</w:t>
        </w:r>
        <w:r>
          <w:tab/>
        </w:r>
        <w:r>
          <w:rPr>
            <w:rFonts w:ascii="Barlow Condensed SemiBold" w:hAnsi="Barlow Condensed SemiBold" w:cs="Barlow Condensed SemiBold" w:eastAsia="Barlow Condensed SemiBold"/>
            <w:color w:val="007614"/>
            <w:sz w:val="19"/>
            <w:szCs w:val="19"/>
          </w:rPr>
          <w:t xml:space="preserve">14</w:t>
        </w:r>
      </w:hyperlink>
    </w:p>
    <w:p>
      <w:pPr>
        <w:pStyle w:val="TOC2"/>
        <w:tabs>
          <w:tab w:val="right" w:leader="dot" w:pos="8844"/>
        </w:tabs>
        <w:spacing w:before="0" w:after="20" w:line="250" w:lineRule="auto"/>
        <w:ind w:left="300" w:right="400"/>
        <w:jc w:val="left"/>
      </w:pPr>
      <w:hyperlink w:anchor="_h18" w:history="1">
        <w:r>
          <w:rPr>
            <w:rFonts w:ascii="Barlow" w:hAnsi="Barlow" w:cs="Barlow" w:eastAsia="Barlow"/>
            <w:color w:val="0F2440"/>
            <w:sz w:val="19"/>
            <w:szCs w:val="19"/>
          </w:rPr>
          <w:t xml:space="preserve">4.2 Regra de encadeamento</w:t>
        </w:r>
        <w:r>
          <w:tab/>
        </w:r>
        <w:r>
          <w:rPr>
            <w:rFonts w:ascii="Barlow Condensed SemiBold" w:hAnsi="Barlow Condensed SemiBold" w:cs="Barlow Condensed SemiBold" w:eastAsia="Barlow Condensed SemiBold"/>
            <w:color w:val="007614"/>
            <w:sz w:val="19"/>
            <w:szCs w:val="19"/>
          </w:rPr>
          <w:t xml:space="preserve">14</w:t>
        </w:r>
      </w:hyperlink>
    </w:p>
    <w:p>
      <w:pPr>
        <w:pStyle w:val="TOC2"/>
        <w:tabs>
          <w:tab w:val="right" w:leader="dot" w:pos="8844"/>
        </w:tabs>
        <w:spacing w:before="0" w:after="20" w:line="250" w:lineRule="auto"/>
        <w:ind w:left="300" w:right="400"/>
        <w:jc w:val="left"/>
      </w:pPr>
      <w:hyperlink w:anchor="_h19" w:history="1">
        <w:r>
          <w:rPr>
            <w:rFonts w:ascii="Barlow" w:hAnsi="Barlow" w:cs="Barlow" w:eastAsia="Barlow"/>
            <w:color w:val="0F2440"/>
            <w:sz w:val="19"/>
            <w:szCs w:val="19"/>
          </w:rPr>
          <w:t xml:space="preserve">4.3 Georreferenciamento e proteção dos dados</w:t>
        </w:r>
        <w:r>
          <w:tab/>
        </w:r>
        <w:r>
          <w:rPr>
            <w:rFonts w:ascii="Barlow Condensed SemiBold" w:hAnsi="Barlow Condensed SemiBold" w:cs="Barlow Condensed SemiBold" w:eastAsia="Barlow Condensed SemiBold"/>
            <w:color w:val="007614"/>
            <w:sz w:val="19"/>
            <w:szCs w:val="19"/>
          </w:rPr>
          <w:t xml:space="preserve">16</w:t>
        </w:r>
      </w:hyperlink>
    </w:p>
    <w:p>
      <w:pPr>
        <w:pStyle w:val="TOC1"/>
        <w:tabs>
          <w:tab w:val="right" w:leader="dot" w:pos="8844"/>
        </w:tabs>
        <w:spacing w:before="110" w:after="30" w:line="250" w:lineRule="auto"/>
        <w:ind w:right="400"/>
        <w:jc w:val="left"/>
      </w:pPr>
      <w:hyperlink w:anchor="_h20" w:history="1">
        <w:r>
          <w:rPr>
            <w:rFonts w:ascii="Barlow Condensed SemiBold" w:hAnsi="Barlow Condensed SemiBold" w:cs="Barlow Condensed SemiBold" w:eastAsia="Barlow Condensed SemiBold"/>
            <w:color w:val="01366F"/>
            <w:sz w:val="19"/>
            <w:szCs w:val="19"/>
          </w:rPr>
          <w:t xml:space="preserve">5 PROTOCOLO DE CÁLCULO</w:t>
        </w:r>
        <w:r>
          <w:tab/>
        </w:r>
        <w:r>
          <w:rPr>
            <w:rFonts w:ascii="Barlow Condensed SemiBold" w:hAnsi="Barlow Condensed SemiBold" w:cs="Barlow Condensed SemiBold" w:eastAsia="Barlow Condensed SemiBold"/>
            <w:color w:val="007614"/>
            <w:sz w:val="19"/>
            <w:szCs w:val="19"/>
          </w:rPr>
          <w:t xml:space="preserve">17</w:t>
        </w:r>
      </w:hyperlink>
    </w:p>
    <w:p>
      <w:pPr>
        <w:pStyle w:val="TOC2"/>
        <w:tabs>
          <w:tab w:val="right" w:leader="dot" w:pos="8844"/>
        </w:tabs>
        <w:spacing w:before="0" w:after="20" w:line="250" w:lineRule="auto"/>
        <w:ind w:left="300" w:right="400"/>
        <w:jc w:val="left"/>
      </w:pPr>
      <w:hyperlink w:anchor="_h21" w:history="1">
        <w:r>
          <w:rPr>
            <w:rFonts w:ascii="Barlow" w:hAnsi="Barlow" w:cs="Barlow" w:eastAsia="Barlow"/>
            <w:color w:val="0F2440"/>
            <w:sz w:val="19"/>
            <w:szCs w:val="19"/>
          </w:rPr>
          <w:t xml:space="preserve">5.1 Preparação</w:t>
        </w:r>
        <w:r>
          <w:tab/>
        </w:r>
        <w:r>
          <w:rPr>
            <w:rFonts w:ascii="Barlow Condensed SemiBold" w:hAnsi="Barlow Condensed SemiBold" w:cs="Barlow Condensed SemiBold" w:eastAsia="Barlow Condensed SemiBold"/>
            <w:color w:val="007614"/>
            <w:sz w:val="19"/>
            <w:szCs w:val="19"/>
          </w:rPr>
          <w:t xml:space="preserve">17</w:t>
        </w:r>
      </w:hyperlink>
    </w:p>
    <w:p>
      <w:pPr>
        <w:pStyle w:val="TOC2"/>
        <w:tabs>
          <w:tab w:val="right" w:leader="dot" w:pos="8844"/>
        </w:tabs>
        <w:spacing w:before="0" w:after="20" w:line="250" w:lineRule="auto"/>
        <w:ind w:left="300" w:right="400"/>
        <w:jc w:val="left"/>
      </w:pPr>
      <w:hyperlink w:anchor="_h22" w:history="1">
        <w:r>
          <w:rPr>
            <w:rFonts w:ascii="Barlow" w:hAnsi="Barlow" w:cs="Barlow" w:eastAsia="Barlow"/>
            <w:color w:val="0F2440"/>
            <w:sz w:val="19"/>
            <w:szCs w:val="19"/>
          </w:rPr>
          <w:t xml:space="preserve">5.2 Suavização bayesiana empírica</w:t>
        </w:r>
        <w:r>
          <w:tab/>
        </w:r>
        <w:r>
          <w:rPr>
            <w:rFonts w:ascii="Barlow Condensed SemiBold" w:hAnsi="Barlow Condensed SemiBold" w:cs="Barlow Condensed SemiBold" w:eastAsia="Barlow Condensed SemiBold"/>
            <w:color w:val="007614"/>
            <w:sz w:val="19"/>
            <w:szCs w:val="19"/>
          </w:rPr>
          <w:t xml:space="preserve">17</w:t>
        </w:r>
      </w:hyperlink>
    </w:p>
    <w:p>
      <w:pPr>
        <w:pStyle w:val="TOC2"/>
        <w:tabs>
          <w:tab w:val="right" w:leader="dot" w:pos="8844"/>
        </w:tabs>
        <w:spacing w:before="0" w:after="20" w:line="250" w:lineRule="auto"/>
        <w:ind w:left="300" w:right="400"/>
        <w:jc w:val="left"/>
      </w:pPr>
      <w:hyperlink w:anchor="_h23" w:history="1">
        <w:r>
          <w:rPr>
            <w:rFonts w:ascii="Barlow" w:hAnsi="Barlow" w:cs="Barlow" w:eastAsia="Barlow"/>
            <w:color w:val="0F2440"/>
            <w:sz w:val="19"/>
            <w:szCs w:val="19"/>
          </w:rPr>
          <w:t xml:space="preserve">5.3 Padronização</w:t>
        </w:r>
        <w:r>
          <w:tab/>
        </w:r>
        <w:r>
          <w:rPr>
            <w:rFonts w:ascii="Barlow Condensed SemiBold" w:hAnsi="Barlow Condensed SemiBold" w:cs="Barlow Condensed SemiBold" w:eastAsia="Barlow Condensed SemiBold"/>
            <w:color w:val="007614"/>
            <w:sz w:val="19"/>
            <w:szCs w:val="19"/>
          </w:rPr>
          <w:t xml:space="preserve">17</w:t>
        </w:r>
      </w:hyperlink>
    </w:p>
    <w:p>
      <w:pPr>
        <w:pStyle w:val="TOC2"/>
        <w:tabs>
          <w:tab w:val="right" w:leader="dot" w:pos="8844"/>
        </w:tabs>
        <w:spacing w:before="0" w:after="20" w:line="250" w:lineRule="auto"/>
        <w:ind w:left="300" w:right="400"/>
        <w:jc w:val="left"/>
      </w:pPr>
      <w:hyperlink w:anchor="_h24" w:history="1">
        <w:r>
          <w:rPr>
            <w:rFonts w:ascii="Barlow" w:hAnsi="Barlow" w:cs="Barlow" w:eastAsia="Barlow"/>
            <w:color w:val="0F2440"/>
            <w:sz w:val="19"/>
            <w:szCs w:val="19"/>
          </w:rPr>
          <w:t xml:space="preserve">5.4 Agregação dentro de cada dimensão</w:t>
        </w:r>
        <w:r>
          <w:tab/>
        </w:r>
        <w:r>
          <w:rPr>
            <w:rFonts w:ascii="Barlow Condensed SemiBold" w:hAnsi="Barlow Condensed SemiBold" w:cs="Barlow Condensed SemiBold" w:eastAsia="Barlow Condensed SemiBold"/>
            <w:color w:val="007614"/>
            <w:sz w:val="19"/>
            <w:szCs w:val="19"/>
          </w:rPr>
          <w:t xml:space="preserve">17</w:t>
        </w:r>
      </w:hyperlink>
    </w:p>
    <w:p>
      <w:pPr>
        <w:pStyle w:val="TOC2"/>
        <w:tabs>
          <w:tab w:val="right" w:leader="dot" w:pos="8844"/>
        </w:tabs>
        <w:spacing w:before="0" w:after="20" w:line="250" w:lineRule="auto"/>
        <w:ind w:left="300" w:right="400"/>
        <w:jc w:val="left"/>
      </w:pPr>
      <w:hyperlink w:anchor="_h25" w:history="1">
        <w:r>
          <w:rPr>
            <w:rFonts w:ascii="Barlow" w:hAnsi="Barlow" w:cs="Barlow" w:eastAsia="Barlow"/>
            <w:color w:val="0F2440"/>
            <w:sz w:val="19"/>
            <w:szCs w:val="19"/>
          </w:rPr>
          <w:t xml:space="preserve">5.5 Agregação entre dimensões</w:t>
        </w:r>
        <w:r>
          <w:tab/>
        </w:r>
        <w:r>
          <w:rPr>
            <w:rFonts w:ascii="Barlow Condensed SemiBold" w:hAnsi="Barlow Condensed SemiBold" w:cs="Barlow Condensed SemiBold" w:eastAsia="Barlow Condensed SemiBold"/>
            <w:color w:val="007614"/>
            <w:sz w:val="19"/>
            <w:szCs w:val="19"/>
          </w:rPr>
          <w:t xml:space="preserve">18</w:t>
        </w:r>
      </w:hyperlink>
    </w:p>
    <w:p>
      <w:pPr>
        <w:pStyle w:val="TOC2"/>
        <w:tabs>
          <w:tab w:val="right" w:leader="dot" w:pos="8844"/>
        </w:tabs>
        <w:spacing w:before="0" w:after="20" w:line="250" w:lineRule="auto"/>
        <w:ind w:left="300" w:right="400"/>
        <w:jc w:val="left"/>
      </w:pPr>
      <w:hyperlink w:anchor="_h26" w:history="1">
        <w:r>
          <w:rPr>
            <w:rFonts w:ascii="Barlow" w:hAnsi="Barlow" w:cs="Barlow" w:eastAsia="Barlow"/>
            <w:color w:val="0F2440"/>
            <w:sz w:val="19"/>
            <w:szCs w:val="19"/>
          </w:rPr>
          <w:t xml:space="preserve">5.6 Transformação para a escala de 0 a 1</w:t>
        </w:r>
        <w:r>
          <w:tab/>
        </w:r>
        <w:r>
          <w:rPr>
            <w:rFonts w:ascii="Barlow Condensed SemiBold" w:hAnsi="Barlow Condensed SemiBold" w:cs="Barlow Condensed SemiBold" w:eastAsia="Barlow Condensed SemiBold"/>
            <w:color w:val="007614"/>
            <w:sz w:val="19"/>
            <w:szCs w:val="19"/>
          </w:rPr>
          <w:t xml:space="preserve">18</w:t>
        </w:r>
      </w:hyperlink>
    </w:p>
    <w:p>
      <w:pPr>
        <w:pStyle w:val="TOC2"/>
        <w:tabs>
          <w:tab w:val="right" w:leader="dot" w:pos="8844"/>
        </w:tabs>
        <w:spacing w:before="0" w:after="20" w:line="250" w:lineRule="auto"/>
        <w:ind w:left="300" w:right="400"/>
        <w:jc w:val="left"/>
      </w:pPr>
      <w:hyperlink w:anchor="_h27" w:history="1">
        <w:r>
          <w:rPr>
            <w:rFonts w:ascii="Barlow" w:hAnsi="Barlow" w:cs="Barlow" w:eastAsia="Barlow"/>
            <w:color w:val="0F2440"/>
            <w:sz w:val="19"/>
            <w:szCs w:val="19"/>
          </w:rPr>
          <w:t xml:space="preserve">5.7 Leitura exposição × sensibilidade</w:t>
        </w:r>
        <w:r>
          <w:tab/>
        </w:r>
        <w:r>
          <w:rPr>
            <w:rFonts w:ascii="Barlow Condensed SemiBold" w:hAnsi="Barlow Condensed SemiBold" w:cs="Barlow Condensed SemiBold" w:eastAsia="Barlow Condensed SemiBold"/>
            <w:color w:val="007614"/>
            <w:sz w:val="19"/>
            <w:szCs w:val="19"/>
          </w:rPr>
          <w:t xml:space="preserve">18</w:t>
        </w:r>
      </w:hyperlink>
    </w:p>
    <w:p>
      <w:pPr>
        <w:pStyle w:val="TOC2"/>
        <w:tabs>
          <w:tab w:val="right" w:leader="dot" w:pos="8844"/>
        </w:tabs>
        <w:spacing w:before="0" w:after="20" w:line="250" w:lineRule="auto"/>
        <w:ind w:left="300" w:right="400"/>
        <w:jc w:val="left"/>
      </w:pPr>
      <w:hyperlink w:anchor="_h28" w:history="1">
        <w:r>
          <w:rPr>
            <w:rFonts w:ascii="Barlow" w:hAnsi="Barlow" w:cs="Barlow" w:eastAsia="Barlow"/>
            <w:color w:val="0F2440"/>
            <w:sz w:val="19"/>
            <w:szCs w:val="19"/>
          </w:rPr>
          <w:t xml:space="preserve">5.8 Categorização</w:t>
        </w:r>
        <w:r>
          <w:tab/>
        </w:r>
        <w:r>
          <w:rPr>
            <w:rFonts w:ascii="Barlow Condensed SemiBold" w:hAnsi="Barlow Condensed SemiBold" w:cs="Barlow Condensed SemiBold" w:eastAsia="Barlow Condensed SemiBold"/>
            <w:color w:val="007614"/>
            <w:sz w:val="19"/>
            <w:szCs w:val="19"/>
          </w:rPr>
          <w:t xml:space="preserve">19</w:t>
        </w:r>
      </w:hyperlink>
    </w:p>
    <w:p>
      <w:pPr>
        <w:pStyle w:val="TOC2"/>
        <w:tabs>
          <w:tab w:val="right" w:leader="dot" w:pos="8844"/>
        </w:tabs>
        <w:spacing w:before="0" w:after="20" w:line="250" w:lineRule="auto"/>
        <w:ind w:left="300" w:right="400"/>
        <w:jc w:val="left"/>
      </w:pPr>
      <w:hyperlink w:anchor="_h29" w:history="1">
        <w:r>
          <w:rPr>
            <w:rFonts w:ascii="Barlow" w:hAnsi="Barlow" w:cs="Barlow" w:eastAsia="Barlow"/>
            <w:color w:val="0F2440"/>
            <w:sz w:val="19"/>
            <w:szCs w:val="19"/>
          </w:rPr>
          <w:t xml:space="preserve">5.9 Agregação para as unidades de leitura</w:t>
        </w:r>
        <w:r>
          <w:tab/>
        </w:r>
        <w:r>
          <w:rPr>
            <w:rFonts w:ascii="Barlow Condensed SemiBold" w:hAnsi="Barlow Condensed SemiBold" w:cs="Barlow Condensed SemiBold" w:eastAsia="Barlow Condensed SemiBold"/>
            <w:color w:val="007614"/>
            <w:sz w:val="19"/>
            <w:szCs w:val="19"/>
          </w:rPr>
          <w:t xml:space="preserve">19</w:t>
        </w:r>
      </w:hyperlink>
    </w:p>
    <w:p>
      <w:pPr>
        <w:pStyle w:val="TOC2"/>
        <w:tabs>
          <w:tab w:val="right" w:leader="dot" w:pos="8844"/>
        </w:tabs>
        <w:spacing w:before="0" w:after="20" w:line="250" w:lineRule="auto"/>
        <w:ind w:left="300" w:right="400"/>
        <w:jc w:val="left"/>
      </w:pPr>
      <w:hyperlink w:anchor="_h30" w:history="1">
        <w:r>
          <w:rPr>
            <w:rFonts w:ascii="Barlow" w:hAnsi="Barlow" w:cs="Barlow" w:eastAsia="Barlow"/>
            <w:color w:val="0F2440"/>
            <w:sz w:val="19"/>
            <w:szCs w:val="19"/>
          </w:rPr>
          <w:t xml:space="preserve">5.10 Incerteza e sensibilidade</w:t>
        </w:r>
        <w:r>
          <w:tab/>
        </w:r>
        <w:r>
          <w:rPr>
            <w:rFonts w:ascii="Barlow Condensed SemiBold" w:hAnsi="Barlow Condensed SemiBold" w:cs="Barlow Condensed SemiBold" w:eastAsia="Barlow Condensed SemiBold"/>
            <w:color w:val="007614"/>
            <w:sz w:val="19"/>
            <w:szCs w:val="19"/>
          </w:rPr>
          <w:t xml:space="preserve">19</w:t>
        </w:r>
      </w:hyperlink>
    </w:p>
    <w:p>
      <w:pPr>
        <w:pStyle w:val="TOC1"/>
        <w:tabs>
          <w:tab w:val="right" w:leader="dot" w:pos="8844"/>
        </w:tabs>
        <w:spacing w:before="110" w:after="30" w:line="250" w:lineRule="auto"/>
        <w:ind w:right="400"/>
        <w:jc w:val="left"/>
      </w:pPr>
      <w:hyperlink w:anchor="_h31" w:history="1">
        <w:r>
          <w:rPr>
            <w:rFonts w:ascii="Barlow Condensed SemiBold" w:hAnsi="Barlow Condensed SemiBold" w:cs="Barlow Condensed SemiBold" w:eastAsia="Barlow Condensed SemiBold"/>
            <w:color w:val="01366F"/>
            <w:sz w:val="19"/>
            <w:szCs w:val="19"/>
          </w:rPr>
          <w:t xml:space="preserve">6 PLANO DE VALIDAÇÃO</w:t>
        </w:r>
        <w:r>
          <w:tab/>
        </w:r>
        <w:r>
          <w:rPr>
            <w:rFonts w:ascii="Barlow Condensed SemiBold" w:hAnsi="Barlow Condensed SemiBold" w:cs="Barlow Condensed SemiBold" w:eastAsia="Barlow Condensed SemiBold"/>
            <w:color w:val="007614"/>
            <w:sz w:val="19"/>
            <w:szCs w:val="19"/>
          </w:rPr>
          <w:t xml:space="preserve">20</w:t>
        </w:r>
      </w:hyperlink>
    </w:p>
    <w:p>
      <w:pPr>
        <w:pStyle w:val="TOC2"/>
        <w:tabs>
          <w:tab w:val="right" w:leader="dot" w:pos="8844"/>
        </w:tabs>
        <w:spacing w:before="0" w:after="20" w:line="250" w:lineRule="auto"/>
        <w:ind w:left="300" w:right="400"/>
        <w:jc w:val="left"/>
      </w:pPr>
      <w:hyperlink w:anchor="_h32" w:history="1">
        <w:r>
          <w:rPr>
            <w:rFonts w:ascii="Barlow" w:hAnsi="Barlow" w:cs="Barlow" w:eastAsia="Barlow"/>
            <w:color w:val="0F2440"/>
            <w:sz w:val="19"/>
            <w:szCs w:val="19"/>
          </w:rPr>
          <w:t xml:space="preserve">6.1 Validade de conteúdo, com participação do território</w:t>
        </w:r>
        <w:r>
          <w:tab/>
        </w:r>
        <w:r>
          <w:rPr>
            <w:rFonts w:ascii="Barlow Condensed SemiBold" w:hAnsi="Barlow Condensed SemiBold" w:cs="Barlow Condensed SemiBold" w:eastAsia="Barlow Condensed SemiBold"/>
            <w:color w:val="007614"/>
            <w:sz w:val="19"/>
            <w:szCs w:val="19"/>
          </w:rPr>
          <w:t xml:space="preserve">20</w:t>
        </w:r>
      </w:hyperlink>
    </w:p>
    <w:p>
      <w:pPr>
        <w:pStyle w:val="TOC2"/>
        <w:tabs>
          <w:tab w:val="right" w:leader="dot" w:pos="8844"/>
        </w:tabs>
        <w:spacing w:before="0" w:after="20" w:line="250" w:lineRule="auto"/>
        <w:ind w:left="300" w:right="400"/>
        <w:jc w:val="left"/>
      </w:pPr>
      <w:hyperlink w:anchor="_h33" w:history="1">
        <w:r>
          <w:rPr>
            <w:rFonts w:ascii="Barlow" w:hAnsi="Barlow" w:cs="Barlow" w:eastAsia="Barlow"/>
            <w:color w:val="0F2440"/>
            <w:sz w:val="19"/>
            <w:szCs w:val="19"/>
          </w:rPr>
          <w:t xml:space="preserve">6.2 Estrutura interna</w:t>
        </w:r>
        <w:r>
          <w:tab/>
        </w:r>
        <w:r>
          <w:rPr>
            <w:rFonts w:ascii="Barlow Condensed SemiBold" w:hAnsi="Barlow Condensed SemiBold" w:cs="Barlow Condensed SemiBold" w:eastAsia="Barlow Condensed SemiBold"/>
            <w:color w:val="007614"/>
            <w:sz w:val="19"/>
            <w:szCs w:val="19"/>
          </w:rPr>
          <w:t xml:space="preserve">20</w:t>
        </w:r>
      </w:hyperlink>
    </w:p>
    <w:p>
      <w:pPr>
        <w:pStyle w:val="TOC2"/>
        <w:tabs>
          <w:tab w:val="right" w:leader="dot" w:pos="8844"/>
        </w:tabs>
        <w:spacing w:before="0" w:after="20" w:line="250" w:lineRule="auto"/>
        <w:ind w:left="300" w:right="400"/>
        <w:jc w:val="left"/>
      </w:pPr>
      <w:hyperlink w:anchor="_h34" w:history="1">
        <w:r>
          <w:rPr>
            <w:rFonts w:ascii="Barlow" w:hAnsi="Barlow" w:cs="Barlow" w:eastAsia="Barlow"/>
            <w:color w:val="0F2440"/>
            <w:sz w:val="19"/>
            <w:szCs w:val="19"/>
          </w:rPr>
          <w:t xml:space="preserve">6.3 Validade de critério: desfechos reservados</w:t>
        </w:r>
        <w:r>
          <w:tab/>
        </w:r>
        <w:r>
          <w:rPr>
            <w:rFonts w:ascii="Barlow Condensed SemiBold" w:hAnsi="Barlow Condensed SemiBold" w:cs="Barlow Condensed SemiBold" w:eastAsia="Barlow Condensed SemiBold"/>
            <w:color w:val="007614"/>
            <w:sz w:val="19"/>
            <w:szCs w:val="19"/>
          </w:rPr>
          <w:t xml:space="preserve">20</w:t>
        </w:r>
      </w:hyperlink>
    </w:p>
    <w:p>
      <w:pPr>
        <w:pStyle w:val="TOC2"/>
        <w:tabs>
          <w:tab w:val="right" w:leader="dot" w:pos="8844"/>
        </w:tabs>
        <w:spacing w:before="0" w:after="20" w:line="250" w:lineRule="auto"/>
        <w:ind w:left="300" w:right="400"/>
        <w:jc w:val="left"/>
      </w:pPr>
      <w:hyperlink w:anchor="_h35" w:history="1">
        <w:r>
          <w:rPr>
            <w:rFonts w:ascii="Barlow" w:hAnsi="Barlow" w:cs="Barlow" w:eastAsia="Barlow"/>
            <w:color w:val="0F2440"/>
            <w:sz w:val="19"/>
            <w:szCs w:val="19"/>
          </w:rPr>
          <w:t xml:space="preserve">6.4 Validade convergente com a cartografia social</w:t>
        </w:r>
        <w:r>
          <w:tab/>
        </w:r>
        <w:r>
          <w:rPr>
            <w:rFonts w:ascii="Barlow Condensed SemiBold" w:hAnsi="Barlow Condensed SemiBold" w:cs="Barlow Condensed SemiBold" w:eastAsia="Barlow Condensed SemiBold"/>
            <w:color w:val="007614"/>
            <w:sz w:val="19"/>
            <w:szCs w:val="19"/>
          </w:rPr>
          <w:t xml:space="preserve">20</w:t>
        </w:r>
      </w:hyperlink>
    </w:p>
    <w:p>
      <w:pPr>
        <w:pStyle w:val="TOC2"/>
        <w:tabs>
          <w:tab w:val="right" w:leader="dot" w:pos="8844"/>
        </w:tabs>
        <w:spacing w:before="0" w:after="20" w:line="250" w:lineRule="auto"/>
        <w:ind w:left="300" w:right="400"/>
        <w:jc w:val="left"/>
      </w:pPr>
      <w:hyperlink w:anchor="_h36" w:history="1">
        <w:r>
          <w:rPr>
            <w:rFonts w:ascii="Barlow" w:hAnsi="Barlow" w:cs="Barlow" w:eastAsia="Barlow"/>
            <w:color w:val="0F2440"/>
            <w:sz w:val="19"/>
            <w:szCs w:val="19"/>
          </w:rPr>
          <w:t xml:space="preserve">6.5 Responsividade</w:t>
        </w:r>
        <w:r>
          <w:tab/>
        </w:r>
        <w:r>
          <w:rPr>
            <w:rFonts w:ascii="Barlow Condensed SemiBold" w:hAnsi="Barlow Condensed SemiBold" w:cs="Barlow Condensed SemiBold" w:eastAsia="Barlow Condensed SemiBold"/>
            <w:color w:val="007614"/>
            <w:sz w:val="19"/>
            <w:szCs w:val="19"/>
          </w:rPr>
          <w:t xml:space="preserve">21</w:t>
        </w:r>
      </w:hyperlink>
    </w:p>
    <w:p>
      <w:pPr>
        <w:pStyle w:val="TOC1"/>
        <w:tabs>
          <w:tab w:val="right" w:leader="dot" w:pos="8844"/>
        </w:tabs>
        <w:spacing w:before="110" w:after="30" w:line="250" w:lineRule="auto"/>
        <w:ind w:right="400"/>
        <w:jc w:val="left"/>
      </w:pPr>
      <w:hyperlink w:anchor="_h37" w:history="1">
        <w:r>
          <w:rPr>
            <w:rFonts w:ascii="Barlow Condensed SemiBold" w:hAnsi="Barlow Condensed SemiBold" w:cs="Barlow Condensed SemiBold" w:eastAsia="Barlow Condensed SemiBold"/>
            <w:color w:val="01366F"/>
            <w:sz w:val="19"/>
            <w:szCs w:val="19"/>
          </w:rPr>
          <w:t xml:space="preserve">7 PARTICIPAÇÃO DO TERRITÓRIO: SEPARAR MEDIR DE DELIBERAR</w:t>
        </w:r>
        <w:r>
          <w:tab/>
        </w:r>
        <w:r>
          <w:rPr>
            <w:rFonts w:ascii="Barlow Condensed SemiBold" w:hAnsi="Barlow Condensed SemiBold" w:cs="Barlow Condensed SemiBold" w:eastAsia="Barlow Condensed SemiBold"/>
            <w:color w:val="007614"/>
            <w:sz w:val="19"/>
            <w:szCs w:val="19"/>
          </w:rPr>
          <w:t xml:space="preserve">22</w:t>
        </w:r>
      </w:hyperlink>
    </w:p>
    <w:p>
      <w:pPr>
        <w:pStyle w:val="TOC2"/>
        <w:tabs>
          <w:tab w:val="right" w:leader="dot" w:pos="8844"/>
        </w:tabs>
        <w:spacing w:before="0" w:after="20" w:line="250" w:lineRule="auto"/>
        <w:ind w:left="300" w:right="400"/>
        <w:jc w:val="left"/>
      </w:pPr>
      <w:hyperlink w:anchor="_h38" w:history="1">
        <w:r>
          <w:rPr>
            <w:rFonts w:ascii="Barlow" w:hAnsi="Barlow" w:cs="Barlow" w:eastAsia="Barlow"/>
            <w:color w:val="0F2440"/>
            <w:sz w:val="19"/>
            <w:szCs w:val="19"/>
          </w:rPr>
          <w:t xml:space="preserve">7.1 Por que a calibração de pesos por território foi substituída</w:t>
        </w:r>
        <w:r>
          <w:tab/>
        </w:r>
        <w:r>
          <w:rPr>
            <w:rFonts w:ascii="Barlow Condensed SemiBold" w:hAnsi="Barlow Condensed SemiBold" w:cs="Barlow Condensed SemiBold" w:eastAsia="Barlow Condensed SemiBold"/>
            <w:color w:val="007614"/>
            <w:sz w:val="19"/>
            <w:szCs w:val="19"/>
          </w:rPr>
          <w:t xml:space="preserve">22</w:t>
        </w:r>
      </w:hyperlink>
    </w:p>
    <w:p>
      <w:pPr>
        <w:pStyle w:val="TOC2"/>
        <w:tabs>
          <w:tab w:val="right" w:leader="dot" w:pos="8844"/>
        </w:tabs>
        <w:spacing w:before="0" w:after="20" w:line="250" w:lineRule="auto"/>
        <w:ind w:left="300" w:right="400"/>
        <w:jc w:val="left"/>
      </w:pPr>
      <w:hyperlink w:anchor="_h39" w:history="1">
        <w:r>
          <w:rPr>
            <w:rFonts w:ascii="Barlow" w:hAnsi="Barlow" w:cs="Barlow" w:eastAsia="Barlow"/>
            <w:color w:val="0F2440"/>
            <w:sz w:val="19"/>
            <w:szCs w:val="19"/>
          </w:rPr>
          <w:t xml:space="preserve">7.2 Validação de conteúdo</w:t>
        </w:r>
        <w:r>
          <w:tab/>
        </w:r>
        <w:r>
          <w:rPr>
            <w:rFonts w:ascii="Barlow Condensed SemiBold" w:hAnsi="Barlow Condensed SemiBold" w:cs="Barlow Condensed SemiBold" w:eastAsia="Barlow Condensed SemiBold"/>
            <w:color w:val="007614"/>
            <w:sz w:val="19"/>
            <w:szCs w:val="19"/>
          </w:rPr>
          <w:t xml:space="preserve">22</w:t>
        </w:r>
      </w:hyperlink>
    </w:p>
    <w:p>
      <w:pPr>
        <w:pStyle w:val="TOC2"/>
        <w:tabs>
          <w:tab w:val="right" w:leader="dot" w:pos="8844"/>
        </w:tabs>
        <w:spacing w:before="0" w:after="20" w:line="250" w:lineRule="auto"/>
        <w:ind w:left="300" w:right="400"/>
        <w:jc w:val="left"/>
      </w:pPr>
      <w:hyperlink w:anchor="_h40" w:history="1">
        <w:r>
          <w:rPr>
            <w:rFonts w:ascii="Barlow" w:hAnsi="Barlow" w:cs="Barlow" w:eastAsia="Barlow"/>
            <w:color w:val="0F2440"/>
            <w:sz w:val="19"/>
            <w:szCs w:val="19"/>
          </w:rPr>
          <w:t xml:space="preserve">7.3 Verificação territorial e visibilização</w:t>
        </w:r>
        <w:r>
          <w:tab/>
        </w:r>
        <w:r>
          <w:rPr>
            <w:rFonts w:ascii="Barlow Condensed SemiBold" w:hAnsi="Barlow Condensed SemiBold" w:cs="Barlow Condensed SemiBold" w:eastAsia="Barlow Condensed SemiBold"/>
            <w:color w:val="007614"/>
            <w:sz w:val="19"/>
            <w:szCs w:val="19"/>
          </w:rPr>
          <w:t xml:space="preserve">22</w:t>
        </w:r>
      </w:hyperlink>
    </w:p>
    <w:p>
      <w:pPr>
        <w:pStyle w:val="TOC2"/>
        <w:tabs>
          <w:tab w:val="right" w:leader="dot" w:pos="8844"/>
        </w:tabs>
        <w:spacing w:before="0" w:after="20" w:line="250" w:lineRule="auto"/>
        <w:ind w:left="300" w:right="400"/>
        <w:jc w:val="left"/>
      </w:pPr>
      <w:hyperlink w:anchor="_h41" w:history="1">
        <w:r>
          <w:rPr>
            <w:rFonts w:ascii="Barlow" w:hAnsi="Barlow" w:cs="Barlow" w:eastAsia="Barlow"/>
            <w:color w:val="0F2440"/>
            <w:sz w:val="19"/>
            <w:szCs w:val="19"/>
          </w:rPr>
          <w:t xml:space="preserve">7.4 Leitura, priorização e devolução</w:t>
        </w:r>
        <w:r>
          <w:tab/>
        </w:r>
        <w:r>
          <w:rPr>
            <w:rFonts w:ascii="Barlow Condensed SemiBold" w:hAnsi="Barlow Condensed SemiBold" w:cs="Barlow Condensed SemiBold" w:eastAsia="Barlow Condensed SemiBold"/>
            <w:color w:val="007614"/>
            <w:sz w:val="19"/>
            <w:szCs w:val="19"/>
          </w:rPr>
          <w:t xml:space="preserve">23</w:t>
        </w:r>
      </w:hyperlink>
    </w:p>
    <w:p>
      <w:pPr>
        <w:pStyle w:val="TOC1"/>
        <w:tabs>
          <w:tab w:val="right" w:leader="dot" w:pos="8844"/>
        </w:tabs>
        <w:spacing w:before="110" w:after="30" w:line="250" w:lineRule="auto"/>
        <w:ind w:right="400"/>
        <w:jc w:val="left"/>
      </w:pPr>
      <w:hyperlink w:anchor="_h42" w:history="1">
        <w:r>
          <w:rPr>
            <w:rFonts w:ascii="Barlow Condensed SemiBold" w:hAnsi="Barlow Condensed SemiBold" w:cs="Barlow Condensed SemiBold" w:eastAsia="Barlow Condensed SemiBold"/>
            <w:color w:val="01366F"/>
            <w:sz w:val="19"/>
            <w:szCs w:val="19"/>
          </w:rPr>
          <w:t xml:space="preserve">8 USOS, VEDAÇÕES E LIMITES</w:t>
        </w:r>
        <w:r>
          <w:tab/>
        </w:r>
        <w:r>
          <w:rPr>
            <w:rFonts w:ascii="Barlow Condensed SemiBold" w:hAnsi="Barlow Condensed SemiBold" w:cs="Barlow Condensed SemiBold" w:eastAsia="Barlow Condensed SemiBold"/>
            <w:color w:val="007614"/>
            <w:sz w:val="19"/>
            <w:szCs w:val="19"/>
          </w:rPr>
          <w:t xml:space="preserve">24</w:t>
        </w:r>
      </w:hyperlink>
    </w:p>
    <w:p>
      <w:pPr>
        <w:pStyle w:val="TOC2"/>
        <w:tabs>
          <w:tab w:val="right" w:leader="dot" w:pos="8844"/>
        </w:tabs>
        <w:spacing w:before="0" w:after="20" w:line="250" w:lineRule="auto"/>
        <w:ind w:left="300" w:right="400"/>
        <w:jc w:val="left"/>
      </w:pPr>
      <w:hyperlink w:anchor="_h43" w:history="1">
        <w:r>
          <w:rPr>
            <w:rFonts w:ascii="Barlow" w:hAnsi="Barlow" w:cs="Barlow" w:eastAsia="Barlow"/>
            <w:color w:val="0F2440"/>
            <w:sz w:val="19"/>
            <w:szCs w:val="19"/>
          </w:rPr>
          <w:t xml:space="preserve">8.1 Usos previstos</w:t>
        </w:r>
        <w:r>
          <w:tab/>
        </w:r>
        <w:r>
          <w:rPr>
            <w:rFonts w:ascii="Barlow Condensed SemiBold" w:hAnsi="Barlow Condensed SemiBold" w:cs="Barlow Condensed SemiBold" w:eastAsia="Barlow Condensed SemiBold"/>
            <w:color w:val="007614"/>
            <w:sz w:val="19"/>
            <w:szCs w:val="19"/>
          </w:rPr>
          <w:t xml:space="preserve">24</w:t>
        </w:r>
      </w:hyperlink>
    </w:p>
    <w:p>
      <w:pPr>
        <w:pStyle w:val="TOC2"/>
        <w:tabs>
          <w:tab w:val="right" w:leader="dot" w:pos="8844"/>
        </w:tabs>
        <w:spacing w:before="0" w:after="20" w:line="250" w:lineRule="auto"/>
        <w:ind w:left="300" w:right="400"/>
        <w:jc w:val="left"/>
      </w:pPr>
      <w:hyperlink w:anchor="_h44" w:history="1">
        <w:r>
          <w:rPr>
            <w:rFonts w:ascii="Barlow" w:hAnsi="Barlow" w:cs="Barlow" w:eastAsia="Barlow"/>
            <w:color w:val="0F2440"/>
            <w:sz w:val="19"/>
            <w:szCs w:val="19"/>
          </w:rPr>
          <w:t xml:space="preserve">8.2 Uso como desfecho em avaliação</w:t>
        </w:r>
        <w:r>
          <w:tab/>
        </w:r>
        <w:r>
          <w:rPr>
            <w:rFonts w:ascii="Barlow Condensed SemiBold" w:hAnsi="Barlow Condensed SemiBold" w:cs="Barlow Condensed SemiBold" w:eastAsia="Barlow Condensed SemiBold"/>
            <w:color w:val="007614"/>
            <w:sz w:val="19"/>
            <w:szCs w:val="19"/>
          </w:rPr>
          <w:t xml:space="preserve">24</w:t>
        </w:r>
      </w:hyperlink>
    </w:p>
    <w:p>
      <w:pPr>
        <w:pStyle w:val="TOC2"/>
        <w:tabs>
          <w:tab w:val="right" w:leader="dot" w:pos="8844"/>
        </w:tabs>
        <w:spacing w:before="0" w:after="20" w:line="250" w:lineRule="auto"/>
        <w:ind w:left="300" w:right="400"/>
        <w:jc w:val="left"/>
      </w:pPr>
      <w:hyperlink w:anchor="_h45" w:history="1">
        <w:r>
          <w:rPr>
            <w:rFonts w:ascii="Barlow" w:hAnsi="Barlow" w:cs="Barlow" w:eastAsia="Barlow"/>
            <w:color w:val="0F2440"/>
            <w:sz w:val="19"/>
            <w:szCs w:val="19"/>
          </w:rPr>
          <w:t xml:space="preserve">8.3 Vedações</w:t>
        </w:r>
        <w:r>
          <w:tab/>
        </w:r>
        <w:r>
          <w:rPr>
            <w:rFonts w:ascii="Barlow Condensed SemiBold" w:hAnsi="Barlow Condensed SemiBold" w:cs="Barlow Condensed SemiBold" w:eastAsia="Barlow Condensed SemiBold"/>
            <w:color w:val="007614"/>
            <w:sz w:val="19"/>
            <w:szCs w:val="19"/>
          </w:rPr>
          <w:t xml:space="preserve">24</w:t>
        </w:r>
      </w:hyperlink>
    </w:p>
    <w:p>
      <w:pPr>
        <w:pStyle w:val="TOC2"/>
        <w:tabs>
          <w:tab w:val="right" w:leader="dot" w:pos="8844"/>
        </w:tabs>
        <w:spacing w:before="0" w:after="20" w:line="250" w:lineRule="auto"/>
        <w:ind w:left="300" w:right="400"/>
        <w:jc w:val="left"/>
      </w:pPr>
      <w:hyperlink w:anchor="_h46" w:history="1">
        <w:r>
          <w:rPr>
            <w:rFonts w:ascii="Barlow" w:hAnsi="Barlow" w:cs="Barlow" w:eastAsia="Barlow"/>
            <w:color w:val="0F2440"/>
            <w:sz w:val="19"/>
            <w:szCs w:val="19"/>
          </w:rPr>
          <w:t xml:space="preserve">8.4 Limitações</w:t>
        </w:r>
        <w:r>
          <w:tab/>
        </w:r>
        <w:r>
          <w:rPr>
            <w:rFonts w:ascii="Barlow Condensed SemiBold" w:hAnsi="Barlow Condensed SemiBold" w:cs="Barlow Condensed SemiBold" w:eastAsia="Barlow Condensed SemiBold"/>
            <w:color w:val="007614"/>
            <w:sz w:val="19"/>
            <w:szCs w:val="19"/>
          </w:rPr>
          <w:t xml:space="preserve">24</w:t>
        </w:r>
      </w:hyperlink>
    </w:p>
    <w:p>
      <w:pPr>
        <w:pStyle w:val="TOC1"/>
        <w:tabs>
          <w:tab w:val="right" w:leader="dot" w:pos="8844"/>
        </w:tabs>
        <w:spacing w:before="110" w:after="30" w:line="250" w:lineRule="auto"/>
        <w:ind w:right="400"/>
        <w:jc w:val="left"/>
      </w:pPr>
      <w:hyperlink w:anchor="_h47" w:history="1">
        <w:r>
          <w:rPr>
            <w:rFonts w:ascii="Barlow Condensed SemiBold" w:hAnsi="Barlow Condensed SemiBold" w:cs="Barlow Condensed SemiBold" w:eastAsia="Barlow Condensed SemiBold"/>
            <w:color w:val="01366F"/>
            <w:sz w:val="19"/>
            <w:szCs w:val="19"/>
          </w:rPr>
          <w:t xml:space="preserve">9 IMPLEMENTAÇÃO COMPUTACIONAL</w:t>
        </w:r>
        <w:r>
          <w:tab/>
        </w:r>
        <w:r>
          <w:rPr>
            <w:rFonts w:ascii="Barlow Condensed SemiBold" w:hAnsi="Barlow Condensed SemiBold" w:cs="Barlow Condensed SemiBold" w:eastAsia="Barlow Condensed SemiBold"/>
            <w:color w:val="007614"/>
            <w:sz w:val="19"/>
            <w:szCs w:val="19"/>
          </w:rPr>
          <w:t xml:space="preserve">25</w:t>
        </w:r>
      </w:hyperlink>
    </w:p>
    <w:p>
      <w:pPr>
        <w:pStyle w:val="TOC1"/>
        <w:tabs>
          <w:tab w:val="right" w:leader="dot" w:pos="8844"/>
        </w:tabs>
        <w:spacing w:before="110" w:after="30" w:line="250" w:lineRule="auto"/>
        <w:ind w:right="400"/>
        <w:jc w:val="left"/>
      </w:pPr>
      <w:hyperlink w:anchor="_h48" w:history="1">
        <w:r>
          <w:rPr>
            <w:rFonts w:ascii="Barlow Condensed SemiBold" w:hAnsi="Barlow Condensed SemiBold" w:cs="Barlow Condensed SemiBold" w:eastAsia="Barlow Condensed SemiBold"/>
            <w:color w:val="01366F"/>
            <w:sz w:val="19"/>
            <w:szCs w:val="19"/>
          </w:rPr>
          <w:t xml:space="preserve">10 GOVERNANÇA DOS DADOS E PROTEÇÃO DE DADOS PESSOAIS</w:t>
        </w:r>
        <w:r>
          <w:tab/>
        </w:r>
        <w:r>
          <w:rPr>
            <w:rFonts w:ascii="Barlow Condensed SemiBold" w:hAnsi="Barlow Condensed SemiBold" w:cs="Barlow Condensed SemiBold" w:eastAsia="Barlow Condensed SemiBold"/>
            <w:color w:val="007614"/>
            <w:sz w:val="19"/>
            <w:szCs w:val="19"/>
          </w:rPr>
          <w:t xml:space="preserve">26</w:t>
        </w:r>
      </w:hyperlink>
    </w:p>
    <w:p>
      <w:pPr>
        <w:pStyle w:val="TOC1"/>
        <w:tabs>
          <w:tab w:val="right" w:leader="dot" w:pos="8844"/>
        </w:tabs>
        <w:spacing w:before="110" w:after="30" w:line="250" w:lineRule="auto"/>
        <w:ind w:right="400"/>
        <w:jc w:val="left"/>
      </w:pPr>
      <w:hyperlink w:anchor="_h49" w:history="1">
        <w:r>
          <w:rPr>
            <w:rFonts w:ascii="Barlow Condensed SemiBold" w:hAnsi="Barlow Condensed SemiBold" w:cs="Barlow Condensed SemiBold" w:eastAsia="Barlow Condensed SemiBold"/>
            <w:color w:val="01366F"/>
            <w:sz w:val="19"/>
            <w:szCs w:val="19"/>
          </w:rPr>
          <w:t xml:space="preserve">11 VERIFICAÇÕES PENDENTES ANTES DA PRIMEIRA APLICAÇÃO</w:t>
        </w:r>
        <w:r>
          <w:tab/>
        </w:r>
        <w:r>
          <w:rPr>
            <w:rFonts w:ascii="Barlow Condensed SemiBold" w:hAnsi="Barlow Condensed SemiBold" w:cs="Barlow Condensed SemiBold" w:eastAsia="Barlow Condensed SemiBold"/>
            <w:color w:val="007614"/>
            <w:sz w:val="19"/>
            <w:szCs w:val="19"/>
          </w:rPr>
          <w:t xml:space="preserve">27</w:t>
        </w:r>
      </w:hyperlink>
    </w:p>
    <w:p>
      <w:pPr>
        <w:pStyle w:val="TOC1"/>
        <w:tabs>
          <w:tab w:val="right" w:leader="dot" w:pos="8844"/>
        </w:tabs>
        <w:spacing w:before="110" w:after="30" w:line="250" w:lineRule="auto"/>
        <w:ind w:right="400"/>
        <w:jc w:val="left"/>
      </w:pPr>
      <w:hyperlink w:anchor="_h50" w:history="1">
        <w:r>
          <w:rPr>
            <w:rFonts w:ascii="Barlow Condensed SemiBold" w:hAnsi="Barlow Condensed SemiBold" w:cs="Barlow Condensed SemiBold" w:eastAsia="Barlow Condensed SemiBold"/>
            <w:color w:val="01366F"/>
            <w:sz w:val="19"/>
            <w:szCs w:val="19"/>
          </w:rPr>
          <w:t xml:space="preserve">REFERÊNCIAS</w:t>
        </w:r>
        <w:r>
          <w:tab/>
        </w:r>
        <w:r>
          <w:rPr>
            <w:rFonts w:ascii="Barlow Condensed SemiBold" w:hAnsi="Barlow Condensed SemiBold" w:cs="Barlow Condensed SemiBold" w:eastAsia="Barlow Condensed SemiBold"/>
            <w:color w:val="007614"/>
            <w:sz w:val="19"/>
            <w:szCs w:val="19"/>
          </w:rPr>
          <w:t xml:space="preserve">6</w:t>
        </w:r>
      </w:hyperlink>
    </w:p>
    <w:p>
      <w:pPr>
        <w:pStyle w:val="TOC1"/>
        <w:tabs>
          <w:tab w:val="right" w:leader="dot" w:pos="8844"/>
        </w:tabs>
        <w:spacing w:before="110" w:after="30" w:line="250" w:lineRule="auto"/>
        <w:ind w:right="400"/>
        <w:jc w:val="left"/>
      </w:pPr>
      <w:hyperlink w:anchor="_h51" w:history="1">
        <w:r>
          <w:rPr>
            <w:rFonts w:ascii="Barlow Condensed SemiBold" w:hAnsi="Barlow Condensed SemiBold" w:cs="Barlow Condensed SemiBold" w:eastAsia="Barlow Condensed SemiBold"/>
            <w:color w:val="01366F"/>
            <w:sz w:val="19"/>
            <w:szCs w:val="19"/>
          </w:rPr>
          <w:t xml:space="preserve">APÊNDICE A — FICHAS TÉCNICAS DOS INDICADORES</w:t>
        </w:r>
        <w:r>
          <w:tab/>
        </w:r>
        <w:r>
          <w:rPr>
            <w:rFonts w:ascii="Barlow Condensed SemiBold" w:hAnsi="Barlow Condensed SemiBold" w:cs="Barlow Condensed SemiBold" w:eastAsia="Barlow Condensed SemiBold"/>
            <w:color w:val="007614"/>
            <w:sz w:val="19"/>
            <w:szCs w:val="19"/>
          </w:rPr>
          <w:t xml:space="preserve">30</w:t>
        </w:r>
      </w:hyperlink>
    </w:p>
    <w:p>
      <w:pPr>
        <w:pStyle w:val="TOC1"/>
        <w:tabs>
          <w:tab w:val="right" w:leader="dot" w:pos="8844"/>
        </w:tabs>
        <w:spacing w:before="110" w:after="30" w:line="250" w:lineRule="auto"/>
        <w:ind w:right="400"/>
        <w:jc w:val="left"/>
      </w:pPr>
      <w:hyperlink w:anchor="_h52" w:history="1">
        <w:r>
          <w:rPr>
            <w:rFonts w:ascii="Barlow Condensed SemiBold" w:hAnsi="Barlow Condensed SemiBold" w:cs="Barlow Condensed SemiBold" w:eastAsia="Barlow Condensed SemiBold"/>
            <w:color w:val="01366F"/>
            <w:sz w:val="19"/>
            <w:szCs w:val="19"/>
          </w:rPr>
          <w:t xml:space="preserve">APÊNDICE B — QUADRO DE TRANSIÇÃO DA VERSÃO 1.0 PARA A VERSÃO 2.0</w:t>
        </w:r>
        <w:r>
          <w:tab/>
        </w:r>
        <w:r>
          <w:rPr>
            <w:rFonts w:ascii="Barlow Condensed SemiBold" w:hAnsi="Barlow Condensed SemiBold" w:cs="Barlow Condensed SemiBold" w:eastAsia="Barlow Condensed SemiBold"/>
            <w:color w:val="007614"/>
            <w:sz w:val="19"/>
            <w:szCs w:val="19"/>
          </w:rPr>
          <w:t xml:space="preserve">33</w:t>
        </w:r>
      </w:hyperlink>
      <w:r>
        <w:fldChar w:fldCharType="end"/>
      </w:r>
    </w:p>
    <w:p>
      <w:pPr>
        <w:sectPr>
          <w:headerReference w:type="default" r:id="rId15"/>
          <w:headerReference w:type="even" r:id="rId15"/>
          <w:footerReference w:type="default" r:id="rId14"/>
          <w:footerReference w:type="even" r:id="rId14"/>
          <w:type w:val="nextPage"/>
          <w:pgSz w:w="11906" w:h="16838"/>
          <w:pgMar w:top="1700" w:right="1531" w:bottom="1700" w:left="1531" w:header="850" w:footer="330" w:gutter="0"/>
          <w:cols w:space="720"/>
          <w:docGrid w:linePitch="360"/>
        </w:sectPr>
      </w:pPr>
    </w:p>
    <w:p>
      <w:pPr>
        <w:pStyle w:val="Heading1"/>
        <w:pBdr>
          <w:bottom w:val="single" w:sz="12" w:space="10" w:color="007614"/>
        </w:pBdr>
        <w:spacing w:before="120" w:after="380" w:line="600" w:lineRule="exact"/>
        <w:jc w:val="left"/>
      </w:pPr>
      <w:bookmarkStart w:id="1" w:name="_h0"/>
      <w:r>
        <w:rPr>
          <w:rFonts w:ascii="Barlow Condensed" w:hAnsi="Barlow Condensed" w:cs="Barlow Condensed" w:eastAsia="Barlow Condensed"/>
          <w:b/>
          <w:bCs/>
          <w:color w:val="01366F"/>
          <w:sz w:val="52"/>
          <w:szCs w:val="52"/>
        </w:rPr>
        <w:t xml:space="preserve">APRESENTAÇÃO</w:t>
      </w:r>
      <w:bookmarkEnd w:id="1"/>
    </w:p>
    <w:p>
      <w:pPr>
        <w:spacing w:before="0" w:after="140" w:line="300" w:lineRule="auto"/>
        <w:jc w:val="both"/>
      </w:pPr>
      <w:r>
        <w:rPr>
          <w:rFonts w:ascii="Barlow" w:hAnsi="Barlow" w:cs="Barlow" w:eastAsia="Barlow"/>
          <w:color w:val="0F2440"/>
          <w:sz w:val="20"/>
          <w:szCs w:val="20"/>
        </w:rPr>
        <w:t xml:space="preserve">O Índice de Vulnerabilidade Territorial (IVT) é a medida que a Plataforma de Inteligência Cooperativa com a Atenção Primária à Saúde (PICAPS) usa para responder a uma pergunta operacional: </w:t>
      </w:r>
      <w:r>
        <w:rPr>
          <w:rFonts w:ascii="Barlow SemiBold" w:hAnsi="Barlow SemiBold" w:cs="Barlow SemiBold" w:eastAsia="Barlow SemiBold"/>
          <w:color w:val="01366F"/>
          <w:sz w:val="20"/>
          <w:szCs w:val="20"/>
        </w:rPr>
        <w:t xml:space="preserve">dentro de um território, onde o dano à saúde é mais provável?</w:t>
      </w:r>
      <w:r>
        <w:rPr>
          <w:rFonts w:ascii="Barlow" w:hAnsi="Barlow" w:cs="Barlow" w:eastAsia="Barlow"/>
          <w:color w:val="0F2440"/>
          <w:sz w:val="20"/>
          <w:szCs w:val="20"/>
        </w:rPr>
        <w:t xml:space="preserve"> A resposta orienta onde a vigilância deve olhar com mais atenção, onde a busca ativa e as visitas devem começar e sobre que base os alertas da vigilância popular e as notificações da vigilância tradicional são lidos em conjunto nas Salas de Cooperação Social (SCS).</w:t>
      </w:r>
    </w:p>
    <w:p>
      <w:pPr>
        <w:spacing w:before="0" w:after="140" w:line="300" w:lineRule="auto"/>
        <w:jc w:val="both"/>
      </w:pPr>
      <w:r>
        <w:rPr>
          <w:rFonts w:ascii="Barlow" w:hAnsi="Barlow" w:cs="Barlow" w:eastAsia="Barlow"/>
          <w:color w:val="0F2440"/>
          <w:sz w:val="20"/>
          <w:szCs w:val="20"/>
        </w:rPr>
        <w:t xml:space="preserve">O IVT é um dos três instrumentos de leitura do Protocolo de Inteligência Territorial (FIOCRUZ BRASÍLIA, 2026b). Cada um responde a uma pergunta diferente e nenhum é somado aos outros. O Índice de Necessidade de Saúde (INS) compara municípios e Regiões Administrativas para fins de alocação de recursos (MACHINER et al., 2026). O IVT olha para dentro de cada território, no nível do setor censitário. O Painel de Vigilância Integrada (PVI) acompanha, mês a mês, os sinais das duas vigilâncias e a resposta que recebem.</w:t>
      </w:r>
    </w:p>
    <w:p>
      <w:pPr>
        <w:spacing w:before="0" w:after="140" w:line="300" w:lineRule="auto"/>
        <w:jc w:val="both"/>
      </w:pPr>
      <w:r>
        <w:rPr>
          <w:rFonts w:ascii="Barlow" w:hAnsi="Barlow" w:cs="Barlow" w:eastAsia="Barlow"/>
          <w:color w:val="0F2440"/>
          <w:sz w:val="20"/>
          <w:szCs w:val="20"/>
        </w:rPr>
        <w:t xml:space="preserve">O guia está organizado em onze seções. As seções 1 e 2 definem o construto e os critérios de qualidade adotados, segundo a Organização para a Cooperação e Desenvolvimento Econômico (OCDE) e Jannuzzi. As seções 3 a 5 especificam a cesta, as fontes e o cálculo. A seção 6 apresenta o plano de validação. A seção 7 trata da participação do território e a seção 8, dos usos e limites. As seções 9 a 11 cobrem a implementação computacional, a governança dos dados e as verificações pendentes antes da primeira aplicação. Os apêndices trazem as fichas técnicas dos indicadores e o quadro de transição da versão anterior.</w:t>
      </w:r>
    </w:p>
    <w:p>
      <w:pPr>
        <w:spacing w:before="0" w:after="140" w:line="300" w:lineRule="auto"/>
        <w:jc w:val="both"/>
        <w:sectPr>
          <w:headerReference w:type="default" r:id="rId16"/>
          <w:headerReference w:type="even" r:id="rId17"/>
          <w:footerReference w:type="default" r:id="rId18"/>
          <w:footerReference w:type="even" r:id="rId19"/>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O documento destina-se às equipes técnicas da PICAPS e das secretarias de saúde, às equipes de Atenção Primária à Saúde (APS) e de Vigilância em Saúde dos territórios e às próprias SCS, que recebem os resultados antes de qualquer outro destinatário.</w:t>
      </w:r>
    </w:p>
    <w:p>
      <w:pPr>
        <w:pStyle w:val="Heading1"/>
        <w:pBdr>
          <w:bottom w:val="single" w:sz="12" w:space="10" w:color="007614"/>
        </w:pBdr>
        <w:spacing w:before="120" w:after="380" w:line="600" w:lineRule="exact"/>
        <w:jc w:val="left"/>
      </w:pPr>
      <w:bookmarkStart w:id="2" w:name="_h1"/>
      <w:r>
        <w:rPr>
          <w:rFonts w:ascii="Barlow Condensed" w:hAnsi="Barlow Condensed" w:cs="Barlow Condensed" w:eastAsia="Barlow Condensed"/>
          <w:b/>
          <w:bCs/>
          <w:color w:val="007614"/>
          <w:sz w:val="52"/>
          <w:szCs w:val="52"/>
        </w:rPr>
        <w:t xml:space="preserve">1 </w:t>
      </w:r>
      <w:r>
        <w:rPr>
          <w:rFonts w:ascii="Barlow Condensed" w:hAnsi="Barlow Condensed" w:cs="Barlow Condensed" w:eastAsia="Barlow Condensed"/>
          <w:b/>
          <w:bCs/>
          <w:color w:val="01366F"/>
          <w:sz w:val="52"/>
          <w:szCs w:val="52"/>
        </w:rPr>
        <w:t xml:space="preserve">FUNDAMENTOS CONCEITUAIS</w:t>
      </w:r>
      <w:bookmarkEnd w:id="2"/>
    </w:p>
    <w:p>
      <w:pPr>
        <w:pStyle w:val="Heading2"/>
        <w:keepNext/>
        <w:spacing w:before="340" w:after="120" w:line="264" w:lineRule="auto"/>
        <w:jc w:val="left"/>
      </w:pPr>
      <w:bookmarkStart w:id="3" w:name="_h2"/>
      <w:r>
        <w:rPr>
          <w:rFonts w:ascii="Barlow Condensed SemiBold" w:hAnsi="Barlow Condensed SemiBold" w:cs="Barlow Condensed SemiBold" w:eastAsia="Barlow Condensed SemiBold"/>
          <w:color w:val="007614"/>
          <w:sz w:val="30"/>
          <w:szCs w:val="30"/>
        </w:rPr>
        <w:t xml:space="preserve">1.1 Vulnerabilidade territorial e determinação social da saúde</w:t>
      </w:r>
      <w:bookmarkEnd w:id="3"/>
    </w:p>
    <w:p>
      <w:pPr>
        <w:spacing w:before="0" w:after="140" w:line="300" w:lineRule="auto"/>
        <w:jc w:val="both"/>
      </w:pPr>
      <w:r>
        <w:rPr>
          <w:rFonts w:ascii="Barlow" w:hAnsi="Barlow" w:cs="Barlow" w:eastAsia="Barlow"/>
          <w:color w:val="0F2440"/>
          <w:sz w:val="20"/>
          <w:szCs w:val="20"/>
        </w:rPr>
        <w:t xml:space="preserve">O IVT parte da recusa à equivalência entre vulnerabilidade individual e vulnerabilidade territorial. Na tradição da epidemiologia crítica latino-americana, os perfis de adoecimento não se explicam pela soma de fatores de risco individuais: exprimem as condições coletivas de reprodução social nos territórios (LAURELL, 1982; BREILH, 2006). A categoria de território usado (SANTOS, 2002) e a noção de corpo-terra-território (CABNAL, 2010) lembram que as condições do lugar se inscrevem nos corpos de quem nele vive. Essas referências orientam a escolha do que medir, mas não se confundem com a definição operacional do índice, que precisa ser observável, mensurável e reprodutível.</w:t>
      </w:r>
    </w:p>
    <w:p>
      <w:pPr>
        <w:spacing w:before="0" w:after="140" w:line="300" w:lineRule="auto"/>
        <w:jc w:val="both"/>
      </w:pPr>
      <w:r>
        <w:rPr>
          <w:rFonts w:ascii="Barlow" w:hAnsi="Barlow" w:cs="Barlow" w:eastAsia="Barlow"/>
          <w:color w:val="0F2440"/>
          <w:sz w:val="20"/>
          <w:szCs w:val="20"/>
        </w:rPr>
        <w:t xml:space="preserve">Para fins de medida, adota-se a seguinte definição: </w:t>
      </w:r>
      <w:r>
        <w:rPr>
          <w:rFonts w:ascii="Barlow SemiBold" w:hAnsi="Barlow SemiBold" w:cs="Barlow SemiBold" w:eastAsia="Barlow SemiBold"/>
          <w:color w:val="01366F"/>
          <w:sz w:val="20"/>
          <w:szCs w:val="20"/>
        </w:rPr>
        <w:t xml:space="preserve">vulnerabilidade territorial é o conjunto de condições do lugar e da população que torna mais provável que uma ameaça sanitária ou ambiental produza dano à saúde de quem vive em determinada porção do território.</w:t>
      </w:r>
      <w:r>
        <w:rPr>
          <w:rFonts w:ascii="Barlow" w:hAnsi="Barlow" w:cs="Barlow" w:eastAsia="Barlow"/>
          <w:color w:val="0F2440"/>
          <w:sz w:val="20"/>
          <w:szCs w:val="20"/>
        </w:rPr>
        <w:t xml:space="preserve"> A definição tem dois componentes. A </w:t>
      </w:r>
      <w:r>
        <w:rPr>
          <w:rFonts w:ascii="Barlow SemiBold" w:hAnsi="Barlow SemiBold" w:cs="Barlow SemiBold" w:eastAsia="Barlow SemiBold"/>
          <w:color w:val="01366F"/>
          <w:sz w:val="20"/>
          <w:szCs w:val="20"/>
        </w:rPr>
        <w:t xml:space="preserve">exposição</w:t>
      </w:r>
      <w:r>
        <w:rPr>
          <w:rFonts w:ascii="Barlow" w:hAnsi="Barlow" w:cs="Barlow" w:eastAsia="Barlow"/>
          <w:color w:val="0F2440"/>
          <w:sz w:val="20"/>
          <w:szCs w:val="20"/>
        </w:rPr>
        <w:t xml:space="preserve"> reúne as condições do lugar que colocam a população em contato com a ameaça (saneamento inadequado, adensamento domiciliar, residência em área de risco). A </w:t>
      </w:r>
      <w:r>
        <w:rPr>
          <w:rFonts w:ascii="Barlow SemiBold" w:hAnsi="Barlow SemiBold" w:cs="Barlow SemiBold" w:eastAsia="Barlow SemiBold"/>
          <w:color w:val="01366F"/>
          <w:sz w:val="20"/>
          <w:szCs w:val="20"/>
        </w:rPr>
        <w:t xml:space="preserve">sensibilidade</w:t>
      </w:r>
      <w:r>
        <w:rPr>
          <w:rFonts w:ascii="Barlow" w:hAnsi="Barlow" w:cs="Barlow" w:eastAsia="Barlow"/>
          <w:color w:val="0F2440"/>
          <w:sz w:val="20"/>
          <w:szCs w:val="20"/>
        </w:rPr>
        <w:t xml:space="preserve"> reúne as características da população que ampliam o dano quando o contato ocorre (baixa renda, idades extremas). A definição segue o arcabouço do Painel Intergovernamental sobre Mudança do Clima, em que a vulnerabilidade reúne exposição, sensibilidade e capacidade adaptativa (IPCC, 2007), e a literatura de vulnerabilidade social a riscos ambientais (CUTTER; BORUFF; SHIRLEY, 2003). Na terminologia das Nações Unidas, que trata exposição e vulnerabilidade como componentes distintos do risco (UNDRR, 2017), o IVT corresponde à soma da exposição (E) e da vulnerabilidade (V). A capacidade adaptativa fica fora do índice, pelas razões da seção 1.2.</w:t>
      </w:r>
    </w:p>
    <w:p>
      <w:pPr>
        <w:pStyle w:val="Heading2"/>
        <w:keepNext/>
        <w:spacing w:before="340" w:after="120" w:line="264" w:lineRule="auto"/>
        <w:jc w:val="left"/>
      </w:pPr>
      <w:bookmarkStart w:id="4" w:name="_h3"/>
      <w:r>
        <w:rPr>
          <w:rFonts w:ascii="Barlow Condensed SemiBold" w:hAnsi="Barlow Condensed SemiBold" w:cs="Barlow Condensed SemiBold" w:eastAsia="Barlow Condensed SemiBold"/>
          <w:color w:val="007614"/>
          <w:sz w:val="30"/>
          <w:szCs w:val="30"/>
        </w:rPr>
        <w:t xml:space="preserve">1.2 O que o IVT mede e o que deliberadamente não mede</w:t>
      </w:r>
      <w:bookmarkEnd w:id="4"/>
    </w:p>
    <w:p>
      <w:pPr>
        <w:spacing w:before="0" w:after="140" w:line="300" w:lineRule="auto"/>
        <w:jc w:val="both"/>
      </w:pPr>
      <w:r>
        <w:rPr>
          <w:rFonts w:ascii="Barlow" w:hAnsi="Barlow" w:cs="Barlow" w:eastAsia="Barlow"/>
          <w:color w:val="0F2440"/>
          <w:sz w:val="20"/>
          <w:szCs w:val="20"/>
        </w:rPr>
        <w:t xml:space="preserve">O quadro de risco das Nações Unidas descreve o risco como função da ameaça, da exposição, da vulnerabilidade e da capacidade (UNDRR, 2017; WISNER et al., 2004). A versão anterior do índice apresentava esse quadro na forma R = (A × V × E) / C e, em seguida, somava ameaça, vulnerabilidade, exposição e capacidade como domínios de uma média ponderada. Havia ali uma incoerência: o modelo é multiplicativo e põe a capacidade no denominador, enquanto o cálculo era aditivo e tratava a capacidade como mais um domínio. Além disso, um índice que combina ameaça e capacidade deixa de medir vulnerabilidade e passa a medir risco, que é outro construto.</w:t>
      </w:r>
    </w:p>
    <w:p>
      <w:pPr>
        <w:spacing w:before="0" w:after="140" w:line="300" w:lineRule="auto"/>
        <w:jc w:val="both"/>
      </w:pPr>
      <w:r>
        <w:rPr>
          <w:rFonts w:ascii="Barlow" w:hAnsi="Barlow" w:cs="Barlow" w:eastAsia="Barlow"/>
          <w:color w:val="0F2440"/>
          <w:sz w:val="20"/>
          <w:szCs w:val="20"/>
        </w:rPr>
        <w:t xml:space="preserve">Esta versão resolve a incoerência pela delimitação. A expressão R = f(A, E, V, C) permanece como </w:t>
      </w:r>
      <w:r>
        <w:rPr>
          <w:rFonts w:ascii="Barlow SemiBold" w:hAnsi="Barlow SemiBold" w:cs="Barlow SemiBold" w:eastAsia="Barlow SemiBold"/>
          <w:color w:val="01366F"/>
          <w:sz w:val="20"/>
          <w:szCs w:val="20"/>
        </w:rPr>
        <w:t xml:space="preserve">quadro conceitual de leitura</w:t>
      </w:r>
      <w:r>
        <w:rPr>
          <w:rFonts w:ascii="Barlow" w:hAnsi="Barlow" w:cs="Barlow" w:eastAsia="Barlow"/>
          <w:color w:val="0F2440"/>
          <w:sz w:val="20"/>
          <w:szCs w:val="20"/>
        </w:rPr>
        <w:t xml:space="preserve">, e não como fórmula de cálculo. O IVT mede apenas exposição e sensibilidade, que mudam em ritmo de meses a anos e podem ser observadas com fontes regulares. Os outros dois componentes são acompanhados fora do índice, por razões distintas:</w:t>
      </w:r>
    </w:p>
    <w:p>
      <w:pPr>
        <w:pStyle w:val="ListParagraph"/>
        <w:numPr>
          <w:ilvl w:val="0"/>
          <w:numId w:val="11"/>
        </w:numPr>
        <w:spacing w:before="0" w:after="80" w:line="290" w:lineRule="auto"/>
        <w:jc w:val="both"/>
      </w:pPr>
      <w:r>
        <w:rPr>
          <w:rFonts w:ascii="Barlow SemiBold" w:hAnsi="Barlow SemiBold" w:cs="Barlow SemiBold" w:eastAsia="Barlow SemiBold"/>
          <w:color w:val="01366F"/>
          <w:sz w:val="20"/>
          <w:szCs w:val="20"/>
        </w:rPr>
        <w:t xml:space="preserve">Ameaça (A):</w:t>
      </w:r>
      <w:r>
        <w:rPr>
          <w:rFonts w:ascii="Barlow" w:hAnsi="Barlow" w:cs="Barlow" w:eastAsia="Barlow"/>
          <w:color w:val="0F2440"/>
          <w:sz w:val="20"/>
          <w:szCs w:val="20"/>
        </w:rPr>
        <w:t xml:space="preserve"> casos notificados, índices de infestação, alertas de eventos climáticos e alertas da vigilância popular mudam em dias ou semanas. São acompanhados com a velocidade que exigem: as notificações e os alertas populares, pelos indicadores do Painel de Vigilância Integrada; o índice de infestação por </w:t>
      </w:r>
      <w:r>
        <w:rPr>
          <w:rFonts w:ascii="Barlow" w:hAnsi="Barlow" w:cs="Barlow" w:eastAsia="Barlow"/>
          <w:i/>
          <w:iCs/>
          <w:color w:val="0F2440"/>
          <w:sz w:val="20"/>
          <w:szCs w:val="20"/>
        </w:rPr>
        <w:t xml:space="preserve">Aedes aegypti</w:t>
      </w:r>
      <w:r>
        <w:rPr>
          <w:rFonts w:ascii="Barlow" w:hAnsi="Barlow" w:cs="Barlow" w:eastAsia="Barlow"/>
          <w:color w:val="0F2440"/>
          <w:sz w:val="20"/>
          <w:szCs w:val="20"/>
        </w:rPr>
        <w:t xml:space="preserve"> e os alertas da Defesa Civil, como camada de contexto do mapa do Painel, fora de seus nove indicadores.</w:t>
      </w:r>
    </w:p>
    <w:p>
      <w:pPr>
        <w:pStyle w:val="ListParagraph"/>
        <w:numPr>
          <w:ilvl w:val="0"/>
          <w:numId w:val="11"/>
        </w:numPr>
        <w:spacing w:before="0" w:after="180" w:line="290" w:lineRule="auto"/>
        <w:jc w:val="both"/>
      </w:pPr>
      <w:r>
        <w:rPr>
          <w:rFonts w:ascii="Barlow SemiBold" w:hAnsi="Barlow SemiBold" w:cs="Barlow SemiBold" w:eastAsia="Barlow SemiBold"/>
          <w:color w:val="01366F"/>
          <w:sz w:val="20"/>
          <w:szCs w:val="20"/>
        </w:rPr>
        <w:t xml:space="preserve">Capacidade (C):</w:t>
      </w:r>
      <w:r>
        <w:rPr>
          <w:rFonts w:ascii="Barlow" w:hAnsi="Barlow" w:cs="Barlow" w:eastAsia="Barlow"/>
          <w:color w:val="0F2440"/>
          <w:sz w:val="20"/>
          <w:szCs w:val="20"/>
        </w:rPr>
        <w:t xml:space="preserve"> a capacidade dos serviços é oferta e, se entrasse no índice, um território mais bem servido pareceria menos vulnerável justamente por ser mais bem servido. A capacidade comunitária é aquilo que a própria PICAPS pretende fortalecer, e incluí-la tornaria o índice circular, como já advertia o projeto de avaliação qualitativa da PICAPS (FIOCRUZ BRASÍLIA, 2026c). A primeira é tratada como camada de oferta para análise de lacunas; a segunda, como indicador de processo, no PVI e no Índice de Resiliência Sociotécnica.</w:t>
      </w:r>
    </w:p>
    <w:p>
      <w:pPr>
        <w:spacing w:before="0" w:after="140" w:line="300" w:lineRule="auto"/>
        <w:jc w:val="both"/>
      </w:pPr>
      <w:r>
        <w:rPr>
          <w:rFonts w:ascii="Barlow" w:hAnsi="Barlow" w:cs="Barlow" w:eastAsia="Barlow"/>
          <w:color w:val="0F2440"/>
          <w:sz w:val="20"/>
          <w:szCs w:val="20"/>
        </w:rPr>
        <w:t xml:space="preserve">A leitura de risco, portanto, não é feita por multiplicação de números de escalas diferentes. Ela é feita pela SCS, que examina no mesmo mapa a vulnerabilidade (IVT), os sinais de ameaça (indicadores e camada de contexto do PVI) e a resposta dos serviços. É essa triangulação que o Protocolo de Inteligência Territorial organiza.</w:t>
      </w:r>
    </w:p>
    <w:p>
      <w:pPr>
        <w:pStyle w:val="Heading2"/>
        <w:keepNext/>
        <w:spacing w:before="340" w:after="120" w:line="264" w:lineRule="auto"/>
        <w:jc w:val="left"/>
      </w:pPr>
      <w:bookmarkStart w:id="5" w:name="_h4"/>
      <w:r>
        <w:rPr>
          <w:rFonts w:ascii="Barlow Condensed SemiBold" w:hAnsi="Barlow Condensed SemiBold" w:cs="Barlow Condensed SemiBold" w:eastAsia="Barlow Condensed SemiBold"/>
          <w:color w:val="007614"/>
          <w:sz w:val="30"/>
          <w:szCs w:val="30"/>
        </w:rPr>
        <w:t xml:space="preserve">1.3 O lugar do IVT no sistema de leitura da PICAPS</w:t>
      </w:r>
      <w:bookmarkEnd w:id="5"/>
    </w:p>
    <w:p>
      <w:pPr>
        <w:spacing w:before="0" w:after="140" w:line="300" w:lineRule="auto"/>
        <w:jc w:val="both"/>
      </w:pPr>
      <w:r>
        <w:rPr>
          <w:rFonts w:ascii="Barlow" w:hAnsi="Barlow" w:cs="Barlow" w:eastAsia="Barlow"/>
          <w:color w:val="0F2440"/>
          <w:sz w:val="20"/>
          <w:szCs w:val="20"/>
        </w:rPr>
        <w:t xml:space="preserve">O Quadro 1 distingue os três instrumentos. A distinção não é de nomenclatura: cada um tem construto, unidade, fontes, periodicidade e uso próprios, e a confusão entre eles produziria erros de interpretação, como tomar a variação de um indicador de atividade da SCS por redução de vulnerabilidade.</w:t>
      </w:r>
    </w:p>
    <w:p>
      <w:pPr>
        <w:keepNext/>
        <w:spacing w:before="200" w:after="100" w:line="264" w:lineRule="auto"/>
        <w:jc w:val="left"/>
      </w:pPr>
      <w:bookmarkStart w:id="6" w:name="_q_1"/>
      <w:r>
        <w:rPr>
          <w:rFonts w:ascii="Barlow Condensed SemiBold" w:hAnsi="Barlow Condensed SemiBold" w:cs="Barlow Condensed SemiBold" w:eastAsia="Barlow Condensed SemiBold"/>
          <w:color w:val="007614"/>
          <w:sz w:val="21"/>
          <w:szCs w:val="21"/>
        </w:rPr>
        <w:t xml:space="preserve">Quadro 1 – </w:t>
      </w:r>
      <w:r>
        <w:rPr>
          <w:rFonts w:ascii="Barlow Condensed SemiBold" w:hAnsi="Barlow Condensed SemiBold" w:cs="Barlow Condensed SemiBold" w:eastAsia="Barlow Condensed SemiBold"/>
          <w:color w:val="01366F"/>
          <w:sz w:val="21"/>
          <w:szCs w:val="21"/>
        </w:rPr>
        <w:t xml:space="preserve">Os três instrumentos de leitura do Protocolo de Inteligência Territorial</w:t>
      </w:r>
      <w:bookmarkEnd w:id="6"/>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414"/>
        <w:gridCol w:w="2476"/>
        <w:gridCol w:w="2476"/>
        <w:gridCol w:w="2478"/>
      </w:tblGrid>
      <w:tr>
        <w:trPr>
          <w:tblHeader/>
          <w:cantSplit/>
        </w:trPr>
        <w:tc>
          <w:tcPr>
            <w:tcW w:w="141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Atributo</w:t>
            </w:r>
          </w:p>
        </w:tc>
        <w:tc>
          <w:tcPr>
            <w:tcW w:w="247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INS</w:t>
            </w:r>
          </w:p>
        </w:tc>
        <w:tc>
          <w:tcPr>
            <w:tcW w:w="247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IVT</w:t>
            </w:r>
          </w:p>
        </w:tc>
        <w:tc>
          <w:tcPr>
            <w:tcW w:w="247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Painel de Vigilância Integrada</w:t>
            </w:r>
          </w:p>
        </w:tc>
      </w:tr>
      <w:tr>
        <w:trPr>
          <w:cantSplit/>
        </w:trPr>
        <w:tc>
          <w:tcPr>
            <w:tcW w:w="141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Pergunta</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Onde a necessidade de saúde é maior?</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Dentro do território, onde o dano é mais provável?</w:t>
            </w:r>
          </w:p>
        </w:tc>
        <w:tc>
          <w:tcPr>
            <w:tcW w:w="247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 que as duas vigilâncias estão sinalizando e o que foi feito?</w:t>
            </w:r>
          </w:p>
        </w:tc>
      </w:tr>
      <w:tr>
        <w:trPr>
          <w:cantSplit/>
        </w:trPr>
        <w:tc>
          <w:tcPr>
            <w:tcW w:w="141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Construto</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Necessidade potencial de cuidado</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Vulnerabilidade territorial: exposição do lugar e sensibilidade da população</w:t>
            </w:r>
          </w:p>
        </w:tc>
        <w:tc>
          <w:tcPr>
            <w:tcW w:w="247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Sinais, convergência, visibilização e resposta (processo)</w:t>
            </w:r>
          </w:p>
        </w:tc>
      </w:tr>
      <w:tr>
        <w:trPr>
          <w:cantSplit/>
        </w:trPr>
        <w:tc>
          <w:tcPr>
            <w:tcW w:w="141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Unidade</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Município (INS-M) e Região Administrativa do DF (INS-DF)</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Setor censitário (cálculo); microárea, área da UBS e território da SCS (leitura)</w:t>
            </w:r>
          </w:p>
        </w:tc>
        <w:tc>
          <w:tcPr>
            <w:tcW w:w="247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Microárea e território da SCS</w:t>
            </w:r>
          </w:p>
        </w:tc>
      </w:tr>
      <w:tr>
        <w:trPr>
          <w:cantSplit/>
        </w:trPr>
        <w:tc>
          <w:tcPr>
            <w:tcW w:w="141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Fontes</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Censo 2022, CadÚnico, SINISA, INEP, estimativas do IBGE, ANS; PDAD no DF</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Censo 2022 (âncora), e-SUS APS, CadÚnico georreferenciado, Defesa Civil e cartografia social verificada</w:t>
            </w:r>
          </w:p>
        </w:tc>
        <w:tc>
          <w:tcPr>
            <w:tcW w:w="247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Plataforma Ágora, SINAN, LIRAa, registros de resposta, atas da SCS</w:t>
            </w:r>
          </w:p>
        </w:tc>
      </w:tr>
      <w:tr>
        <w:trPr>
          <w:cantSplit/>
        </w:trPr>
        <w:tc>
          <w:tcPr>
            <w:tcW w:w="141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Anual (versão dinâmica)</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Semestral</w:t>
            </w:r>
          </w:p>
        </w:tc>
        <w:tc>
          <w:tcPr>
            <w:tcW w:w="247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Mensal (dois indicadores trimestrais)</w:t>
            </w:r>
          </w:p>
        </w:tc>
      </w:tr>
      <w:tr>
        <w:trPr>
          <w:cantSplit/>
        </w:trPr>
        <w:tc>
          <w:tcPr>
            <w:tcW w:w="141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Uso</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Alocação e escolha de territórios prioritários</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Mapa-base da vigilância integrada e agenda da SCS</w:t>
            </w:r>
          </w:p>
        </w:tc>
        <w:tc>
          <w:tcPr>
            <w:tcW w:w="247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Reunião mensal, resposta e reflexividade</w:t>
            </w:r>
          </w:p>
        </w:tc>
      </w:tr>
      <w:tr>
        <w:trPr>
          <w:cantSplit/>
        </w:trPr>
        <w:tc>
          <w:tcPr>
            <w:tcW w:w="1414"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7"/>
                <w:szCs w:val="17"/>
              </w:rPr>
              <w:t xml:space="preserve">Tamanho da cesta</w:t>
            </w:r>
          </w:p>
        </w:tc>
        <w:tc>
          <w:tcPr>
            <w:tcW w:w="2476"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11 indicadores</w:t>
            </w:r>
          </w:p>
        </w:tc>
        <w:tc>
          <w:tcPr>
            <w:tcW w:w="2476"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6 indicadores</w:t>
            </w:r>
          </w:p>
        </w:tc>
        <w:tc>
          <w:tcPr>
            <w:tcW w:w="2478"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9 indicadores</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spacing w:before="0" w:after="140" w:line="300" w:lineRule="auto"/>
        <w:jc w:val="both"/>
      </w:pPr>
      <w:r>
        <w:rPr>
          <w:rFonts w:ascii="Barlow" w:hAnsi="Barlow" w:cs="Barlow" w:eastAsia="Barlow"/>
          <w:color w:val="0F2440"/>
          <w:sz w:val="20"/>
          <w:szCs w:val="20"/>
        </w:rPr>
        <w:t xml:space="preserve">Os dois índices compartilham as mesmas definições para os construtos que se repetem (baixa renda, saneamento inadequado, adensamento domiciliar, faixas etárias). Isso permite a leitura aninhada: a Região Administrativa ordenada pelo INS-DF pode ser decomposta, pelo IVT, nos setores que concentram a vulnerabilidade, sem que diferenças de definição contaminem a comparação.</w:t>
      </w: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7" w:name="_f_1"/>
            <w:r>
              <w:rPr>
                <w:rFonts w:ascii="Barlow Condensed SemiBold" w:hAnsi="Barlow Condensed SemiBold" w:cs="Barlow Condensed SemiBold" w:eastAsia="Barlow Condensed SemiBold"/>
                <w:color w:val="007614"/>
                <w:sz w:val="21"/>
                <w:szCs w:val="21"/>
              </w:rPr>
              <w:t xml:space="preserve">Figura 1 – </w:t>
            </w:r>
            <w:r>
              <w:rPr>
                <w:rFonts w:ascii="Barlow Condensed SemiBold" w:hAnsi="Barlow Condensed SemiBold" w:cs="Barlow Condensed SemiBold" w:eastAsia="Barlow Condensed SemiBold"/>
                <w:color w:val="01366F"/>
                <w:sz w:val="21"/>
                <w:szCs w:val="21"/>
              </w:rPr>
              <w:t xml:space="preserve">Arquitetura de leitura: três instrumentos, três perguntas</w:t>
            </w:r>
            <w:bookmarkEnd w:id="7"/>
          </w:p>
          <w:p>
            <w:pPr>
              <w:spacing w:before="0" w:after="0" w:line="240" w:lineRule="auto"/>
              <w:jc w:val="center"/>
            </w:pPr>
            <w:r>
              <w:drawing>
                <wp:inline distT="0" distB="0" distL="0" distR="0">
                  <wp:extent cx="5387340" cy="4297301"/>
                  <wp:effectExtent l="0" t="0" r="0" b="0"/>
                  <wp:docPr id="6" name="im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5.png"/>
                          <pic:cNvPicPr/>
                        </pic:nvPicPr>
                        <pic:blipFill>
                          <a:blip r:embed="rId10"/>
                          <a:stretch>
                            <a:fillRect/>
                          </a:stretch>
                        </pic:blipFill>
                        <pic:spPr>
                          <a:xfrm>
                            <a:off x="0" y="0"/>
                            <a:ext cx="5387340" cy="4297301"/>
                          </a:xfrm>
                          <a:prstGeom prst="rect">
                            <a:avLst/>
                          </a:prstGeom>
                        </pic:spPr>
                      </pic:pic>
                    </a:graphicData>
                  </a:graphic>
                </wp:inline>
              </w:drawing>
            </w:r>
          </w:p>
          <w:p>
            <w:pPr>
              <w:spacing w:before="60" w:after="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tc>
      </w:tr>
    </w:tbl>
    <w:p>
      <w:pPr>
        <w:spacing w:before="0" w:after="0" w:line="240" w:lineRule="exact"/>
        <w:jc w:val="both"/>
      </w:pPr>
    </w:p>
    <w:p>
      <w:pPr>
        <w:pStyle w:val="Heading2"/>
        <w:keepNext/>
        <w:spacing w:before="340" w:after="120" w:line="264" w:lineRule="auto"/>
        <w:jc w:val="left"/>
      </w:pPr>
      <w:bookmarkStart w:id="8" w:name="_h5"/>
      <w:r>
        <w:rPr>
          <w:rFonts w:ascii="Barlow Condensed SemiBold" w:hAnsi="Barlow Condensed SemiBold" w:cs="Barlow Condensed SemiBold" w:eastAsia="Barlow Condensed SemiBold"/>
          <w:color w:val="007614"/>
          <w:sz w:val="30"/>
          <w:szCs w:val="30"/>
        </w:rPr>
        <w:t xml:space="preserve">1.4 Princípios orientadores</w:t>
      </w:r>
      <w:bookmarkEnd w:id="8"/>
    </w:p>
    <w:p>
      <w:pPr>
        <w:pStyle w:val="ListParagraph"/>
        <w:numPr>
          <w:ilvl w:val="0"/>
          <w:numId w:val="12"/>
        </w:numPr>
        <w:spacing w:before="0" w:after="80" w:line="290" w:lineRule="auto"/>
        <w:jc w:val="both"/>
      </w:pPr>
      <w:r>
        <w:rPr>
          <w:rFonts w:ascii="Barlow SemiBold" w:hAnsi="Barlow SemiBold" w:cs="Barlow SemiBold" w:eastAsia="Barlow SemiBold"/>
          <w:color w:val="01366F"/>
          <w:sz w:val="20"/>
          <w:szCs w:val="20"/>
        </w:rPr>
        <w:t xml:space="preserve">Separar medir de deliberar.</w:t>
      </w:r>
      <w:r>
        <w:rPr>
          <w:rFonts w:ascii="Barlow" w:hAnsi="Barlow" w:cs="Barlow" w:eastAsia="Barlow"/>
          <w:color w:val="0F2440"/>
          <w:sz w:val="20"/>
          <w:szCs w:val="20"/>
        </w:rPr>
        <w:t xml:space="preserve"> O índice mede; a SCS delibera. Pesos e componentes são fixos em cada versão, para que o número signifique o mesmo em todos os setores e em todos os semestres. A participação do território incide sobre o que medir (validação de conteúdo), sobre a correção do que os registros não veem (verificação territorial) e sobre o que fazer (deliberação), conforme a seção 7.</w:t>
      </w:r>
    </w:p>
    <w:p>
      <w:pPr>
        <w:pStyle w:val="ListParagraph"/>
        <w:numPr>
          <w:ilvl w:val="0"/>
          <w:numId w:val="12"/>
        </w:numPr>
        <w:spacing w:before="0" w:after="80" w:line="290" w:lineRule="auto"/>
        <w:jc w:val="both"/>
      </w:pPr>
      <w:r>
        <w:rPr>
          <w:rFonts w:ascii="Barlow SemiBold" w:hAnsi="Barlow SemiBold" w:cs="Barlow SemiBold" w:eastAsia="Barlow SemiBold"/>
          <w:color w:val="01366F"/>
          <w:sz w:val="20"/>
          <w:szCs w:val="20"/>
        </w:rPr>
        <w:t xml:space="preserve">Exogeneidade em relação à intervenção.</w:t>
      </w:r>
      <w:r>
        <w:rPr>
          <w:rFonts w:ascii="Barlow" w:hAnsi="Barlow" w:cs="Barlow" w:eastAsia="Barlow"/>
          <w:color w:val="0F2440"/>
          <w:sz w:val="20"/>
          <w:szCs w:val="20"/>
        </w:rPr>
        <w:t xml:space="preserve"> Nenhum indicador produzido pela própria PICAPS entra no índice. Alertas, acessos à Plataforma Ágora, reuniões e respostas são acompanhados no PVI.</w:t>
      </w:r>
    </w:p>
    <w:p>
      <w:pPr>
        <w:pStyle w:val="ListParagraph"/>
        <w:numPr>
          <w:ilvl w:val="0"/>
          <w:numId w:val="12"/>
        </w:numPr>
        <w:spacing w:before="0" w:after="80" w:line="290" w:lineRule="auto"/>
        <w:jc w:val="both"/>
      </w:pPr>
      <w:r>
        <w:rPr>
          <w:rFonts w:ascii="Barlow SemiBold" w:hAnsi="Barlow SemiBold" w:cs="Barlow SemiBold" w:eastAsia="Barlow SemiBold"/>
          <w:color w:val="01366F"/>
          <w:sz w:val="20"/>
          <w:szCs w:val="20"/>
        </w:rPr>
        <w:t xml:space="preserve">Parcimônia e regularidade.</w:t>
      </w:r>
      <w:r>
        <w:rPr>
          <w:rFonts w:ascii="Barlow" w:hAnsi="Barlow" w:cs="Barlow" w:eastAsia="Barlow"/>
          <w:color w:val="0F2440"/>
          <w:sz w:val="20"/>
          <w:szCs w:val="20"/>
        </w:rPr>
        <w:t xml:space="preserve"> Uma cesta pequena, com fontes de coleta contínua, é mais comunicável, mais auditável e mais sensível à mudança do que uma cesta extensa dominada por fontes decenais (JANNUZZI, 2005).</w:t>
      </w:r>
    </w:p>
    <w:p>
      <w:pPr>
        <w:pStyle w:val="ListParagraph"/>
        <w:numPr>
          <w:ilvl w:val="0"/>
          <w:numId w:val="12"/>
        </w:numPr>
        <w:spacing w:before="0" w:after="80" w:line="290" w:lineRule="auto"/>
        <w:jc w:val="both"/>
      </w:pPr>
      <w:r>
        <w:rPr>
          <w:rFonts w:ascii="Barlow SemiBold" w:hAnsi="Barlow SemiBold" w:cs="Barlow SemiBold" w:eastAsia="Barlow SemiBold"/>
          <w:color w:val="01366F"/>
          <w:sz w:val="20"/>
          <w:szCs w:val="20"/>
        </w:rPr>
        <w:t xml:space="preserve">Transparência e reprodutibilidade.</w:t>
      </w:r>
      <w:r>
        <w:rPr>
          <w:rFonts w:ascii="Barlow" w:hAnsi="Barlow" w:cs="Barlow" w:eastAsia="Barlow"/>
          <w:color w:val="0F2440"/>
          <w:sz w:val="20"/>
          <w:szCs w:val="20"/>
        </w:rPr>
        <w:t xml:space="preserve"> Definições, código, parâmetros de padronização e resultados intermediários de cada versão são publicados antes do primeiro uso, com registro de versão.</w:t>
      </w:r>
    </w:p>
    <w:p>
      <w:pPr>
        <w:pStyle w:val="ListParagraph"/>
        <w:numPr>
          <w:ilvl w:val="0"/>
          <w:numId w:val="12"/>
        </w:numPr>
        <w:spacing w:before="0" w:after="180" w:line="290" w:lineRule="auto"/>
        <w:jc w:val="both"/>
        <w:sectPr>
          <w:headerReference w:type="default" r:id="rId20"/>
          <w:headerReference w:type="even" r:id="rId17"/>
          <w:footerReference w:type="default" r:id="rId18"/>
          <w:footerReference w:type="even" r:id="rId19"/>
          <w:type w:val="nextPage"/>
          <w:pgSz w:w="11906" w:h="16838"/>
          <w:pgMar w:top="1474" w:right="1531" w:bottom="1814" w:left="1531" w:header="850" w:footer="330" w:gutter="0"/>
          <w:cols w:space="720"/>
          <w:docGrid w:linePitch="360"/>
        </w:sectPr>
      </w:pPr>
      <w:r>
        <w:rPr>
          <w:rFonts w:ascii="Barlow SemiBold" w:hAnsi="Barlow SemiBold" w:cs="Barlow SemiBold" w:eastAsia="Barlow SemiBold"/>
          <w:color w:val="01366F"/>
          <w:sz w:val="20"/>
          <w:szCs w:val="20"/>
        </w:rPr>
        <w:t xml:space="preserve">Primazia interpretativa e devolução.</w:t>
      </w:r>
      <w:r>
        <w:rPr>
          <w:rFonts w:ascii="Barlow" w:hAnsi="Barlow" w:cs="Barlow" w:eastAsia="Barlow"/>
          <w:color w:val="0F2440"/>
          <w:sz w:val="20"/>
          <w:szCs w:val="20"/>
        </w:rPr>
        <w:t xml:space="preserve"> O território conhece os resultados antes de qualquer gestor ou publicação, e as SCS têm primazia na interpretação dos resultados de seus territórios.</w:t>
      </w:r>
    </w:p>
    <w:p>
      <w:pPr>
        <w:pStyle w:val="Heading1"/>
        <w:pBdr>
          <w:bottom w:val="single" w:sz="12" w:space="10" w:color="007614"/>
        </w:pBdr>
        <w:spacing w:before="120" w:after="380" w:line="600" w:lineRule="exact"/>
        <w:jc w:val="left"/>
      </w:pPr>
      <w:bookmarkStart w:id="9" w:name="_h6"/>
      <w:r>
        <w:rPr>
          <w:rFonts w:ascii="Barlow Condensed" w:hAnsi="Barlow Condensed" w:cs="Barlow Condensed" w:eastAsia="Barlow Condensed"/>
          <w:b/>
          <w:bCs/>
          <w:color w:val="007614"/>
          <w:sz w:val="52"/>
          <w:szCs w:val="52"/>
        </w:rPr>
        <w:t xml:space="preserve">2 </w:t>
      </w:r>
      <w:r>
        <w:rPr>
          <w:rFonts w:ascii="Barlow Condensed" w:hAnsi="Barlow Condensed" w:cs="Barlow Condensed" w:eastAsia="Barlow Condensed"/>
          <w:b/>
          <w:bCs/>
          <w:color w:val="01366F"/>
          <w:sz w:val="52"/>
          <w:szCs w:val="52"/>
        </w:rPr>
        <w:t xml:space="preserve">CRITÉRIOS DE QUALIDADE ADOTADOS</w:t>
      </w:r>
      <w:bookmarkEnd w:id="9"/>
    </w:p>
    <w:p>
      <w:pPr>
        <w:pStyle w:val="Heading2"/>
        <w:keepNext/>
        <w:spacing w:before="340" w:after="120" w:line="264" w:lineRule="auto"/>
        <w:jc w:val="left"/>
      </w:pPr>
      <w:bookmarkStart w:id="10" w:name="_h7"/>
      <w:r>
        <w:rPr>
          <w:rFonts w:ascii="Barlow Condensed SemiBold" w:hAnsi="Barlow Condensed SemiBold" w:cs="Barlow Condensed SemiBold" w:eastAsia="Barlow Condensed SemiBold"/>
          <w:color w:val="007614"/>
          <w:sz w:val="30"/>
          <w:szCs w:val="30"/>
        </w:rPr>
        <w:t xml:space="preserve">2.1 Propriedades de um bom indicador social (Jannuzzi)</w:t>
      </w:r>
      <w:bookmarkEnd w:id="10"/>
    </w:p>
    <w:p>
      <w:pPr>
        <w:spacing w:before="0" w:after="140" w:line="300" w:lineRule="auto"/>
        <w:jc w:val="both"/>
      </w:pPr>
      <w:r>
        <w:rPr>
          <w:rFonts w:ascii="Barlow" w:hAnsi="Barlow" w:cs="Barlow" w:eastAsia="Barlow"/>
          <w:color w:val="0F2440"/>
          <w:sz w:val="20"/>
          <w:szCs w:val="20"/>
        </w:rPr>
        <w:t xml:space="preserve">Jannuzzi (2001; 2005) sistematiza as propriedades desejáveis de um indicador social. Elas são usadas aqui como critério explícito de seleção e não como lista declaratória. Em síntese: </w:t>
      </w:r>
      <w:r>
        <w:rPr>
          <w:rFonts w:ascii="Barlow SemiBold" w:hAnsi="Barlow SemiBold" w:cs="Barlow SemiBold" w:eastAsia="Barlow SemiBold"/>
          <w:color w:val="01366F"/>
          <w:sz w:val="20"/>
          <w:szCs w:val="20"/>
        </w:rPr>
        <w:t xml:space="preserve">relevância social</w:t>
      </w:r>
      <w:r>
        <w:rPr>
          <w:rFonts w:ascii="Barlow" w:hAnsi="Barlow" w:cs="Barlow" w:eastAsia="Barlow"/>
          <w:color w:val="0F2440"/>
          <w:sz w:val="20"/>
          <w:szCs w:val="20"/>
        </w:rPr>
        <w:t xml:space="preserve"> (responde a uma questão da agenda pública); </w:t>
      </w:r>
      <w:r>
        <w:rPr>
          <w:rFonts w:ascii="Barlow SemiBold" w:hAnsi="Barlow SemiBold" w:cs="Barlow SemiBold" w:eastAsia="Barlow SemiBold"/>
          <w:color w:val="01366F"/>
          <w:sz w:val="20"/>
          <w:szCs w:val="20"/>
        </w:rPr>
        <w:t xml:space="preserve">validade</w:t>
      </w:r>
      <w:r>
        <w:rPr>
          <w:rFonts w:ascii="Barlow" w:hAnsi="Barlow" w:cs="Barlow" w:eastAsia="Barlow"/>
          <w:color w:val="0F2440"/>
          <w:sz w:val="20"/>
          <w:szCs w:val="20"/>
        </w:rPr>
        <w:t xml:space="preserve"> (mede o construto que pretende medir); </w:t>
      </w:r>
      <w:r>
        <w:rPr>
          <w:rFonts w:ascii="Barlow SemiBold" w:hAnsi="Barlow SemiBold" w:cs="Barlow SemiBold" w:eastAsia="Barlow SemiBold"/>
          <w:color w:val="01366F"/>
          <w:sz w:val="20"/>
          <w:szCs w:val="20"/>
        </w:rPr>
        <w:t xml:space="preserve">confiabilidade</w:t>
      </w:r>
      <w:r>
        <w:rPr>
          <w:rFonts w:ascii="Barlow" w:hAnsi="Barlow" w:cs="Barlow" w:eastAsia="Barlow"/>
          <w:color w:val="0F2440"/>
          <w:sz w:val="20"/>
          <w:szCs w:val="20"/>
        </w:rPr>
        <w:t xml:space="preserve"> (a coleta é estável e de qualidade conhecida); </w:t>
      </w:r>
      <w:r>
        <w:rPr>
          <w:rFonts w:ascii="Barlow SemiBold" w:hAnsi="Barlow SemiBold" w:cs="Barlow SemiBold" w:eastAsia="Barlow SemiBold"/>
          <w:color w:val="01366F"/>
          <w:sz w:val="20"/>
          <w:szCs w:val="20"/>
        </w:rPr>
        <w:t xml:space="preserve">cobertura</w:t>
      </w:r>
      <w:r>
        <w:rPr>
          <w:rFonts w:ascii="Barlow" w:hAnsi="Barlow" w:cs="Barlow" w:eastAsia="Barlow"/>
          <w:color w:val="0F2440"/>
          <w:sz w:val="20"/>
          <w:szCs w:val="20"/>
        </w:rPr>
        <w:t xml:space="preserve"> (abrange a população de interesse sem lacunas sistemáticas); </w:t>
      </w:r>
      <w:r>
        <w:rPr>
          <w:rFonts w:ascii="Barlow SemiBold" w:hAnsi="Barlow SemiBold" w:cs="Barlow SemiBold" w:eastAsia="Barlow SemiBold"/>
          <w:color w:val="01366F"/>
          <w:sz w:val="20"/>
          <w:szCs w:val="20"/>
        </w:rPr>
        <w:t xml:space="preserve">sensibilidade</w:t>
      </w:r>
      <w:r>
        <w:rPr>
          <w:rFonts w:ascii="Barlow" w:hAnsi="Barlow" w:cs="Barlow" w:eastAsia="Barlow"/>
          <w:color w:val="0F2440"/>
          <w:sz w:val="20"/>
          <w:szCs w:val="20"/>
        </w:rPr>
        <w:t xml:space="preserve"> (capta mudanças no fenômeno); </w:t>
      </w:r>
      <w:r>
        <w:rPr>
          <w:rFonts w:ascii="Barlow SemiBold" w:hAnsi="Barlow SemiBold" w:cs="Barlow SemiBold" w:eastAsia="Barlow SemiBold"/>
          <w:color w:val="01366F"/>
          <w:sz w:val="20"/>
          <w:szCs w:val="20"/>
        </w:rPr>
        <w:t xml:space="preserve">especificidade</w:t>
      </w:r>
      <w:r>
        <w:rPr>
          <w:rFonts w:ascii="Barlow" w:hAnsi="Barlow" w:cs="Barlow" w:eastAsia="Barlow"/>
          <w:color w:val="0F2440"/>
          <w:sz w:val="20"/>
          <w:szCs w:val="20"/>
        </w:rPr>
        <w:t xml:space="preserve"> (reage ao fenômeno de interesse e não a outros); </w:t>
      </w:r>
      <w:r>
        <w:rPr>
          <w:rFonts w:ascii="Barlow SemiBold" w:hAnsi="Barlow SemiBold" w:cs="Barlow SemiBold" w:eastAsia="Barlow SemiBold"/>
          <w:color w:val="01366F"/>
          <w:sz w:val="20"/>
          <w:szCs w:val="20"/>
        </w:rPr>
        <w:t xml:space="preserve">inteligibilidade</w:t>
      </w:r>
      <w:r>
        <w:rPr>
          <w:rFonts w:ascii="Barlow" w:hAnsi="Barlow" w:cs="Barlow" w:eastAsia="Barlow"/>
          <w:color w:val="0F2440"/>
          <w:sz w:val="20"/>
          <w:szCs w:val="20"/>
        </w:rPr>
        <w:t xml:space="preserve"> e </w:t>
      </w:r>
      <w:r>
        <w:rPr>
          <w:rFonts w:ascii="Barlow SemiBold" w:hAnsi="Barlow SemiBold" w:cs="Barlow SemiBold" w:eastAsia="Barlow SemiBold"/>
          <w:color w:val="01366F"/>
          <w:sz w:val="20"/>
          <w:szCs w:val="20"/>
        </w:rPr>
        <w:t xml:space="preserve">comunicabilidade</w:t>
      </w:r>
      <w:r>
        <w:rPr>
          <w:rFonts w:ascii="Barlow" w:hAnsi="Barlow" w:cs="Barlow" w:eastAsia="Barlow"/>
          <w:color w:val="0F2440"/>
          <w:sz w:val="20"/>
          <w:szCs w:val="20"/>
        </w:rPr>
        <w:t xml:space="preserve"> (a construção é transparente e o resultado é compreensível para quem decide e para quem é afetado); </w:t>
      </w:r>
      <w:r>
        <w:rPr>
          <w:rFonts w:ascii="Barlow SemiBold" w:hAnsi="Barlow SemiBold" w:cs="Barlow SemiBold" w:eastAsia="Barlow SemiBold"/>
          <w:color w:val="01366F"/>
          <w:sz w:val="20"/>
          <w:szCs w:val="20"/>
        </w:rPr>
        <w:t xml:space="preserve">factibilidade</w:t>
      </w:r>
      <w:r>
        <w:rPr>
          <w:rFonts w:ascii="Barlow" w:hAnsi="Barlow" w:cs="Barlow" w:eastAsia="Barlow"/>
          <w:color w:val="0F2440"/>
          <w:sz w:val="20"/>
          <w:szCs w:val="20"/>
        </w:rPr>
        <w:t xml:space="preserve"> (o custo de obtenção é compatível com o uso); </w:t>
      </w:r>
      <w:r>
        <w:rPr>
          <w:rFonts w:ascii="Barlow SemiBold" w:hAnsi="Barlow SemiBold" w:cs="Barlow SemiBold" w:eastAsia="Barlow SemiBold"/>
          <w:color w:val="01366F"/>
          <w:sz w:val="20"/>
          <w:szCs w:val="20"/>
        </w:rPr>
        <w:t xml:space="preserve">periodicidade</w:t>
      </w:r>
      <w:r>
        <w:rPr>
          <w:rFonts w:ascii="Barlow" w:hAnsi="Barlow" w:cs="Barlow" w:eastAsia="Barlow"/>
          <w:color w:val="0F2440"/>
          <w:sz w:val="20"/>
          <w:szCs w:val="20"/>
        </w:rPr>
        <w:t xml:space="preserve"> (a atualização acompanha o ritmo da decisão); </w:t>
      </w:r>
      <w:r>
        <w:rPr>
          <w:rFonts w:ascii="Barlow SemiBold" w:hAnsi="Barlow SemiBold" w:cs="Barlow SemiBold" w:eastAsia="Barlow SemiBold"/>
          <w:color w:val="01366F"/>
          <w:sz w:val="20"/>
          <w:szCs w:val="20"/>
        </w:rPr>
        <w:t xml:space="preserve">desagregabilidade</w:t>
      </w:r>
      <w:r>
        <w:rPr>
          <w:rFonts w:ascii="Barlow" w:hAnsi="Barlow" w:cs="Barlow" w:eastAsia="Barlow"/>
          <w:color w:val="0F2440"/>
          <w:sz w:val="20"/>
          <w:szCs w:val="20"/>
        </w:rPr>
        <w:t xml:space="preserve"> (o indicador pode ser calculado na escala em que se decide); e </w:t>
      </w:r>
      <w:r>
        <w:rPr>
          <w:rFonts w:ascii="Barlow SemiBold" w:hAnsi="Barlow SemiBold" w:cs="Barlow SemiBold" w:eastAsia="Barlow SemiBold"/>
          <w:color w:val="01366F"/>
          <w:sz w:val="20"/>
          <w:szCs w:val="20"/>
        </w:rPr>
        <w:t xml:space="preserve">historicidade</w:t>
      </w:r>
      <w:r>
        <w:rPr>
          <w:rFonts w:ascii="Barlow" w:hAnsi="Barlow" w:cs="Barlow" w:eastAsia="Barlow"/>
          <w:color w:val="0F2440"/>
          <w:sz w:val="20"/>
          <w:szCs w:val="20"/>
        </w:rPr>
        <w:t xml:space="preserve"> (comparabilidade ao longo do tempo).</w:t>
      </w:r>
    </w:p>
    <w:p>
      <w:pPr>
        <w:pStyle w:val="Heading2"/>
        <w:keepNext/>
        <w:spacing w:before="340" w:after="120" w:line="264" w:lineRule="auto"/>
        <w:jc w:val="left"/>
      </w:pPr>
      <w:bookmarkStart w:id="11" w:name="_h8"/>
      <w:r>
        <w:rPr>
          <w:rFonts w:ascii="Barlow Condensed SemiBold" w:hAnsi="Barlow Condensed SemiBold" w:cs="Barlow Condensed SemiBold" w:eastAsia="Barlow Condensed SemiBold"/>
          <w:color w:val="007614"/>
          <w:sz w:val="30"/>
          <w:szCs w:val="30"/>
        </w:rPr>
        <w:t xml:space="preserve">2.2 Critérios da OCDE para indicadores e para índices compostos</w:t>
      </w:r>
      <w:bookmarkEnd w:id="11"/>
    </w:p>
    <w:p>
      <w:pPr>
        <w:spacing w:before="0" w:after="140" w:line="300" w:lineRule="auto"/>
        <w:jc w:val="both"/>
      </w:pPr>
      <w:r>
        <w:rPr>
          <w:rFonts w:ascii="Barlow" w:hAnsi="Barlow" w:cs="Barlow" w:eastAsia="Barlow"/>
          <w:color w:val="0F2440"/>
          <w:sz w:val="20"/>
          <w:szCs w:val="20"/>
        </w:rPr>
        <w:t xml:space="preserve">A OCDE agrupa os critérios de seleção de indicadores em três famílias: </w:t>
      </w:r>
      <w:r>
        <w:rPr>
          <w:rFonts w:ascii="Barlow SemiBold" w:hAnsi="Barlow SemiBold" w:cs="Barlow SemiBold" w:eastAsia="Barlow SemiBold"/>
          <w:color w:val="01366F"/>
          <w:sz w:val="20"/>
          <w:szCs w:val="20"/>
        </w:rPr>
        <w:t xml:space="preserve">relevância para as políticas e utilidade para os usuários</w:t>
      </w:r>
      <w:r>
        <w:rPr>
          <w:rFonts w:ascii="Barlow" w:hAnsi="Barlow" w:cs="Barlow" w:eastAsia="Barlow"/>
          <w:color w:val="0F2440"/>
          <w:sz w:val="20"/>
          <w:szCs w:val="20"/>
        </w:rPr>
        <w:t xml:space="preserve"> (representatividade, simplicidade, sensibilidade às mudanças, existência de referência para comparação); </w:t>
      </w:r>
      <w:r>
        <w:rPr>
          <w:rFonts w:ascii="Barlow SemiBold" w:hAnsi="Barlow SemiBold" w:cs="Barlow SemiBold" w:eastAsia="Barlow SemiBold"/>
          <w:color w:val="01366F"/>
          <w:sz w:val="20"/>
          <w:szCs w:val="20"/>
        </w:rPr>
        <w:t xml:space="preserve">solidez analítica</w:t>
      </w:r>
      <w:r>
        <w:rPr>
          <w:rFonts w:ascii="Barlow" w:hAnsi="Barlow" w:cs="Barlow" w:eastAsia="Barlow"/>
          <w:color w:val="0F2440"/>
          <w:sz w:val="20"/>
          <w:szCs w:val="20"/>
        </w:rPr>
        <w:t xml:space="preserve"> (fundamento teórico e técnico, compatibilidade com padrões reconhecidos); e </w:t>
      </w:r>
      <w:r>
        <w:rPr>
          <w:rFonts w:ascii="Barlow SemiBold" w:hAnsi="Barlow SemiBold" w:cs="Barlow SemiBold" w:eastAsia="Barlow SemiBold"/>
          <w:color w:val="01366F"/>
          <w:sz w:val="20"/>
          <w:szCs w:val="20"/>
        </w:rPr>
        <w:t xml:space="preserve">mensurabilidade</w:t>
      </w:r>
      <w:r>
        <w:rPr>
          <w:rFonts w:ascii="Barlow" w:hAnsi="Barlow" w:cs="Barlow" w:eastAsia="Barlow"/>
          <w:color w:val="0F2440"/>
          <w:sz w:val="20"/>
          <w:szCs w:val="20"/>
        </w:rPr>
        <w:t xml:space="preserve"> (dados disponíveis a custo razoável, documentados e atualizados em intervalos regulares) (OECD, 1993; 2003). Para índices compostos, o manual da OCDE e do Centro Comum de Investigação da Comissão Europeia estabelece dez etapas: marco teórico, seleção de variáveis, tratamento de dados ausentes, análise multivariada, normalização, ponderação e agregação, análise de incerteza e sensibilidade, retorno aos dados desagregados, associação a outros indicadores e apresentação (NARDO et al., 2008). O Quadro 2 indica onde cada etapa é cumprida neste guia.</w:t>
      </w:r>
    </w:p>
    <w:p>
      <w:pPr>
        <w:keepNext/>
        <w:spacing w:before="200" w:after="100" w:line="264" w:lineRule="auto"/>
        <w:jc w:val="left"/>
      </w:pPr>
      <w:bookmarkStart w:id="12" w:name="_q_2"/>
      <w:r>
        <w:rPr>
          <w:rFonts w:ascii="Barlow Condensed SemiBold" w:hAnsi="Barlow Condensed SemiBold" w:cs="Barlow Condensed SemiBold" w:eastAsia="Barlow Condensed SemiBold"/>
          <w:color w:val="007614"/>
          <w:sz w:val="21"/>
          <w:szCs w:val="21"/>
        </w:rPr>
        <w:t xml:space="preserve">Quadro 2 – </w:t>
      </w:r>
      <w:r>
        <w:rPr>
          <w:rFonts w:ascii="Barlow Condensed SemiBold" w:hAnsi="Barlow Condensed SemiBold" w:cs="Barlow Condensed SemiBold" w:eastAsia="Barlow Condensed SemiBold"/>
          <w:color w:val="01366F"/>
          <w:sz w:val="21"/>
          <w:szCs w:val="21"/>
        </w:rPr>
        <w:t xml:space="preserve">As dez etapas da OCDE/JRC e seu cumprimento no IVT</w:t>
      </w:r>
      <w:bookmarkEnd w:id="12"/>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652"/>
        <w:gridCol w:w="3979"/>
        <w:gridCol w:w="2213"/>
      </w:tblGrid>
      <w:tr>
        <w:trPr>
          <w:tblHeader/>
          <w:cantSplit/>
        </w:trPr>
        <w:tc>
          <w:tcPr>
            <w:tcW w:w="265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Etapa (OCDE/JRC)</w:t>
            </w:r>
          </w:p>
        </w:tc>
        <w:tc>
          <w:tcPr>
            <w:tcW w:w="397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Como o IVT a cumpre</w:t>
            </w:r>
          </w:p>
        </w:tc>
        <w:tc>
          <w:tcPr>
            <w:tcW w:w="221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Seção</w:t>
            </w:r>
          </w:p>
        </w:tc>
      </w:tr>
      <w:tr>
        <w:trPr>
          <w:cantSplit/>
        </w:trPr>
        <w:tc>
          <w:tcPr>
            <w:tcW w:w="265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1. Marco teórico</w:t>
            </w:r>
          </w:p>
        </w:tc>
        <w:tc>
          <w:tcPr>
            <w:tcW w:w="397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Construto definido (exposição e sensibilidade) e delimitado em relação a necessidade, ameaça e capacidade</w:t>
            </w:r>
          </w:p>
        </w:tc>
        <w:tc>
          <w:tcPr>
            <w:tcW w:w="221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1.1 a 1.3</w:t>
            </w:r>
          </w:p>
        </w:tc>
      </w:tr>
      <w:tr>
        <w:trPr>
          <w:cantSplit/>
        </w:trPr>
        <w:tc>
          <w:tcPr>
            <w:tcW w:w="265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2. Seleção de variáveis</w:t>
            </w:r>
          </w:p>
        </w:tc>
        <w:tc>
          <w:tcPr>
            <w:tcW w:w="397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Critérios de inclusão e exclusão explícitos; matriz de aderência por indicador</w:t>
            </w:r>
          </w:p>
        </w:tc>
        <w:tc>
          <w:tcPr>
            <w:tcW w:w="221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2.3, 3.5</w:t>
            </w:r>
          </w:p>
        </w:tc>
      </w:tr>
      <w:tr>
        <w:trPr>
          <w:cantSplit/>
        </w:trPr>
        <w:tc>
          <w:tcPr>
            <w:tcW w:w="265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3. Dados ausentes</w:t>
            </w:r>
          </w:p>
        </w:tc>
        <w:tc>
          <w:tcPr>
            <w:tcW w:w="397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Encadeamento a partir do Censo; agregação de setores pequenos; suavização bayesiana</w:t>
            </w:r>
          </w:p>
        </w:tc>
        <w:tc>
          <w:tcPr>
            <w:tcW w:w="221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4.2, 5.1, 5.2</w:t>
            </w:r>
          </w:p>
        </w:tc>
      </w:tr>
      <w:tr>
        <w:trPr>
          <w:cantSplit/>
        </w:trPr>
        <w:tc>
          <w:tcPr>
            <w:tcW w:w="265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4. Análise multivariada</w:t>
            </w:r>
          </w:p>
        </w:tc>
        <w:tc>
          <w:tcPr>
            <w:tcW w:w="397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Correlações, fator de inflação da variância, análise fatorial por dimensão</w:t>
            </w:r>
          </w:p>
        </w:tc>
        <w:tc>
          <w:tcPr>
            <w:tcW w:w="221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6.2</w:t>
            </w:r>
          </w:p>
        </w:tc>
      </w:tr>
      <w:tr>
        <w:trPr>
          <w:cantSplit/>
        </w:trPr>
        <w:tc>
          <w:tcPr>
            <w:tcW w:w="265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5. Normalização</w:t>
            </w:r>
          </w:p>
        </w:tc>
        <w:tc>
          <w:tcPr>
            <w:tcW w:w="397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Escore z com parâmetros fixos da edição de referência; polaridade declarada</w:t>
            </w:r>
          </w:p>
        </w:tc>
        <w:tc>
          <w:tcPr>
            <w:tcW w:w="221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5.3</w:t>
            </w:r>
          </w:p>
        </w:tc>
      </w:tr>
      <w:tr>
        <w:trPr>
          <w:cantSplit/>
        </w:trPr>
        <w:tc>
          <w:tcPr>
            <w:tcW w:w="265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6. Ponderação e agregação</w:t>
            </w:r>
          </w:p>
        </w:tc>
        <w:tc>
          <w:tcPr>
            <w:tcW w:w="397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Pesos iguais e fixos; agregação aditiva com versão geométrica de controle</w:t>
            </w:r>
          </w:p>
        </w:tc>
        <w:tc>
          <w:tcPr>
            <w:tcW w:w="221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5.4, 5.5</w:t>
            </w:r>
          </w:p>
        </w:tc>
      </w:tr>
      <w:tr>
        <w:trPr>
          <w:cantSplit/>
        </w:trPr>
        <w:tc>
          <w:tcPr>
            <w:tcW w:w="265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7. Incerteza e sensibilidade</w:t>
            </w:r>
          </w:p>
        </w:tc>
        <w:tc>
          <w:tcPr>
            <w:tcW w:w="397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Simulação de numeradores, variação de pesos e de escolhas metodológicas</w:t>
            </w:r>
          </w:p>
        </w:tc>
        <w:tc>
          <w:tcPr>
            <w:tcW w:w="221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5.10</w:t>
            </w:r>
          </w:p>
        </w:tc>
      </w:tr>
      <w:tr>
        <w:trPr>
          <w:cantSplit/>
        </w:trPr>
        <w:tc>
          <w:tcPr>
            <w:tcW w:w="265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8. Retorno aos dados</w:t>
            </w:r>
          </w:p>
        </w:tc>
        <w:tc>
          <w:tcPr>
            <w:tcW w:w="397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Publicação obrigatória das dimensões e dos indicadores; leitura exposição × sensibilidade</w:t>
            </w:r>
          </w:p>
        </w:tc>
        <w:tc>
          <w:tcPr>
            <w:tcW w:w="221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5.7</w:t>
            </w:r>
          </w:p>
        </w:tc>
      </w:tr>
      <w:tr>
        <w:trPr>
          <w:cantSplit/>
        </w:trPr>
        <w:tc>
          <w:tcPr>
            <w:tcW w:w="265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9. Associação a outros indicadores</w:t>
            </w:r>
          </w:p>
        </w:tc>
        <w:tc>
          <w:tcPr>
            <w:tcW w:w="397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Validação de critério com desfechos reservados e convergente com a cartografia social</w:t>
            </w:r>
          </w:p>
        </w:tc>
        <w:tc>
          <w:tcPr>
            <w:tcW w:w="221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6.3, 6.4</w:t>
            </w:r>
          </w:p>
        </w:tc>
      </w:tr>
      <w:tr>
        <w:trPr>
          <w:cantSplit/>
        </w:trPr>
        <w:tc>
          <w:tcPr>
            <w:tcW w:w="2652"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10. Apresentação</w:t>
            </w:r>
          </w:p>
        </w:tc>
        <w:tc>
          <w:tcPr>
            <w:tcW w:w="3979"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Mapas por setor com intervalo; devolução à SCS antes de qualquer publicação</w:t>
            </w:r>
          </w:p>
        </w:tc>
        <w:tc>
          <w:tcPr>
            <w:tcW w:w="2213"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5.9, 7.4</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 com base em Nardo et al. (2008).</w:t>
      </w:r>
    </w:p>
    <w:p>
      <w:pPr>
        <w:pStyle w:val="Heading2"/>
        <w:keepNext/>
        <w:spacing w:before="340" w:after="120" w:line="264" w:lineRule="auto"/>
        <w:jc w:val="left"/>
      </w:pPr>
      <w:bookmarkStart w:id="13" w:name="_h9"/>
      <w:r>
        <w:rPr>
          <w:rFonts w:ascii="Barlow Condensed SemiBold" w:hAnsi="Barlow Condensed SemiBold" w:cs="Barlow Condensed SemiBold" w:eastAsia="Barlow Condensed SemiBold"/>
          <w:color w:val="007614"/>
          <w:sz w:val="30"/>
          <w:szCs w:val="30"/>
        </w:rPr>
        <w:t xml:space="preserve">2.3 Critérios de inclusão e de exclusão</w:t>
      </w:r>
      <w:bookmarkEnd w:id="13"/>
    </w:p>
    <w:p>
      <w:pPr>
        <w:spacing w:before="0" w:after="140" w:line="300" w:lineRule="auto"/>
        <w:jc w:val="both"/>
      </w:pPr>
      <w:r>
        <w:rPr>
          <w:rFonts w:ascii="Barlow" w:hAnsi="Barlow" w:cs="Barlow" w:eastAsia="Barlow"/>
          <w:color w:val="0F2440"/>
          <w:sz w:val="20"/>
          <w:szCs w:val="20"/>
        </w:rPr>
        <w:t xml:space="preserve">Todo indicador do IVT deve satisfazer, cumulativamente, seis critérios:</w:t>
      </w:r>
    </w:p>
    <w:p>
      <w:pPr>
        <w:pStyle w:val="ListParagraph"/>
        <w:numPr>
          <w:ilvl w:val="0"/>
          <w:numId w:val="13"/>
        </w:numPr>
        <w:spacing w:before="0" w:after="80" w:line="290" w:lineRule="auto"/>
        <w:jc w:val="both"/>
      </w:pPr>
      <w:r>
        <w:rPr>
          <w:rFonts w:ascii="Barlow SemiBold" w:hAnsi="Barlow SemiBold" w:cs="Barlow SemiBold" w:eastAsia="Barlow SemiBold"/>
          <w:color w:val="01366F"/>
          <w:sz w:val="20"/>
          <w:szCs w:val="20"/>
        </w:rPr>
        <w:t xml:space="preserve">Pertinência ao construto:</w:t>
      </w:r>
      <w:r>
        <w:rPr>
          <w:rFonts w:ascii="Barlow" w:hAnsi="Barlow" w:cs="Barlow" w:eastAsia="Barlow"/>
          <w:color w:val="0F2440"/>
          <w:sz w:val="20"/>
          <w:szCs w:val="20"/>
        </w:rPr>
        <w:t xml:space="preserve"> medir exposição do lugar ou sensibilidade da população, com mecanismo estabelecido de produção de dano.</w:t>
      </w:r>
    </w:p>
    <w:p>
      <w:pPr>
        <w:pStyle w:val="ListParagraph"/>
        <w:numPr>
          <w:ilvl w:val="0"/>
          <w:numId w:val="13"/>
        </w:numPr>
        <w:spacing w:before="0" w:after="80" w:line="290" w:lineRule="auto"/>
        <w:jc w:val="both"/>
      </w:pPr>
      <w:r>
        <w:rPr>
          <w:rFonts w:ascii="Barlow SemiBold" w:hAnsi="Barlow SemiBold" w:cs="Barlow SemiBold" w:eastAsia="Barlow SemiBold"/>
          <w:color w:val="01366F"/>
          <w:sz w:val="20"/>
          <w:szCs w:val="20"/>
        </w:rPr>
        <w:t xml:space="preserve">Exogeneidade:</w:t>
      </w:r>
      <w:r>
        <w:rPr>
          <w:rFonts w:ascii="Barlow" w:hAnsi="Barlow" w:cs="Barlow" w:eastAsia="Barlow"/>
          <w:color w:val="0F2440"/>
          <w:sz w:val="20"/>
          <w:szCs w:val="20"/>
        </w:rPr>
        <w:t xml:space="preserve"> não depender da oferta de serviços de saúde nem das atividades da PICAPS.</w:t>
      </w:r>
    </w:p>
    <w:p>
      <w:pPr>
        <w:pStyle w:val="ListParagraph"/>
        <w:numPr>
          <w:ilvl w:val="0"/>
          <w:numId w:val="13"/>
        </w:numPr>
        <w:spacing w:before="0" w:after="80" w:line="290" w:lineRule="auto"/>
        <w:jc w:val="both"/>
      </w:pPr>
      <w:r>
        <w:rPr>
          <w:rFonts w:ascii="Barlow SemiBold" w:hAnsi="Barlow SemiBold" w:cs="Barlow SemiBold" w:eastAsia="Barlow SemiBold"/>
          <w:color w:val="01366F"/>
          <w:sz w:val="20"/>
          <w:szCs w:val="20"/>
        </w:rPr>
        <w:t xml:space="preserve">Desagregabilidade:</w:t>
      </w:r>
      <w:r>
        <w:rPr>
          <w:rFonts w:ascii="Barlow" w:hAnsi="Barlow" w:cs="Barlow" w:eastAsia="Barlow"/>
          <w:color w:val="0F2440"/>
          <w:sz w:val="20"/>
          <w:szCs w:val="20"/>
        </w:rPr>
        <w:t xml:space="preserve"> poder ser calculado no setor censitário, diretamente ou por georreferenciamento de registros.</w:t>
      </w:r>
    </w:p>
    <w:p>
      <w:pPr>
        <w:pStyle w:val="ListParagraph"/>
        <w:numPr>
          <w:ilvl w:val="0"/>
          <w:numId w:val="13"/>
        </w:numPr>
        <w:spacing w:before="0" w:after="80" w:line="290" w:lineRule="auto"/>
        <w:jc w:val="both"/>
      </w:pPr>
      <w:r>
        <w:rPr>
          <w:rFonts w:ascii="Barlow SemiBold" w:hAnsi="Barlow SemiBold" w:cs="Barlow SemiBold" w:eastAsia="Barlow SemiBold"/>
          <w:color w:val="01366F"/>
          <w:sz w:val="20"/>
          <w:szCs w:val="20"/>
        </w:rPr>
        <w:t xml:space="preserve">Regularidade:</w:t>
      </w:r>
      <w:r>
        <w:rPr>
          <w:rFonts w:ascii="Barlow" w:hAnsi="Barlow" w:cs="Barlow" w:eastAsia="Barlow"/>
          <w:color w:val="0F2440"/>
          <w:sz w:val="20"/>
          <w:szCs w:val="20"/>
        </w:rPr>
        <w:t xml:space="preserve"> ter fonte de atualização ao menos anual, preferencialmente contínua.</w:t>
      </w:r>
    </w:p>
    <w:p>
      <w:pPr>
        <w:pStyle w:val="ListParagraph"/>
        <w:numPr>
          <w:ilvl w:val="0"/>
          <w:numId w:val="13"/>
        </w:numPr>
        <w:spacing w:before="0" w:after="80" w:line="290" w:lineRule="auto"/>
        <w:jc w:val="both"/>
      </w:pPr>
      <w:r>
        <w:rPr>
          <w:rFonts w:ascii="Barlow SemiBold" w:hAnsi="Barlow SemiBold" w:cs="Barlow SemiBold" w:eastAsia="Barlow SemiBold"/>
          <w:color w:val="01366F"/>
          <w:sz w:val="20"/>
          <w:szCs w:val="20"/>
        </w:rPr>
        <w:t xml:space="preserve">Cobertura conhecida:</w:t>
      </w:r>
      <w:r>
        <w:rPr>
          <w:rFonts w:ascii="Barlow" w:hAnsi="Barlow" w:cs="Barlow" w:eastAsia="Barlow"/>
          <w:color w:val="0F2440"/>
          <w:sz w:val="20"/>
          <w:szCs w:val="20"/>
        </w:rPr>
        <w:t xml:space="preserve"> ter cobertura mensurável, com metaindicador que permita sinalizar e corrigir lacunas.</w:t>
      </w:r>
    </w:p>
    <w:p>
      <w:pPr>
        <w:pStyle w:val="ListParagraph"/>
        <w:numPr>
          <w:ilvl w:val="0"/>
          <w:numId w:val="13"/>
        </w:numPr>
        <w:spacing w:before="0" w:after="180" w:line="290" w:lineRule="auto"/>
        <w:jc w:val="both"/>
      </w:pPr>
      <w:r>
        <w:rPr>
          <w:rFonts w:ascii="Barlow SemiBold" w:hAnsi="Barlow SemiBold" w:cs="Barlow SemiBold" w:eastAsia="Barlow SemiBold"/>
          <w:color w:val="01366F"/>
          <w:sz w:val="20"/>
          <w:szCs w:val="20"/>
        </w:rPr>
        <w:t xml:space="preserve">Estabilidade em pequenas áreas:</w:t>
      </w:r>
      <w:r>
        <w:rPr>
          <w:rFonts w:ascii="Barlow" w:hAnsi="Barlow" w:cs="Barlow" w:eastAsia="Barlow"/>
          <w:color w:val="0F2440"/>
          <w:sz w:val="20"/>
          <w:szCs w:val="20"/>
        </w:rPr>
        <w:t xml:space="preserve"> ser proporção sobre denominador de domicílios ou de pessoas, e não taxa de evento raro.</w:t>
      </w:r>
    </w:p>
    <w:p>
      <w:pPr>
        <w:spacing w:before="0" w:after="140" w:line="300" w:lineRule="auto"/>
        <w:jc w:val="both"/>
        <w:sectPr>
          <w:headerReference w:type="default" r:id="rId21"/>
          <w:headerReference w:type="even" r:id="rId17"/>
          <w:footerReference w:type="default" r:id="rId18"/>
          <w:footerReference w:type="even" r:id="rId19"/>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São excluídos do índice, sem exceção: indicadores de morbidade e mortalidade, por circularidade com os desfechos de validação e por instabilidade em pequenas áreas; indicadores de oferta e cobertura de serviços, por inversão de sentido; indicadores produzidos pela intervenção, por circularidade; e índices compostos preexistentes, por dupla contagem.</w:t>
      </w:r>
    </w:p>
    <w:p>
      <w:pPr>
        <w:pStyle w:val="Heading1"/>
        <w:pBdr>
          <w:bottom w:val="single" w:sz="12" w:space="10" w:color="007614"/>
        </w:pBdr>
        <w:spacing w:before="120" w:after="380" w:line="600" w:lineRule="exact"/>
        <w:jc w:val="left"/>
      </w:pPr>
      <w:bookmarkStart w:id="14" w:name="_h10"/>
      <w:r>
        <w:rPr>
          <w:rFonts w:ascii="Barlow Condensed" w:hAnsi="Barlow Condensed" w:cs="Barlow Condensed" w:eastAsia="Barlow Condensed"/>
          <w:b/>
          <w:bCs/>
          <w:color w:val="007614"/>
          <w:sz w:val="52"/>
          <w:szCs w:val="52"/>
        </w:rPr>
        <w:t xml:space="preserve">3 </w:t>
      </w:r>
      <w:r>
        <w:rPr>
          <w:rFonts w:ascii="Barlow Condensed" w:hAnsi="Barlow Condensed" w:cs="Barlow Condensed" w:eastAsia="Barlow Condensed"/>
          <w:b/>
          <w:bCs/>
          <w:color w:val="01366F"/>
          <w:sz w:val="52"/>
          <w:szCs w:val="52"/>
        </w:rPr>
        <w:t xml:space="preserve">ARQUITETURA E CESTA DE INDICADORES</w:t>
      </w:r>
      <w:bookmarkEnd w:id="14"/>
    </w:p>
    <w:p>
      <w:pPr>
        <w:pStyle w:val="Heading2"/>
        <w:keepNext/>
        <w:spacing w:before="340" w:after="120" w:line="264" w:lineRule="auto"/>
        <w:jc w:val="left"/>
      </w:pPr>
      <w:bookmarkStart w:id="15" w:name="_h11"/>
      <w:r>
        <w:rPr>
          <w:rFonts w:ascii="Barlow Condensed SemiBold" w:hAnsi="Barlow Condensed SemiBold" w:cs="Barlow Condensed SemiBold" w:eastAsia="Barlow Condensed SemiBold"/>
          <w:color w:val="007614"/>
          <w:sz w:val="30"/>
          <w:szCs w:val="30"/>
        </w:rPr>
        <w:t xml:space="preserve">3.1 Unidades de cálculo e de leitura</w:t>
      </w:r>
      <w:bookmarkEnd w:id="15"/>
    </w:p>
    <w:p>
      <w:pPr>
        <w:spacing w:before="0" w:after="140" w:line="300" w:lineRule="auto"/>
        <w:jc w:val="both"/>
      </w:pPr>
      <w:r>
        <w:rPr>
          <w:rFonts w:ascii="Barlow" w:hAnsi="Barlow" w:cs="Barlow" w:eastAsia="Barlow"/>
          <w:color w:val="0F2440"/>
          <w:sz w:val="20"/>
          <w:szCs w:val="20"/>
        </w:rPr>
        <w:t xml:space="preserve">A </w:t>
      </w:r>
      <w:r>
        <w:rPr>
          <w:rFonts w:ascii="Barlow SemiBold" w:hAnsi="Barlow SemiBold" w:cs="Barlow SemiBold" w:eastAsia="Barlow SemiBold"/>
          <w:color w:val="01366F"/>
          <w:sz w:val="20"/>
          <w:szCs w:val="20"/>
        </w:rPr>
        <w:t xml:space="preserve">unidade de cálculo</w:t>
      </w:r>
      <w:r>
        <w:rPr>
          <w:rFonts w:ascii="Barlow" w:hAnsi="Barlow" w:cs="Barlow" w:eastAsia="Barlow"/>
          <w:color w:val="0F2440"/>
          <w:sz w:val="20"/>
          <w:szCs w:val="20"/>
        </w:rPr>
        <w:t xml:space="preserve"> é o setor censitário do Censo Demográfico 2022. A escolha decorre de três propriedades: o setor é estável ao longo da década intercensitária, tem âncora censitária para todos os indicadores e é pequeno o bastante para revelar a heterogeneidade que a média de bairros e Regiões Administrativas dilui. A microárea da Estratégia Saúde da Família, embora seja a unidade de trabalho do agente comunitário, muda de limites com a reorganização das equipes e quebraria a série.</w:t>
      </w:r>
    </w:p>
    <w:p>
      <w:pPr>
        <w:spacing w:before="0" w:after="140" w:line="300" w:lineRule="auto"/>
        <w:jc w:val="both"/>
      </w:pPr>
      <w:r>
        <w:rPr>
          <w:rFonts w:ascii="Barlow" w:hAnsi="Barlow" w:cs="Barlow" w:eastAsia="Barlow"/>
          <w:color w:val="0F2440"/>
          <w:sz w:val="20"/>
          <w:szCs w:val="20"/>
        </w:rPr>
        <w:t xml:space="preserve">As </w:t>
      </w:r>
      <w:r>
        <w:rPr>
          <w:rFonts w:ascii="Barlow SemiBold" w:hAnsi="Barlow SemiBold" w:cs="Barlow SemiBold" w:eastAsia="Barlow SemiBold"/>
          <w:color w:val="01366F"/>
          <w:sz w:val="20"/>
          <w:szCs w:val="20"/>
        </w:rPr>
        <w:t xml:space="preserve">unidades de leitura</w:t>
      </w:r>
      <w:r>
        <w:rPr>
          <w:rFonts w:ascii="Barlow" w:hAnsi="Barlow" w:cs="Barlow" w:eastAsia="Barlow"/>
          <w:color w:val="0F2440"/>
          <w:sz w:val="20"/>
          <w:szCs w:val="20"/>
        </w:rPr>
        <w:t xml:space="preserve"> são a microárea, a área de abrangência da Unidade Básica de Saúde (UBS) e o território da SCS. Os valores são agregados dos setores para essas unidades por média ponderada pela população residente, com sobreposição espacial quando os limites não coincidem. Como todo resultado territorial depende da escala de agregação (OPENSHAW, 1984), cada mapa informa a unidade a que se refere.</w:t>
      </w:r>
    </w:p>
    <w:p>
      <w:pPr>
        <w:spacing w:before="0" w:after="140" w:line="300" w:lineRule="auto"/>
        <w:jc w:val="both"/>
      </w:pPr>
      <w:r>
        <w:rPr>
          <w:rFonts w:ascii="Barlow" w:hAnsi="Barlow" w:cs="Barlow" w:eastAsia="Barlow"/>
          <w:color w:val="0F2440"/>
          <w:sz w:val="20"/>
          <w:szCs w:val="20"/>
        </w:rPr>
        <w:t xml:space="preserve">O </w:t>
      </w:r>
      <w:r>
        <w:rPr>
          <w:rFonts w:ascii="Barlow SemiBold" w:hAnsi="Barlow SemiBold" w:cs="Barlow SemiBold" w:eastAsia="Barlow SemiBold"/>
          <w:color w:val="01366F"/>
          <w:sz w:val="20"/>
          <w:szCs w:val="20"/>
        </w:rPr>
        <w:t xml:space="preserve">universo de referência</w:t>
      </w:r>
      <w:r>
        <w:rPr>
          <w:rFonts w:ascii="Barlow" w:hAnsi="Barlow" w:cs="Barlow" w:eastAsia="Barlow"/>
          <w:color w:val="0F2440"/>
          <w:sz w:val="20"/>
          <w:szCs w:val="20"/>
        </w:rPr>
        <w:t xml:space="preserve"> é o conjunto de setores do município em que o índice é aplicado (no Distrito Federal, todos os setores do DF). Valores de universos diferentes não são comparáveis, pois o IVT é relativo ao seu universo. A comparação entre municípios ou Regiões Administrativas cabe ao INS.</w:t>
      </w:r>
    </w:p>
    <w:p>
      <w:pPr>
        <w:pStyle w:val="Heading2"/>
        <w:keepNext/>
        <w:spacing w:before="340" w:after="120" w:line="264" w:lineRule="auto"/>
        <w:jc w:val="left"/>
      </w:pPr>
      <w:bookmarkStart w:id="16" w:name="_h12"/>
      <w:r>
        <w:rPr>
          <w:rFonts w:ascii="Barlow Condensed SemiBold" w:hAnsi="Barlow Condensed SemiBold" w:cs="Barlow Condensed SemiBold" w:eastAsia="Barlow Condensed SemiBold"/>
          <w:color w:val="007614"/>
          <w:sz w:val="30"/>
          <w:szCs w:val="30"/>
        </w:rPr>
        <w:t xml:space="preserve">3.2 Dimensão E — Exposição do lugar</w:t>
      </w:r>
      <w:bookmarkEnd w:id="16"/>
    </w:p>
    <w:p>
      <w:pPr>
        <w:keepNext/>
        <w:spacing w:before="200" w:after="100" w:line="264" w:lineRule="auto"/>
        <w:jc w:val="left"/>
      </w:pPr>
      <w:bookmarkStart w:id="17" w:name="_q_3"/>
      <w:r>
        <w:rPr>
          <w:rFonts w:ascii="Barlow Condensed SemiBold" w:hAnsi="Barlow Condensed SemiBold" w:cs="Barlow Condensed SemiBold" w:eastAsia="Barlow Condensed SemiBold"/>
          <w:color w:val="007614"/>
          <w:sz w:val="21"/>
          <w:szCs w:val="21"/>
        </w:rPr>
        <w:t xml:space="preserve">Quadro 3 – </w:t>
      </w:r>
      <w:r>
        <w:rPr>
          <w:rFonts w:ascii="Barlow Condensed SemiBold" w:hAnsi="Barlow Condensed SemiBold" w:cs="Barlow Condensed SemiBold" w:eastAsia="Barlow Condensed SemiBold"/>
          <w:color w:val="01366F"/>
          <w:sz w:val="21"/>
          <w:szCs w:val="21"/>
        </w:rPr>
        <w:t xml:space="preserve">Indicadores da Dimensão E (Exposição do lugar)</w:t>
      </w:r>
      <w:bookmarkEnd w:id="17"/>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095"/>
        <w:gridCol w:w="2652"/>
        <w:gridCol w:w="1238"/>
        <w:gridCol w:w="1240"/>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Cód.</w:t>
            </w:r>
          </w:p>
        </w:tc>
        <w:tc>
          <w:tcPr>
            <w:tcW w:w="309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Indicador</w:t>
            </w:r>
          </w:p>
        </w:tc>
        <w:tc>
          <w:tcPr>
            <w:tcW w:w="265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Fonte (nível; variação)</w:t>
            </w:r>
          </w:p>
        </w:tc>
        <w:tc>
          <w:tcPr>
            <w:tcW w:w="123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Atualização da variação</w:t>
            </w:r>
          </w:p>
        </w:tc>
        <w:tc>
          <w:tcPr>
            <w:tcW w:w="124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Polaridade</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E1</w:t>
            </w:r>
          </w:p>
        </w:tc>
        <w:tc>
          <w:tcPr>
            <w:tcW w:w="309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de domicílios com saneamento inadequado (média das carências de água, esgotamento e coleta de lixo)</w:t>
            </w:r>
          </w:p>
        </w:tc>
        <w:tc>
          <w:tcPr>
            <w:tcW w:w="265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Censo 2022; e-SUS APS, cadastro domiciliar</w:t>
            </w:r>
          </w:p>
        </w:tc>
        <w:tc>
          <w:tcPr>
            <w:tcW w:w="123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Contínua</w:t>
            </w:r>
          </w:p>
        </w:tc>
        <w:tc>
          <w:tcPr>
            <w:tcW w:w="124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Positiva</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E2</w:t>
            </w:r>
          </w:p>
        </w:tc>
        <w:tc>
          <w:tcPr>
            <w:tcW w:w="309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Proporção de domicílios com adensamento excessivo (mais de 3 moradores por dormitório)</w:t>
            </w:r>
          </w:p>
        </w:tc>
        <w:tc>
          <w:tcPr>
            <w:tcW w:w="265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Censo 2022; CadÚnico georreferenciado</w:t>
            </w:r>
          </w:p>
        </w:tc>
        <w:tc>
          <w:tcPr>
            <w:tcW w:w="123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Mensal</w:t>
            </w:r>
          </w:p>
        </w:tc>
        <w:tc>
          <w:tcPr>
            <w:tcW w:w="124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Positiva</w:t>
            </w:r>
          </w:p>
        </w:tc>
      </w:tr>
      <w:tr>
        <w:trPr>
          <w:cantSplit/>
        </w:trPr>
        <w:tc>
          <w:tcPr>
            <w:tcW w:w="619"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7"/>
                <w:szCs w:val="17"/>
              </w:rPr>
              <w:t xml:space="preserve">E3</w:t>
            </w:r>
          </w:p>
        </w:tc>
        <w:tc>
          <w:tcPr>
            <w:tcW w:w="3095"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Proporção de domicílios em área de risco de inundação, alagamento, enxurrada ou movimento de massa</w:t>
            </w:r>
          </w:p>
        </w:tc>
        <w:tc>
          <w:tcPr>
            <w:tcW w:w="2652"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Endereços do CNEFE (Censo 2022) sobre a camada de risco da Defesa Civil e do Serviço Geológico do Brasil, acrescida de áreas verificadas a partir da cartografia social</w:t>
            </w:r>
          </w:p>
        </w:tc>
        <w:tc>
          <w:tcPr>
            <w:tcW w:w="1238"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Anual (camada)</w:t>
            </w:r>
          </w:p>
        </w:tc>
        <w:tc>
          <w:tcPr>
            <w:tcW w:w="1240"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Positiva</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 Polaridade positiva: valor maior indica maior vulnerabilidade.</w:t>
      </w:r>
    </w:p>
    <w:p>
      <w:pPr>
        <w:spacing w:before="0" w:after="140" w:line="300" w:lineRule="auto"/>
        <w:jc w:val="both"/>
      </w:pPr>
      <w:r>
        <w:rPr>
          <w:rFonts w:ascii="Barlow" w:hAnsi="Barlow" w:cs="Barlow" w:eastAsia="Barlow"/>
          <w:color w:val="0F2440"/>
          <w:sz w:val="20"/>
          <w:szCs w:val="20"/>
        </w:rPr>
        <w:t xml:space="preserve">E1 capta a via de exposição com plausibilidade causal mais direta sobre doenças de veiculação hídrica, arboviroses e parasitoses. A construção por média das três carências reduz o efeito de piso que afeta cada quesito isolado. E2 capta a via de transmissão respiratória (tuberculose, influenza e covid-19) e o sofrimento associado à superlotação, componente clássico dos índices de privação (TOWNSEND; PHILLIMORE; BEATTIE, 1988; CARSTAIRS; MORRIS, 1991). E3 capta a exposição a eventos hidrológicos e geológicos, cujos efeitos sobre a saúde são diretos (trauma, afogamento, leptospirose) e indiretos (deslocamento forçado, interrupção de tratamentos).</w:t>
      </w:r>
    </w:p>
    <w:p>
      <w:pPr>
        <w:pStyle w:val="Heading2"/>
        <w:keepNext/>
        <w:spacing w:before="340" w:after="120" w:line="264" w:lineRule="auto"/>
        <w:jc w:val="left"/>
      </w:pPr>
      <w:bookmarkStart w:id="18" w:name="_h13"/>
      <w:r>
        <w:rPr>
          <w:rFonts w:ascii="Barlow Condensed SemiBold" w:hAnsi="Barlow Condensed SemiBold" w:cs="Barlow Condensed SemiBold" w:eastAsia="Barlow Condensed SemiBold"/>
          <w:color w:val="007614"/>
          <w:sz w:val="30"/>
          <w:szCs w:val="30"/>
        </w:rPr>
        <w:t xml:space="preserve">3.3 Dimensão S — Sensibilidade da população</w:t>
      </w:r>
      <w:bookmarkEnd w:id="18"/>
    </w:p>
    <w:p>
      <w:pPr>
        <w:keepNext/>
        <w:spacing w:before="200" w:after="100" w:line="264" w:lineRule="auto"/>
        <w:jc w:val="left"/>
      </w:pPr>
      <w:bookmarkStart w:id="19" w:name="_q_4"/>
      <w:r>
        <w:rPr>
          <w:rFonts w:ascii="Barlow Condensed SemiBold" w:hAnsi="Barlow Condensed SemiBold" w:cs="Barlow Condensed SemiBold" w:eastAsia="Barlow Condensed SemiBold"/>
          <w:color w:val="007614"/>
          <w:sz w:val="21"/>
          <w:szCs w:val="21"/>
        </w:rPr>
        <w:t xml:space="preserve">Quadro 4 – </w:t>
      </w:r>
      <w:r>
        <w:rPr>
          <w:rFonts w:ascii="Barlow Condensed SemiBold" w:hAnsi="Barlow Condensed SemiBold" w:cs="Barlow Condensed SemiBold" w:eastAsia="Barlow Condensed SemiBold"/>
          <w:color w:val="01366F"/>
          <w:sz w:val="21"/>
          <w:szCs w:val="21"/>
        </w:rPr>
        <w:t xml:space="preserve">Indicadores da Dimensão S (Sensibilidade da população)</w:t>
      </w:r>
      <w:bookmarkEnd w:id="19"/>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095"/>
        <w:gridCol w:w="2652"/>
        <w:gridCol w:w="1238"/>
        <w:gridCol w:w="1240"/>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Cód.</w:t>
            </w:r>
          </w:p>
        </w:tc>
        <w:tc>
          <w:tcPr>
            <w:tcW w:w="309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Indicador</w:t>
            </w:r>
          </w:p>
        </w:tc>
        <w:tc>
          <w:tcPr>
            <w:tcW w:w="265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Fonte (nível; variação)</w:t>
            </w:r>
          </w:p>
        </w:tc>
        <w:tc>
          <w:tcPr>
            <w:tcW w:w="123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Atualização da variação</w:t>
            </w:r>
          </w:p>
        </w:tc>
        <w:tc>
          <w:tcPr>
            <w:tcW w:w="124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Polaridade</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S1</w:t>
            </w:r>
          </w:p>
        </w:tc>
        <w:tc>
          <w:tcPr>
            <w:tcW w:w="309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de pessoas em famílias com renda per capita igual ou inferior a meio salário-mínimo (linha fixada em termos reais)</w:t>
            </w:r>
          </w:p>
        </w:tc>
        <w:tc>
          <w:tcPr>
            <w:tcW w:w="265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Censo 2022; CadÚnico georreferenciado</w:t>
            </w:r>
          </w:p>
        </w:tc>
        <w:tc>
          <w:tcPr>
            <w:tcW w:w="123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Mensal</w:t>
            </w:r>
          </w:p>
        </w:tc>
        <w:tc>
          <w:tcPr>
            <w:tcW w:w="124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Positiva</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S2</w:t>
            </w:r>
          </w:p>
        </w:tc>
        <w:tc>
          <w:tcPr>
            <w:tcW w:w="309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Proporção de pessoas de 0 a 4 anos</w:t>
            </w:r>
          </w:p>
        </w:tc>
        <w:tc>
          <w:tcPr>
            <w:tcW w:w="265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Censo 2022; e-SUS APS, cadastro individual</w:t>
            </w:r>
          </w:p>
        </w:tc>
        <w:tc>
          <w:tcPr>
            <w:tcW w:w="123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Contínua</w:t>
            </w:r>
          </w:p>
        </w:tc>
        <w:tc>
          <w:tcPr>
            <w:tcW w:w="124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Positiva</w:t>
            </w:r>
          </w:p>
        </w:tc>
      </w:tr>
      <w:tr>
        <w:trPr>
          <w:cantSplit/>
        </w:trPr>
        <w:tc>
          <w:tcPr>
            <w:tcW w:w="619"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7"/>
                <w:szCs w:val="17"/>
              </w:rPr>
              <w:t xml:space="preserve">S3</w:t>
            </w:r>
          </w:p>
        </w:tc>
        <w:tc>
          <w:tcPr>
            <w:tcW w:w="3095"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Proporção de pessoas de 75 anos ou mais</w:t>
            </w:r>
          </w:p>
        </w:tc>
        <w:tc>
          <w:tcPr>
            <w:tcW w:w="2652"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Censo 2022; e-SUS APS, cadastro individual</w:t>
            </w:r>
          </w:p>
        </w:tc>
        <w:tc>
          <w:tcPr>
            <w:tcW w:w="1238"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Contínua</w:t>
            </w:r>
          </w:p>
        </w:tc>
        <w:tc>
          <w:tcPr>
            <w:tcW w:w="1240"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Positiva</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spacing w:before="0" w:after="140" w:line="300" w:lineRule="auto"/>
        <w:jc w:val="both"/>
      </w:pPr>
      <w:r>
        <w:rPr>
          <w:rFonts w:ascii="Barlow" w:hAnsi="Barlow" w:cs="Barlow" w:eastAsia="Barlow"/>
          <w:color w:val="0F2440"/>
          <w:sz w:val="20"/>
          <w:szCs w:val="20"/>
        </w:rPr>
        <w:t xml:space="preserve">S1 capta a restrição de recursos para evitar a exposição e recuperar-se do dano. A linha de meio salário-mínimo coincide com o critério de baixa renda do Cadastro Único, mas é fixada em termos reais no ano-base e corrigida pelo Índice Nacional de Preços ao Consumidor (INPC). Sem essa correção, cada aumento real do salário-mínimo elevaria artificialmente a proporção de pobres. S2 e S3 captam as idades de maior suscetibilidade fisiológica a agravos infecciosos, ao calor e a eventos extremos. O corte em 75 anos, e não em 60 ou 65, discrimina melhor a dependência funcional e coincide com o adotado no INS.</w:t>
      </w:r>
    </w:p>
    <w:p>
      <w:pPr>
        <w:pStyle w:val="Heading2"/>
        <w:keepNext/>
        <w:spacing w:before="340" w:after="120" w:line="264" w:lineRule="auto"/>
        <w:jc w:val="left"/>
      </w:pPr>
      <w:bookmarkStart w:id="20" w:name="_h14"/>
      <w:r>
        <w:rPr>
          <w:rFonts w:ascii="Barlow Condensed SemiBold" w:hAnsi="Barlow Condensed SemiBold" w:cs="Barlow Condensed SemiBold" w:eastAsia="Barlow Condensed SemiBold"/>
          <w:color w:val="007614"/>
          <w:sz w:val="30"/>
          <w:szCs w:val="30"/>
        </w:rPr>
        <w:t xml:space="preserve">3.4 O que ficou fora e por quê</w:t>
      </w:r>
      <w:bookmarkEnd w:id="20"/>
    </w:p>
    <w:p>
      <w:pPr>
        <w:spacing w:before="0" w:after="140" w:line="300" w:lineRule="auto"/>
        <w:jc w:val="both"/>
      </w:pPr>
      <w:r>
        <w:rPr>
          <w:rFonts w:ascii="Barlow" w:hAnsi="Barlow" w:cs="Barlow" w:eastAsia="Barlow"/>
          <w:color w:val="0F2440"/>
          <w:sz w:val="20"/>
          <w:szCs w:val="20"/>
        </w:rPr>
        <w:t xml:space="preserve">Os candidatos excluídos e as razões estão no Apêndice B. Três exclusões merecem registro no corpo do texto, porque eram centrais na versão anterior:</w:t>
      </w:r>
    </w:p>
    <w:p>
      <w:pPr>
        <w:pStyle w:val="ListParagraph"/>
        <w:numPr>
          <w:ilvl w:val="0"/>
          <w:numId w:val="14"/>
        </w:numPr>
        <w:spacing w:before="0" w:after="80" w:line="290" w:lineRule="auto"/>
        <w:jc w:val="both"/>
      </w:pPr>
      <w:r>
        <w:rPr>
          <w:rFonts w:ascii="Barlow SemiBold" w:hAnsi="Barlow SemiBold" w:cs="Barlow SemiBold" w:eastAsia="Barlow SemiBold"/>
          <w:color w:val="01366F"/>
          <w:sz w:val="20"/>
          <w:szCs w:val="20"/>
        </w:rPr>
        <w:t xml:space="preserve">Mortalidade, morbidade e cobertura da Estratégia Saúde da Família.</w:t>
      </w:r>
      <w:r>
        <w:rPr>
          <w:rFonts w:ascii="Barlow" w:hAnsi="Barlow" w:cs="Barlow" w:eastAsia="Barlow"/>
          <w:color w:val="0F2440"/>
          <w:sz w:val="20"/>
          <w:szCs w:val="20"/>
        </w:rPr>
        <w:t xml:space="preserve"> A mortalidade em pequenas áreas é dominada por variação aleatória e por sub-registro correlacionado com a própria vulnerabilidade, o que faz os setores mais vulneráveis parecerem menos vulneráveis. A cobertura da ESF é oferta. Esses dados passam a desfechos reservados de validação (seção 6.3) e à camada de oferta.</w:t>
      </w:r>
    </w:p>
    <w:p>
      <w:pPr>
        <w:pStyle w:val="ListParagraph"/>
        <w:numPr>
          <w:ilvl w:val="0"/>
          <w:numId w:val="14"/>
        </w:numPr>
        <w:spacing w:before="0" w:after="80" w:line="290" w:lineRule="auto"/>
        <w:jc w:val="both"/>
      </w:pPr>
      <w:r>
        <w:rPr>
          <w:rFonts w:ascii="Barlow SemiBold" w:hAnsi="Barlow SemiBold" w:cs="Barlow SemiBold" w:eastAsia="Barlow SemiBold"/>
          <w:color w:val="01366F"/>
          <w:sz w:val="20"/>
          <w:szCs w:val="20"/>
        </w:rPr>
        <w:t xml:space="preserve">Agência comunitária.</w:t>
      </w:r>
      <w:r>
        <w:rPr>
          <w:rFonts w:ascii="Barlow" w:hAnsi="Barlow" w:cs="Barlow" w:eastAsia="Barlow"/>
          <w:color w:val="0F2440"/>
          <w:sz w:val="20"/>
          <w:szCs w:val="20"/>
        </w:rPr>
        <w:t xml:space="preserve"> Taxa de alertas, taxa de confirmação, acesso à Plataforma Ágora e o Índice de Resiliência Sociotécnica medem a atividade da própria intervenção. Mais alertas podem indicar mais problemas, mais observação ou ambos. No índice, a variação desses componentes seria lida como mudança de vulnerabilidade quando reflete mudança de registro. Eles passam ao PVI e à fase de reflexividade do Protocolo.</w:t>
      </w:r>
    </w:p>
    <w:p>
      <w:pPr>
        <w:pStyle w:val="ListParagraph"/>
        <w:numPr>
          <w:ilvl w:val="0"/>
          <w:numId w:val="14"/>
        </w:numPr>
        <w:spacing w:before="0" w:after="180" w:line="290" w:lineRule="auto"/>
        <w:jc w:val="both"/>
      </w:pPr>
      <w:r>
        <w:rPr>
          <w:rFonts w:ascii="Barlow SemiBold" w:hAnsi="Barlow SemiBold" w:cs="Barlow SemiBold" w:eastAsia="Barlow SemiBold"/>
          <w:color w:val="01366F"/>
          <w:sz w:val="20"/>
          <w:szCs w:val="20"/>
        </w:rPr>
        <w:t xml:space="preserve">Indicadores municipais e índices compostos</w:t>
      </w:r>
      <w:r>
        <w:rPr>
          <w:rFonts w:ascii="Barlow" w:hAnsi="Barlow" w:cs="Barlow" w:eastAsia="Barlow"/>
          <w:color w:val="0F2440"/>
          <w:sz w:val="20"/>
          <w:szCs w:val="20"/>
        </w:rPr>
        <w:t xml:space="preserve"> (coeficiente de Gini, desemprego, desmatamento, índice de vulnerabilidade climática, passivos ambientais, conselhos de saúde). Não são desagregáveis no setor, têm periodicidade incompatível ou contêm outros índices, o que gera dupla contagem.</w:t>
      </w:r>
    </w:p>
    <w:p>
      <w:pPr>
        <w:pStyle w:val="Heading2"/>
        <w:keepNext/>
        <w:spacing w:before="340" w:after="120" w:line="264" w:lineRule="auto"/>
        <w:jc w:val="left"/>
      </w:pPr>
      <w:bookmarkStart w:id="21" w:name="_h15"/>
      <w:r>
        <w:rPr>
          <w:rFonts w:ascii="Barlow Condensed SemiBold" w:hAnsi="Barlow Condensed SemiBold" w:cs="Barlow Condensed SemiBold" w:eastAsia="Barlow Condensed SemiBold"/>
          <w:color w:val="007614"/>
          <w:sz w:val="30"/>
          <w:szCs w:val="30"/>
        </w:rPr>
        <w:t xml:space="preserve">3.5 Matriz de aderência dos indicadores</w:t>
      </w:r>
      <w:bookmarkEnd w:id="21"/>
    </w:p>
    <w:p>
      <w:pPr>
        <w:spacing w:before="0" w:after="140" w:line="300" w:lineRule="auto"/>
        <w:jc w:val="both"/>
      </w:pPr>
      <w:r>
        <w:rPr>
          <w:rFonts w:ascii="Barlow" w:hAnsi="Barlow" w:cs="Barlow" w:eastAsia="Barlow"/>
          <w:color w:val="0F2440"/>
          <w:sz w:val="20"/>
          <w:szCs w:val="20"/>
        </w:rPr>
        <w:t xml:space="preserve">O Quadro 5 aplica as propriedades de Jannuzzi a cada indicador. "A" indica que o indicador atende à propriedade; "P", que atende parcialmente, com a ressalva registrada na última coluna e a mitigação descrita nas seções 4 a 6. Nenhum indicador que deixasse de atender a uma propriedade essencial (validade, cobertura, periodicidade ou desagregabilidade) foi mantido.</w:t>
      </w:r>
    </w:p>
    <w:p>
      <w:pPr>
        <w:keepNext/>
        <w:spacing w:before="200" w:after="100" w:line="264" w:lineRule="auto"/>
        <w:jc w:val="left"/>
      </w:pPr>
      <w:bookmarkStart w:id="22" w:name="_q_5"/>
      <w:r>
        <w:rPr>
          <w:rFonts w:ascii="Barlow Condensed SemiBold" w:hAnsi="Barlow Condensed SemiBold" w:cs="Barlow Condensed SemiBold" w:eastAsia="Barlow Condensed SemiBold"/>
          <w:color w:val="007614"/>
          <w:sz w:val="21"/>
          <w:szCs w:val="21"/>
        </w:rPr>
        <w:t xml:space="preserve">Quadro 5 – </w:t>
      </w:r>
      <w:r>
        <w:rPr>
          <w:rFonts w:ascii="Barlow Condensed SemiBold" w:hAnsi="Barlow Condensed SemiBold" w:cs="Barlow Condensed SemiBold" w:eastAsia="Barlow Condensed SemiBold"/>
          <w:color w:val="01366F"/>
          <w:sz w:val="21"/>
          <w:szCs w:val="21"/>
        </w:rPr>
        <w:t xml:space="preserve">Matriz de aderência às propriedades de um indicador social</w:t>
      </w:r>
      <w:bookmarkEnd w:id="22"/>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533"/>
        <w:gridCol w:w="577"/>
        <w:gridCol w:w="577"/>
        <w:gridCol w:w="577"/>
        <w:gridCol w:w="577"/>
        <w:gridCol w:w="577"/>
        <w:gridCol w:w="577"/>
        <w:gridCol w:w="577"/>
        <w:gridCol w:w="577"/>
        <w:gridCol w:w="577"/>
        <w:gridCol w:w="577"/>
        <w:gridCol w:w="577"/>
        <w:gridCol w:w="1964"/>
      </w:tblGrid>
      <w:tr>
        <w:trPr>
          <w:tblHeader/>
          <w:cantSplit/>
        </w:trPr>
        <w:tc>
          <w:tcPr>
            <w:tcW w:w="53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Ind.</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Rel</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Val</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Conf</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Cob</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Sens</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Esp</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Int</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Fac</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Per</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Des</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His</w:t>
            </w:r>
          </w:p>
        </w:tc>
        <w:tc>
          <w:tcPr>
            <w:tcW w:w="196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Principal ressalva e mitigação</w:t>
            </w:r>
          </w:p>
        </w:tc>
      </w:tr>
      <w:tr>
        <w:trPr>
          <w:cantSplit/>
        </w:trPr>
        <w:tc>
          <w:tcPr>
            <w:tcW w:w="533" w:type="dxa"/>
            <w:shd w:val="clear" w:color="auto" w:fill="FFFFFF"/>
            <w:vAlign w:val="top"/>
          </w:tcPr>
          <w:p>
            <w:pPr>
              <w:spacing w:before="0" w:after="0" w:line="252" w:lineRule="auto"/>
              <w:jc w:val="left"/>
            </w:pPr>
            <w:r>
              <w:rPr>
                <w:rFonts w:ascii="Barlow SemiBold" w:hAnsi="Barlow SemiBold" w:cs="Barlow SemiBold" w:eastAsia="Barlow SemiBold"/>
                <w:color w:val="01366F"/>
                <w:sz w:val="15"/>
                <w:szCs w:val="15"/>
              </w:rPr>
              <w:t xml:space="preserve">E1</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1964" w:type="dxa"/>
            <w:shd w:val="clear" w:color="auto" w:fill="FFFFFF"/>
            <w:vAlign w:val="top"/>
          </w:tcPr>
          <w:p>
            <w:pPr>
              <w:spacing w:before="0" w:after="0" w:line="252" w:lineRule="auto"/>
              <w:jc w:val="left"/>
            </w:pPr>
            <w:r>
              <w:rPr>
                <w:rFonts w:ascii="Barlow" w:hAnsi="Barlow" w:cs="Barlow" w:eastAsia="Barlow"/>
                <w:color w:val="0F2440"/>
                <w:sz w:val="15"/>
                <w:szCs w:val="15"/>
              </w:rPr>
              <w:t xml:space="preserve">Cadastro depende da atualização pelo ACS; encadeamento ao Censo e metaindicador de cobertura</w:t>
            </w:r>
          </w:p>
        </w:tc>
      </w:tr>
      <w:tr>
        <w:trPr>
          <w:cantSplit/>
        </w:trPr>
        <w:tc>
          <w:tcPr>
            <w:tcW w:w="533" w:type="dxa"/>
            <w:shd w:val="clear" w:color="auto" w:fill="E9F2EB"/>
            <w:vAlign w:val="top"/>
          </w:tcPr>
          <w:p>
            <w:pPr>
              <w:spacing w:before="0" w:after="0" w:line="252" w:lineRule="auto"/>
              <w:jc w:val="left"/>
            </w:pPr>
            <w:r>
              <w:rPr>
                <w:rFonts w:ascii="Barlow SemiBold" w:hAnsi="Barlow SemiBold" w:cs="Barlow SemiBold" w:eastAsia="Barlow SemiBold"/>
                <w:color w:val="01366F"/>
                <w:sz w:val="15"/>
                <w:szCs w:val="15"/>
              </w:rPr>
              <w:t xml:space="preserve">E2</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1964" w:type="dxa"/>
            <w:shd w:val="clear" w:color="auto" w:fill="E9F2EB"/>
            <w:vAlign w:val="top"/>
          </w:tcPr>
          <w:p>
            <w:pPr>
              <w:spacing w:before="0" w:after="0" w:line="252" w:lineRule="auto"/>
              <w:jc w:val="left"/>
            </w:pPr>
            <w:r>
              <w:rPr>
                <w:rFonts w:ascii="Barlow" w:hAnsi="Barlow" w:cs="Barlow" w:eastAsia="Barlow"/>
                <w:color w:val="0F2440"/>
                <w:sz w:val="15"/>
                <w:szCs w:val="15"/>
              </w:rPr>
              <w:t xml:space="preserve">Variação observada só na população do CadÚnico; truncamento e sinalização de cobertura</w:t>
            </w:r>
          </w:p>
        </w:tc>
      </w:tr>
      <w:tr>
        <w:trPr>
          <w:cantSplit/>
        </w:trPr>
        <w:tc>
          <w:tcPr>
            <w:tcW w:w="533" w:type="dxa"/>
            <w:shd w:val="clear" w:color="auto" w:fill="FFFFFF"/>
            <w:vAlign w:val="top"/>
          </w:tcPr>
          <w:p>
            <w:pPr>
              <w:spacing w:before="0" w:after="0" w:line="252" w:lineRule="auto"/>
              <w:jc w:val="left"/>
            </w:pPr>
            <w:r>
              <w:rPr>
                <w:rFonts w:ascii="Barlow SemiBold" w:hAnsi="Barlow SemiBold" w:cs="Barlow SemiBold" w:eastAsia="Barlow SemiBold"/>
                <w:color w:val="01366F"/>
                <w:sz w:val="15"/>
                <w:szCs w:val="15"/>
              </w:rPr>
              <w:t xml:space="preserve">E3</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1964" w:type="dxa"/>
            <w:shd w:val="clear" w:color="auto" w:fill="FFFFFF"/>
            <w:vAlign w:val="top"/>
          </w:tcPr>
          <w:p>
            <w:pPr>
              <w:spacing w:before="0" w:after="0" w:line="252" w:lineRule="auto"/>
              <w:jc w:val="left"/>
            </w:pPr>
            <w:r>
              <w:rPr>
                <w:rFonts w:ascii="Barlow" w:hAnsi="Barlow" w:cs="Barlow" w:eastAsia="Barlow"/>
                <w:color w:val="0F2440"/>
                <w:sz w:val="15"/>
                <w:szCs w:val="15"/>
              </w:rPr>
              <w:t xml:space="preserve">Mapeamento incompleto; verificação territorial e reprocessamento retroativo da série</w:t>
            </w:r>
          </w:p>
        </w:tc>
      </w:tr>
      <w:tr>
        <w:trPr>
          <w:cantSplit/>
        </w:trPr>
        <w:tc>
          <w:tcPr>
            <w:tcW w:w="533" w:type="dxa"/>
            <w:shd w:val="clear" w:color="auto" w:fill="E9F2EB"/>
            <w:vAlign w:val="top"/>
          </w:tcPr>
          <w:p>
            <w:pPr>
              <w:spacing w:before="0" w:after="0" w:line="252" w:lineRule="auto"/>
              <w:jc w:val="left"/>
            </w:pPr>
            <w:r>
              <w:rPr>
                <w:rFonts w:ascii="Barlow SemiBold" w:hAnsi="Barlow SemiBold" w:cs="Barlow SemiBold" w:eastAsia="Barlow SemiBold"/>
                <w:color w:val="01366F"/>
                <w:sz w:val="15"/>
                <w:szCs w:val="15"/>
              </w:rPr>
              <w:t xml:space="preserve">S1</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1964" w:type="dxa"/>
            <w:shd w:val="clear" w:color="auto" w:fill="E9F2EB"/>
            <w:vAlign w:val="top"/>
          </w:tcPr>
          <w:p>
            <w:pPr>
              <w:spacing w:before="0" w:after="0" w:line="252" w:lineRule="auto"/>
              <w:jc w:val="left"/>
            </w:pPr>
            <w:r>
              <w:rPr>
                <w:rFonts w:ascii="Barlow" w:hAnsi="Barlow" w:cs="Barlow" w:eastAsia="Barlow"/>
                <w:color w:val="0F2440"/>
                <w:sz w:val="15"/>
                <w:szCs w:val="15"/>
              </w:rPr>
              <w:t xml:space="preserve">Renda declarada; cobertura do CadÚnico variável; linha real fixa</w:t>
            </w:r>
          </w:p>
        </w:tc>
      </w:tr>
      <w:tr>
        <w:trPr>
          <w:cantSplit/>
        </w:trPr>
        <w:tc>
          <w:tcPr>
            <w:tcW w:w="533" w:type="dxa"/>
            <w:shd w:val="clear" w:color="auto" w:fill="FFFFFF"/>
            <w:vAlign w:val="top"/>
          </w:tcPr>
          <w:p>
            <w:pPr>
              <w:spacing w:before="0" w:after="0" w:line="252" w:lineRule="auto"/>
              <w:jc w:val="left"/>
            </w:pPr>
            <w:r>
              <w:rPr>
                <w:rFonts w:ascii="Barlow SemiBold" w:hAnsi="Barlow SemiBold" w:cs="Barlow SemiBold" w:eastAsia="Barlow SemiBold"/>
                <w:color w:val="01366F"/>
                <w:sz w:val="15"/>
                <w:szCs w:val="15"/>
              </w:rPr>
              <w:t xml:space="preserve">S2</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1964" w:type="dxa"/>
            <w:shd w:val="clear" w:color="auto" w:fill="FFFFFF"/>
            <w:vAlign w:val="top"/>
          </w:tcPr>
          <w:p>
            <w:pPr>
              <w:spacing w:before="0" w:after="0" w:line="252" w:lineRule="auto"/>
              <w:jc w:val="left"/>
            </w:pPr>
            <w:r>
              <w:rPr>
                <w:rFonts w:ascii="Barlow" w:hAnsi="Barlow" w:cs="Barlow" w:eastAsia="Barlow"/>
                <w:color w:val="0F2440"/>
                <w:sz w:val="15"/>
                <w:szCs w:val="15"/>
              </w:rPr>
              <w:t xml:space="preserve">Fora da área da ESF, só o Censo; mudança demográfica lenta</w:t>
            </w:r>
          </w:p>
        </w:tc>
      </w:tr>
      <w:tr>
        <w:trPr>
          <w:cantSplit/>
        </w:trPr>
        <w:tc>
          <w:tcPr>
            <w:tcW w:w="533"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5"/>
                <w:szCs w:val="15"/>
              </w:rPr>
              <w:t xml:space="preserve">S3</w:t>
            </w:r>
          </w:p>
        </w:tc>
        <w:tc>
          <w:tcPr>
            <w:tcW w:w="577" w:type="dxa"/>
            <w:shd w:val="clear" w:color="auto" w:fill="E9F2EB"/>
            <w:vAlign w:val="top"/>
          </w:tcPr>
          <w:p>
            <w:pPr>
              <w:keepNext/>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keepNext/>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keepNext/>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keepNext/>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keepNext/>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keepNext/>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keepNext/>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keepNext/>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keepNext/>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keepNext/>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keepNext/>
              <w:spacing w:before="0" w:after="0" w:line="252" w:lineRule="auto"/>
              <w:jc w:val="center"/>
            </w:pPr>
            <w:r>
              <w:rPr>
                <w:rFonts w:ascii="Barlow" w:hAnsi="Barlow" w:cs="Barlow" w:eastAsia="Barlow"/>
                <w:color w:val="0F2440"/>
                <w:sz w:val="15"/>
                <w:szCs w:val="15"/>
              </w:rPr>
              <w:t xml:space="preserve">A</w:t>
            </w:r>
          </w:p>
        </w:tc>
        <w:tc>
          <w:tcPr>
            <w:tcW w:w="1964" w:type="dxa"/>
            <w:shd w:val="clear" w:color="auto" w:fill="E9F2EB"/>
            <w:vAlign w:val="top"/>
          </w:tcPr>
          <w:p>
            <w:pPr>
              <w:keepNext/>
              <w:spacing w:before="0" w:after="0" w:line="252" w:lineRule="auto"/>
              <w:jc w:val="left"/>
            </w:pPr>
            <w:r>
              <w:rPr>
                <w:rFonts w:ascii="Barlow" w:hAnsi="Barlow" w:cs="Barlow" w:eastAsia="Barlow"/>
                <w:color w:val="0F2440"/>
                <w:sz w:val="15"/>
                <w:szCs w:val="15"/>
              </w:rPr>
              <w:t xml:space="preserve">Idem S2</w:t>
            </w:r>
          </w:p>
        </w:tc>
      </w:tr>
    </w:tbl>
    <w:p>
      <w:pPr>
        <w:spacing w:before="60" w:after="220" w:line="240" w:lineRule="auto"/>
        <w:jc w:val="left"/>
        <w:sectPr>
          <w:headerReference w:type="default" r:id="rId22"/>
          <w:headerReference w:type="even" r:id="rId17"/>
          <w:footerReference w:type="default" r:id="rId18"/>
          <w:footerReference w:type="even" r:id="rId19"/>
          <w:type w:val="nextPage"/>
          <w:pgSz w:w="11906" w:h="16838"/>
          <w:pgMar w:top="1474" w:right="1531" w:bottom="1814" w:left="1531" w:header="850" w:footer="330" w:gutter="0"/>
          <w:cols w:space="720"/>
          <w:docGrid w:linePitch="360"/>
        </w:sectPr>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 com base em Jannuzzi (2005). Rel = relevância social; Val = validade; Conf = confiabilidade; Cob = cobertura; Sens = sensibilidade; Esp = especificidade; Int = inteligibilidade e comunicabilidade; Fac = factibilidade; Per = periodicidade; Des = desagregabilidade; His = historicidade. A = atende; P = atende parcialmente. Historicidade: E1 depende da correspondência entre categorias do e-SUS e do Censo; E3, das revisões da camada de risco, tratadas por reprocessamento; a cada Censo, a série é reancorada.</w:t>
      </w:r>
    </w:p>
    <w:p>
      <w:pPr>
        <w:pStyle w:val="Heading1"/>
        <w:pBdr>
          <w:bottom w:val="single" w:sz="12" w:space="10" w:color="007614"/>
        </w:pBdr>
        <w:spacing w:before="120" w:after="380" w:line="600" w:lineRule="exact"/>
        <w:jc w:val="left"/>
      </w:pPr>
      <w:bookmarkStart w:id="23" w:name="_h16"/>
      <w:r>
        <w:rPr>
          <w:rFonts w:ascii="Barlow Condensed" w:hAnsi="Barlow Condensed" w:cs="Barlow Condensed" w:eastAsia="Barlow Condensed"/>
          <w:b/>
          <w:bCs/>
          <w:color w:val="007614"/>
          <w:sz w:val="52"/>
          <w:szCs w:val="52"/>
        </w:rPr>
        <w:t xml:space="preserve">4 </w:t>
      </w:r>
      <w:r>
        <w:rPr>
          <w:rFonts w:ascii="Barlow Condensed" w:hAnsi="Barlow Condensed" w:cs="Barlow Condensed" w:eastAsia="Barlow Condensed"/>
          <w:b/>
          <w:bCs/>
          <w:color w:val="01366F"/>
          <w:sz w:val="52"/>
          <w:szCs w:val="52"/>
        </w:rPr>
        <w:t xml:space="preserve">FONTES E REGRA DE ENCADEAMENTO</w:t>
      </w:r>
      <w:bookmarkEnd w:id="23"/>
    </w:p>
    <w:p>
      <w:pPr>
        <w:pStyle w:val="Heading2"/>
        <w:keepNext/>
        <w:spacing w:before="340" w:after="120" w:line="264" w:lineRule="auto"/>
        <w:jc w:val="left"/>
      </w:pPr>
      <w:bookmarkStart w:id="24" w:name="_h17"/>
      <w:r>
        <w:rPr>
          <w:rFonts w:ascii="Barlow Condensed SemiBold" w:hAnsi="Barlow Condensed SemiBold" w:cs="Barlow Condensed SemiBold" w:eastAsia="Barlow Condensed SemiBold"/>
          <w:color w:val="007614"/>
          <w:sz w:val="30"/>
          <w:szCs w:val="30"/>
        </w:rPr>
        <w:t xml:space="preserve">4.1 Fontes</w:t>
      </w:r>
      <w:bookmarkEnd w:id="24"/>
    </w:p>
    <w:p>
      <w:pPr>
        <w:keepNext/>
        <w:spacing w:before="200" w:after="100" w:line="264" w:lineRule="auto"/>
        <w:jc w:val="left"/>
      </w:pPr>
      <w:bookmarkStart w:id="25" w:name="_q_6"/>
      <w:r>
        <w:rPr>
          <w:rFonts w:ascii="Barlow Condensed SemiBold" w:hAnsi="Barlow Condensed SemiBold" w:cs="Barlow Condensed SemiBold" w:eastAsia="Barlow Condensed SemiBold"/>
          <w:color w:val="007614"/>
          <w:sz w:val="21"/>
          <w:szCs w:val="21"/>
        </w:rPr>
        <w:t xml:space="preserve">Quadro 6 – </w:t>
      </w:r>
      <w:r>
        <w:rPr>
          <w:rFonts w:ascii="Barlow Condensed SemiBold" w:hAnsi="Barlow Condensed SemiBold" w:cs="Barlow Condensed SemiBold" w:eastAsia="Barlow Condensed SemiBold"/>
          <w:color w:val="01366F"/>
          <w:sz w:val="21"/>
          <w:szCs w:val="21"/>
        </w:rPr>
        <w:t xml:space="preserve">Fontes de dados do IVT</w:t>
      </w:r>
      <w:bookmarkEnd w:id="25"/>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768"/>
        <w:gridCol w:w="1414"/>
        <w:gridCol w:w="1414"/>
        <w:gridCol w:w="1414"/>
        <w:gridCol w:w="2834"/>
      </w:tblGrid>
      <w:tr>
        <w:trPr>
          <w:tblHeader/>
          <w:cantSplit/>
        </w:trPr>
        <w:tc>
          <w:tcPr>
            <w:tcW w:w="176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Fonte</w:t>
            </w:r>
          </w:p>
        </w:tc>
        <w:tc>
          <w:tcPr>
            <w:tcW w:w="141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Gestora</w:t>
            </w:r>
          </w:p>
        </w:tc>
        <w:tc>
          <w:tcPr>
            <w:tcW w:w="141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Escala disponível</w:t>
            </w:r>
          </w:p>
        </w:tc>
        <w:tc>
          <w:tcPr>
            <w:tcW w:w="141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Periodicidade</w:t>
            </w:r>
          </w:p>
        </w:tc>
        <w:tc>
          <w:tcPr>
            <w:tcW w:w="283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Uso e limitação principal</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Censo Demográfico 2022, agregados por setor</w:t>
            </w:r>
          </w:p>
        </w:tc>
        <w:tc>
          <w:tcPr>
            <w:tcW w:w="141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IBGE</w:t>
            </w:r>
          </w:p>
        </w:tc>
        <w:tc>
          <w:tcPr>
            <w:tcW w:w="141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Setor censitário</w:t>
            </w:r>
          </w:p>
        </w:tc>
        <w:tc>
          <w:tcPr>
            <w:tcW w:w="141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Decenal</w:t>
            </w:r>
          </w:p>
        </w:tc>
        <w:tc>
          <w:tcPr>
            <w:tcW w:w="283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Nível de todos os indicadores; envelhece ao longo da década</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e-SUS APS, cadastro domiciliar e territorial</w:t>
            </w:r>
          </w:p>
        </w:tc>
        <w:tc>
          <w:tcPr>
            <w:tcW w:w="141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Secretaria de Saúde / Ministério da Saúde</w:t>
            </w:r>
          </w:p>
        </w:tc>
        <w:tc>
          <w:tcPr>
            <w:tcW w:w="141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Endereço e microárea</w:t>
            </w:r>
          </w:p>
        </w:tc>
        <w:tc>
          <w:tcPr>
            <w:tcW w:w="141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Contínua</w:t>
            </w:r>
          </w:p>
        </w:tc>
        <w:tc>
          <w:tcPr>
            <w:tcW w:w="283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Variação de E1; cobertura restrita às áreas com ESF e à atualização dos cadastros</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e-SUS APS, cadastro individual</w:t>
            </w:r>
          </w:p>
        </w:tc>
        <w:tc>
          <w:tcPr>
            <w:tcW w:w="141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Secretaria de Saúde / Ministério da Saúde</w:t>
            </w:r>
          </w:p>
        </w:tc>
        <w:tc>
          <w:tcPr>
            <w:tcW w:w="141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Endereço e microárea</w:t>
            </w:r>
          </w:p>
        </w:tc>
        <w:tc>
          <w:tcPr>
            <w:tcW w:w="141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Contínua</w:t>
            </w:r>
          </w:p>
        </w:tc>
        <w:tc>
          <w:tcPr>
            <w:tcW w:w="283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Variação de S2 e S3 e do total de pessoas cadastradas</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Cadastro Único</w:t>
            </w:r>
          </w:p>
        </w:tc>
        <w:tc>
          <w:tcPr>
            <w:tcW w:w="141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MDS; gestão municipal ou distrital</w:t>
            </w:r>
          </w:p>
        </w:tc>
        <w:tc>
          <w:tcPr>
            <w:tcW w:w="141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Endereço da família</w:t>
            </w:r>
          </w:p>
        </w:tc>
        <w:tc>
          <w:tcPr>
            <w:tcW w:w="141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Mensal</w:t>
            </w:r>
          </w:p>
        </w:tc>
        <w:tc>
          <w:tcPr>
            <w:tcW w:w="283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Variação de E2 e S1; cobertura depende de busca ativa</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Mapeamento de áreas de risco</w:t>
            </w:r>
          </w:p>
        </w:tc>
        <w:tc>
          <w:tcPr>
            <w:tcW w:w="141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Defesa Civil; Serviço Geológico do Brasil</w:t>
            </w:r>
          </w:p>
        </w:tc>
        <w:tc>
          <w:tcPr>
            <w:tcW w:w="141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Polígonos</w:t>
            </w:r>
          </w:p>
        </w:tc>
        <w:tc>
          <w:tcPr>
            <w:tcW w:w="141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Atualização anual da camada</w:t>
            </w:r>
          </w:p>
        </w:tc>
        <w:tc>
          <w:tcPr>
            <w:tcW w:w="283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E3; cobertura desigual do mapeamento</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Cartografia social verificada</w:t>
            </w:r>
          </w:p>
        </w:tc>
        <w:tc>
          <w:tcPr>
            <w:tcW w:w="141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SCS e Defesa Civil</w:t>
            </w:r>
          </w:p>
        </w:tc>
        <w:tc>
          <w:tcPr>
            <w:tcW w:w="141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Polígonos e pontos</w:t>
            </w:r>
          </w:p>
        </w:tc>
        <w:tc>
          <w:tcPr>
            <w:tcW w:w="141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Contínua, com verificação</w:t>
            </w:r>
          </w:p>
        </w:tc>
        <w:tc>
          <w:tcPr>
            <w:tcW w:w="283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Complementa E3 após vistoria conjunta</w:t>
            </w:r>
          </w:p>
        </w:tc>
      </w:tr>
      <w:tr>
        <w:trPr>
          <w:cantSplit/>
        </w:trPr>
        <w:tc>
          <w:tcPr>
            <w:tcW w:w="1768"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7"/>
                <w:szCs w:val="17"/>
              </w:rPr>
              <w:t xml:space="preserve">Cadastro Nacional de Endereços para Fins Estatísticos (CNEFE) 2022</w:t>
            </w:r>
          </w:p>
        </w:tc>
        <w:tc>
          <w:tcPr>
            <w:tcW w:w="1414"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IBGE</w:t>
            </w:r>
          </w:p>
        </w:tc>
        <w:tc>
          <w:tcPr>
            <w:tcW w:w="1414"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Endereço georreferenciado</w:t>
            </w:r>
          </w:p>
        </w:tc>
        <w:tc>
          <w:tcPr>
            <w:tcW w:w="1414"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Decenal</w:t>
            </w:r>
          </w:p>
        </w:tc>
        <w:tc>
          <w:tcPr>
            <w:tcW w:w="2834"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Base de domicílios de E3, independente da cobertura da ESF</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pStyle w:val="Heading2"/>
        <w:keepNext/>
        <w:spacing w:before="340" w:after="120" w:line="264" w:lineRule="auto"/>
        <w:jc w:val="left"/>
      </w:pPr>
      <w:bookmarkStart w:id="26" w:name="_h18"/>
      <w:r>
        <w:rPr>
          <w:rFonts w:ascii="Barlow Condensed SemiBold" w:hAnsi="Barlow Condensed SemiBold" w:cs="Barlow Condensed SemiBold" w:eastAsia="Barlow Condensed SemiBold"/>
          <w:color w:val="007614"/>
          <w:sz w:val="30"/>
          <w:szCs w:val="30"/>
        </w:rPr>
        <w:t xml:space="preserve">4.2 Regra de encadeamento</w:t>
      </w:r>
      <w:bookmarkEnd w:id="26"/>
    </w:p>
    <w:p>
      <w:pPr>
        <w:spacing w:before="0" w:after="140" w:line="300" w:lineRule="auto"/>
        <w:jc w:val="both"/>
      </w:pPr>
      <w:r>
        <w:rPr>
          <w:rFonts w:ascii="Barlow" w:hAnsi="Barlow" w:cs="Barlow" w:eastAsia="Barlow"/>
          <w:color w:val="0F2440"/>
          <w:sz w:val="20"/>
          <w:szCs w:val="20"/>
        </w:rPr>
        <w:t xml:space="preserve">Os registros administrativos resolvem o problema da periodicidade, mas têm cobertura que depende da gestão local: o cadastro da ESF só existe onde há equipe e é tão atual quanto a última visita do agente; o Cadastro Único depende de busca ativa. Usá-los diretamente como medida de nível reintroduziria, por outra via, a dependência da oferta que o índice pretende evitar. Adota-se, por isso, a mesma regra de encadeamento do INS: o </w:t>
      </w:r>
      <w:r>
        <w:rPr>
          <w:rFonts w:ascii="Barlow SemiBold" w:hAnsi="Barlow SemiBold" w:cs="Barlow SemiBold" w:eastAsia="Barlow SemiBold"/>
          <w:color w:val="01366F"/>
          <w:sz w:val="20"/>
          <w:szCs w:val="20"/>
        </w:rPr>
        <w:t xml:space="preserve">nível</w:t>
      </w:r>
      <w:r>
        <w:rPr>
          <w:rFonts w:ascii="Barlow" w:hAnsi="Barlow" w:cs="Barlow" w:eastAsia="Barlow"/>
          <w:color w:val="0F2440"/>
          <w:sz w:val="20"/>
          <w:szCs w:val="20"/>
        </w:rPr>
        <w:t xml:space="preserve"> de cada indicador é fixado pelo Censo, livre de viés de cobertura administrativa, e a </w:t>
      </w:r>
      <w:r>
        <w:rPr>
          <w:rFonts w:ascii="Barlow SemiBold" w:hAnsi="Barlow SemiBold" w:cs="Barlow SemiBold" w:eastAsia="Barlow SemiBold"/>
          <w:color w:val="01366F"/>
          <w:sz w:val="20"/>
          <w:szCs w:val="20"/>
        </w:rPr>
        <w:t xml:space="preserve">variação</w:t>
      </w:r>
      <w:r>
        <w:rPr>
          <w:rFonts w:ascii="Barlow" w:hAnsi="Barlow" w:cs="Barlow" w:eastAsia="Barlow"/>
          <w:color w:val="0F2440"/>
          <w:sz w:val="20"/>
          <w:szCs w:val="20"/>
        </w:rPr>
        <w:t xml:space="preserve"> é tomada do registro.</w:t>
      </w:r>
    </w:p>
    <w:p>
      <w:pPr>
        <w:spacing w:before="0" w:after="140" w:line="300" w:lineRule="auto"/>
        <w:jc w:val="both"/>
      </w:pPr>
      <w:r>
        <w:rPr>
          <w:rFonts w:ascii="Barlow" w:hAnsi="Barlow" w:cs="Barlow" w:eastAsia="Barlow"/>
          <w:color w:val="0F2440"/>
          <w:sz w:val="20"/>
          <w:szCs w:val="20"/>
        </w:rPr>
        <w:t xml:space="preserve">Para indicadores construídos como proporção de um mesmo registro (E1, S2, S3), o valor no setor </w:t>
      </w:r>
      <w:r>
        <w:rPr>
          <w:rFonts w:ascii="Barlow" w:hAnsi="Barlow" w:cs="Barlow" w:eastAsia="Barlow"/>
          <w:i/>
          <w:iCs/>
          <w:color w:val="0F2440"/>
          <w:sz w:val="20"/>
          <w:szCs w:val="20"/>
        </w:rPr>
        <w:t xml:space="preserve">u</w:t>
      </w:r>
      <w:r>
        <w:rPr>
          <w:rFonts w:ascii="Barlow" w:hAnsi="Barlow" w:cs="Barlow" w:eastAsia="Barlow"/>
          <w:color w:val="0F2440"/>
          <w:sz w:val="20"/>
          <w:szCs w:val="20"/>
        </w:rPr>
        <w:t xml:space="preserve"> e no período </w:t>
      </w:r>
      <w:r>
        <w:rPr>
          <w:rFonts w:ascii="Barlow" w:hAnsi="Barlow" w:cs="Barlow" w:eastAsia="Barlow"/>
          <w:i/>
          <w:iCs/>
          <w:color w:val="0F2440"/>
          <w:sz w:val="20"/>
          <w:szCs w:val="20"/>
        </w:rPr>
        <w:t xml:space="preserve">t</w:t>
      </w:r>
      <w:r>
        <w:rPr>
          <w:rFonts w:ascii="Barlow" w:hAnsi="Barlow" w:cs="Barlow" w:eastAsia="Barlow"/>
          <w:color w:val="0F2440"/>
          <w:sz w:val="20"/>
          <w:szCs w:val="20"/>
        </w:rPr>
        <w:t xml:space="preserve"> é:</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0" w:line="300" w:lineRule="auto"/>
              <w:jc w:val="center"/>
            </w:pPr>
            <w:r>
              <w:rPr>
                <w:rFonts w:ascii="Barlow" w:hAnsi="Barlow" w:cs="Barlow" w:eastAsia="Barlow"/>
                <w:i/>
                <w:iCs/>
                <w:color w:val="01366F"/>
                <w:sz w:val="23"/>
                <w:szCs w:val="23"/>
              </w:rPr>
              <w:t xml:space="preserve">X̂(u,t) = X(u,c) × [ r(u,t) / r(u,c) ]</w:t>
            </w:r>
          </w:p>
        </w:tc>
      </w:tr>
    </w:tbl>
    <w:p>
      <w:pPr>
        <w:spacing w:before="0" w:after="0" w:line="160" w:lineRule="exact"/>
        <w:jc w:val="both"/>
      </w:pPr>
    </w:p>
    <w:p>
      <w:pPr>
        <w:spacing w:before="0" w:after="140" w:line="300" w:lineRule="auto"/>
        <w:jc w:val="both"/>
      </w:pPr>
      <w:r>
        <w:rPr>
          <w:rFonts w:ascii="Barlow" w:hAnsi="Barlow" w:cs="Barlow" w:eastAsia="Barlow"/>
          <w:color w:val="0F2440"/>
          <w:sz w:val="20"/>
          <w:szCs w:val="20"/>
        </w:rPr>
        <w:t xml:space="preserve">em que X(u,c) é a proporção observada no Censo e r é a mesma proporção calculada no registro, no período </w:t>
      </w:r>
      <w:r>
        <w:rPr>
          <w:rFonts w:ascii="Barlow" w:hAnsi="Barlow" w:cs="Barlow" w:eastAsia="Barlow"/>
          <w:i/>
          <w:iCs/>
          <w:color w:val="0F2440"/>
          <w:sz w:val="20"/>
          <w:szCs w:val="20"/>
        </w:rPr>
        <w:t xml:space="preserve">t</w:t>
      </w:r>
      <w:r>
        <w:rPr>
          <w:rFonts w:ascii="Barlow" w:hAnsi="Barlow" w:cs="Barlow" w:eastAsia="Barlow"/>
          <w:color w:val="0F2440"/>
          <w:sz w:val="20"/>
          <w:szCs w:val="20"/>
        </w:rPr>
        <w:t xml:space="preserve"> e no período do Censo (</w:t>
      </w:r>
      <w:r>
        <w:rPr>
          <w:rFonts w:ascii="Barlow" w:hAnsi="Barlow" w:cs="Barlow" w:eastAsia="Barlow"/>
          <w:i/>
          <w:iCs/>
          <w:color w:val="0F2440"/>
          <w:sz w:val="20"/>
          <w:szCs w:val="20"/>
        </w:rPr>
        <w:t xml:space="preserve">c</w:t>
      </w:r>
      <w:r>
        <w:rPr>
          <w:rFonts w:ascii="Barlow" w:hAnsi="Barlow" w:cs="Barlow" w:eastAsia="Barlow"/>
          <w:color w:val="0F2440"/>
          <w:sz w:val="20"/>
          <w:szCs w:val="20"/>
        </w:rPr>
        <w:t xml:space="preserve">). Numerador e denominador vêm do mesmo registro, de modo que o viés de cobertura, quando aproximadamente constante no curto prazo, se cancela na razão.</w:t>
      </w:r>
    </w:p>
    <w:p>
      <w:pPr>
        <w:spacing w:before="0" w:after="140" w:line="300" w:lineRule="auto"/>
        <w:jc w:val="both"/>
      </w:pPr>
      <w:r>
        <w:rPr>
          <w:rFonts w:ascii="Barlow" w:hAnsi="Barlow" w:cs="Barlow" w:eastAsia="Barlow"/>
          <w:color w:val="0F2440"/>
          <w:sz w:val="20"/>
          <w:szCs w:val="20"/>
        </w:rPr>
        <w:t xml:space="preserve">Para indicadores cujo numerador vem de um registro (o Cadastro Único, em E2 e S1) e cujo denominador é a população ou o total de domicílios, a razão aplica-se às contagens e é corrigida pelo crescimento da base:</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0" w:line="300" w:lineRule="auto"/>
              <w:jc w:val="center"/>
            </w:pPr>
            <w:r>
              <w:rPr>
                <w:rFonts w:ascii="Barlow" w:hAnsi="Barlow" w:cs="Barlow" w:eastAsia="Barlow"/>
                <w:i/>
                <w:iCs/>
                <w:color w:val="01366F"/>
                <w:sz w:val="23"/>
                <w:szCs w:val="23"/>
              </w:rPr>
              <w:t xml:space="preserve">X̂(u,t) = X(u,c) × [ N(u,t) / N(u,c) ] / [ P(u,t) / P(u,c) ]</w:t>
            </w:r>
          </w:p>
        </w:tc>
      </w:tr>
    </w:tbl>
    <w:p>
      <w:pPr>
        <w:spacing w:before="0" w:after="0" w:line="160" w:lineRule="exact"/>
        <w:jc w:val="both"/>
      </w:pPr>
    </w:p>
    <w:p>
      <w:pPr>
        <w:spacing w:before="0" w:after="140" w:line="300" w:lineRule="auto"/>
        <w:jc w:val="both"/>
      </w:pPr>
      <w:r>
        <w:rPr>
          <w:rFonts w:ascii="Barlow" w:hAnsi="Barlow" w:cs="Barlow" w:eastAsia="Barlow"/>
          <w:color w:val="0F2440"/>
          <w:sz w:val="20"/>
          <w:szCs w:val="20"/>
        </w:rPr>
        <w:t xml:space="preserve">em que N é a contagem no registro (por exemplo, pessoas de baixa renda no Cadastro Único) e P é a população ou o total de domicílios, cuja variação é estimada pelo cadastro individual ou domiciliar do e-SUS APS. Sem a correção pelo denominador, o crescimento populacional de um setor seria lido como aumento da pobreza.</w:t>
      </w:r>
    </w:p>
    <w:p>
      <w:pPr>
        <w:spacing w:before="0" w:after="140" w:line="300" w:lineRule="auto"/>
        <w:jc w:val="both"/>
      </w:pPr>
      <w:r>
        <w:rPr>
          <w:rFonts w:ascii="Barlow" w:hAnsi="Barlow" w:cs="Barlow" w:eastAsia="Barlow"/>
          <w:color w:val="0F2440"/>
          <w:sz w:val="20"/>
          <w:szCs w:val="20"/>
        </w:rPr>
        <w:t xml:space="preserve">A razão de encadeamento é truncada no intervalo de 0,5 a 2,0 para impedir que saltos administrativos (mutirão de recadastramento, implantação de uma nova equipe) se convertam em variação espúria. Setores truncados são sinalizados e o efeito do truncamento é testado na análise de sensibilidade (seção 5.10). Onde a cobertura do registro é insuficiente (menos de 70% dos domicílios do Censo cadastrados no e-SUS, por exemplo), mantém-se o valor censitário e o setor é sinalizado. Esse limiar é provisório e será revisto após a primeira aplicação.</w:t>
      </w:r>
    </w:p>
    <w:p>
      <w:pPr>
        <w:spacing w:before="0" w:after="140" w:line="300" w:lineRule="auto"/>
        <w:jc w:val="both"/>
      </w:pPr>
      <w:r>
        <w:rPr>
          <w:rFonts w:ascii="Barlow" w:hAnsi="Barlow" w:cs="Barlow" w:eastAsia="Barlow"/>
          <w:color w:val="0F2440"/>
          <w:sz w:val="20"/>
          <w:szCs w:val="20"/>
        </w:rPr>
        <w:t xml:space="preserve">Uma ressalva sobre o nível censitário condiciona a resolução do índice. O nível de S1 e de E2 por setor depende de o IBGE divulgar, nessa escala, o rendimento domiciliar per capita e o número de moradores por dormitório. Se apenas o rendimento do responsável estiver disponível por setor, ele é usado como aproximação do nível de S1, com a relação entre as duas medidas estimada na área de ponderação da amostra do Censo; se o adensamento só existir na área de ponderação, o nível de E2 é obtido por estimação para pequenas áreas, com o adensamento da área de ponderação e covariáveis do universo por setor. Em qualquer dos casos, a solução adotada é declarada na nota técnica, e a perda de resolução, quando houver, é registrada como limitação (seção 8.4).</w:t>
      </w:r>
    </w:p>
    <w:p>
      <w:pPr>
        <w:spacing w:before="0" w:after="140" w:line="300" w:lineRule="auto"/>
        <w:jc w:val="both"/>
      </w:pPr>
      <w:r>
        <w:rPr>
          <w:rFonts w:ascii="Barlow" w:hAnsi="Barlow" w:cs="Barlow" w:eastAsia="Barlow"/>
          <w:color w:val="0F2440"/>
          <w:sz w:val="20"/>
          <w:szCs w:val="20"/>
        </w:rPr>
        <w:t xml:space="preserve">O período-base dos registros também precisa ser declarado. O cadastro do e-SUS APS é atualizado por sobreposição e não guarda o estado da data do Censo; por isso, r(u,c), N(u,c) e P(u,c) referem-se à primeira extração disponível, e a defasagem entre essa extração e a data de referência do Censo é registrada. O denominador P só é tomado do e-SUS APS em setores com cobertura de pelo menos 70% e estável entre extrações, porque a cobertura do cadastro da ESF e a do Cadastro Único variam de forma independente e não se cancelam; nos demais, P é estimado a partir dos domicílios do CNEFE. Quando o valor de base é zero (por exemplo, r(u,c) = 0), a razão é indefinida, e a atualização passa a ser aditiva: X̂(u,t) = X(u,c) + [r(u,t) − r(u,c)].</w:t>
      </w:r>
    </w:p>
    <w:p>
      <w:pPr>
        <w:spacing w:before="0" w:after="140" w:line="300" w:lineRule="auto"/>
        <w:jc w:val="both"/>
      </w:pPr>
      <w:r>
        <w:rPr>
          <w:rFonts w:ascii="Barlow" w:hAnsi="Barlow" w:cs="Barlow" w:eastAsia="Barlow"/>
          <w:color w:val="0F2440"/>
          <w:sz w:val="20"/>
          <w:szCs w:val="20"/>
        </w:rPr>
        <w:t xml:space="preserve">A variação mensal do Cadastro Único deve ser lida com cautela. A atualização cadastral das famílias é feita, em regra, a cada dois anos, e revisões cadastrais em massa, como a de 2023, alteram as contagens sem mudança na situação das famílias. Por isso, usa-se média móvel de doze meses, e a razão de encadeamento é truncada.</w:t>
      </w:r>
    </w:p>
    <w:p>
      <w:pPr>
        <w:spacing w:before="0" w:after="140" w:line="300" w:lineRule="auto"/>
        <w:jc w:val="both"/>
      </w:pPr>
      <w:r>
        <w:rPr>
          <w:rFonts w:ascii="Barlow" w:hAnsi="Barlow" w:cs="Barlow" w:eastAsia="Barlow"/>
          <w:color w:val="0F2440"/>
          <w:sz w:val="20"/>
          <w:szCs w:val="20"/>
        </w:rPr>
        <w:t xml:space="preserve">Três metaindicadores acompanham toda publicação e não integram o escore: cobertura do cadastro domiciliar do e-SUS APS por setor; cobertura do Cadastro Único sobre a população de baixa renda estimada; e proporção de registros georreferenciados com sucesso.</w:t>
      </w:r>
    </w:p>
    <w:p>
      <w:pPr>
        <w:pStyle w:val="Heading2"/>
        <w:keepNext/>
        <w:spacing w:before="340" w:after="120" w:line="264" w:lineRule="auto"/>
        <w:jc w:val="left"/>
      </w:pPr>
      <w:bookmarkStart w:id="27" w:name="_h19"/>
      <w:r>
        <w:rPr>
          <w:rFonts w:ascii="Barlow Condensed SemiBold" w:hAnsi="Barlow Condensed SemiBold" w:cs="Barlow Condensed SemiBold" w:eastAsia="Barlow Condensed SemiBold"/>
          <w:color w:val="007614"/>
          <w:sz w:val="30"/>
          <w:szCs w:val="30"/>
        </w:rPr>
        <w:t xml:space="preserve">4.3 Georreferenciamento e proteção dos dados</w:t>
      </w:r>
      <w:bookmarkEnd w:id="27"/>
    </w:p>
    <w:p>
      <w:pPr>
        <w:spacing w:before="0" w:after="140" w:line="300" w:lineRule="auto"/>
        <w:jc w:val="both"/>
        <w:sectPr>
          <w:headerReference w:type="default" r:id="rId23"/>
          <w:headerReference w:type="even" r:id="rId17"/>
          <w:footerReference w:type="default" r:id="rId18"/>
          <w:footerReference w:type="even" r:id="rId19"/>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Os endereços do e-SUS APS e do Cadastro Único são georreferenciados e atribuídos ao setor censitário por sobreposição de pontos e polígonos, em ambiente seguro da secretaria gestora. Só saem desse ambiente contagens agregadas por setor. Contagens inferiores a cinco são suprimidas ou agregadas a setor vizinho antes de qualquer divulgação, para impedir a reidentificação de famílias.</w:t>
      </w:r>
    </w:p>
    <w:p>
      <w:pPr>
        <w:pStyle w:val="Heading1"/>
        <w:pBdr>
          <w:bottom w:val="single" w:sz="12" w:space="10" w:color="007614"/>
        </w:pBdr>
        <w:spacing w:before="120" w:after="380" w:line="600" w:lineRule="exact"/>
        <w:jc w:val="left"/>
      </w:pPr>
      <w:bookmarkStart w:id="28" w:name="_h20"/>
      <w:r>
        <w:rPr>
          <w:rFonts w:ascii="Barlow Condensed" w:hAnsi="Barlow Condensed" w:cs="Barlow Condensed" w:eastAsia="Barlow Condensed"/>
          <w:b/>
          <w:bCs/>
          <w:color w:val="007614"/>
          <w:sz w:val="52"/>
          <w:szCs w:val="52"/>
        </w:rPr>
        <w:t xml:space="preserve">5 </w:t>
      </w:r>
      <w:r>
        <w:rPr>
          <w:rFonts w:ascii="Barlow Condensed" w:hAnsi="Barlow Condensed" w:cs="Barlow Condensed" w:eastAsia="Barlow Condensed"/>
          <w:b/>
          <w:bCs/>
          <w:color w:val="01366F"/>
          <w:sz w:val="52"/>
          <w:szCs w:val="52"/>
        </w:rPr>
        <w:t xml:space="preserve">PROTOCOLO DE CÁLCULO</w:t>
      </w:r>
      <w:bookmarkEnd w:id="28"/>
    </w:p>
    <w:p>
      <w:pPr>
        <w:spacing w:before="0" w:after="140" w:line="300" w:lineRule="auto"/>
        <w:jc w:val="both"/>
      </w:pPr>
      <w:r>
        <w:rPr>
          <w:rFonts w:ascii="Barlow" w:hAnsi="Barlow" w:cs="Barlow" w:eastAsia="Barlow"/>
          <w:color w:val="0F2440"/>
          <w:sz w:val="20"/>
          <w:szCs w:val="20"/>
        </w:rPr>
        <w:t xml:space="preserve">O cálculo replica a técnica de Carstairs e Morris (1991) adotada pelo INS, com duas adaptações próprias da pequena área: a agregação de setores muito pequenos e a suavização das proporções.</w:t>
      </w:r>
    </w:p>
    <w:p>
      <w:pPr>
        <w:pStyle w:val="Heading2"/>
        <w:keepNext/>
        <w:spacing w:before="340" w:after="120" w:line="264" w:lineRule="auto"/>
        <w:jc w:val="left"/>
      </w:pPr>
      <w:bookmarkStart w:id="29" w:name="_h21"/>
      <w:r>
        <w:rPr>
          <w:rFonts w:ascii="Barlow Condensed SemiBold" w:hAnsi="Barlow Condensed SemiBold" w:cs="Barlow Condensed SemiBold" w:eastAsia="Barlow Condensed SemiBold"/>
          <w:color w:val="007614"/>
          <w:sz w:val="30"/>
          <w:szCs w:val="30"/>
        </w:rPr>
        <w:t xml:space="preserve">5.1 Preparação</w:t>
      </w:r>
      <w:bookmarkEnd w:id="29"/>
    </w:p>
    <w:p>
      <w:pPr>
        <w:spacing w:before="0" w:after="140" w:line="300" w:lineRule="auto"/>
        <w:jc w:val="both"/>
      </w:pPr>
      <w:r>
        <w:rPr>
          <w:rFonts w:ascii="Barlow" w:hAnsi="Barlow" w:cs="Barlow" w:eastAsia="Barlow"/>
          <w:color w:val="0F2440"/>
          <w:sz w:val="20"/>
          <w:szCs w:val="20"/>
        </w:rPr>
        <w:t xml:space="preserve">Fixar o período de referência (semestre) e a versão de cada fonte. Compatibilizar a malha de setores do Censo 2022 com as malhas de microáreas, de áreas de UBS e de territórios de SCS. Setores com menos de 50 domicílios particulares permanentes ocupados são agregados ao setor vizinho mais semelhante em E1 e S1, com registro da agregação. Valores extremos são tratados por winsorização no percentil 99 quando identificados pelo critério do intervalo interquartílico multiplicado por três.</w:t>
      </w:r>
    </w:p>
    <w:p>
      <w:pPr>
        <w:pStyle w:val="Heading2"/>
        <w:keepNext/>
        <w:spacing w:before="340" w:after="120" w:line="264" w:lineRule="auto"/>
        <w:jc w:val="left"/>
      </w:pPr>
      <w:bookmarkStart w:id="30" w:name="_h22"/>
      <w:r>
        <w:rPr>
          <w:rFonts w:ascii="Barlow Condensed SemiBold" w:hAnsi="Barlow Condensed SemiBold" w:cs="Barlow Condensed SemiBold" w:eastAsia="Barlow Condensed SemiBold"/>
          <w:color w:val="007614"/>
          <w:sz w:val="30"/>
          <w:szCs w:val="30"/>
        </w:rPr>
        <w:t xml:space="preserve">5.2 Suavização bayesiana empírica</w:t>
      </w:r>
      <w:bookmarkEnd w:id="30"/>
    </w:p>
    <w:p>
      <w:pPr>
        <w:spacing w:before="0" w:after="140" w:line="300" w:lineRule="auto"/>
        <w:jc w:val="both"/>
      </w:pPr>
      <w:r>
        <w:rPr>
          <w:rFonts w:ascii="Barlow" w:hAnsi="Barlow" w:cs="Barlow" w:eastAsia="Barlow"/>
          <w:color w:val="0F2440"/>
          <w:sz w:val="20"/>
          <w:szCs w:val="20"/>
        </w:rPr>
        <w:t xml:space="preserve">Proporções calculadas sobre poucas centenas de domicílios oscilam por acaso. Para reduzir essa instabilidade sem apagar diferenças reais, o estimador bayesiano empírico local, que aproxima o valor do setor da média de sua vizinhança na medida inversa do tamanho de sua população (MARSHALL, 1991), é aplicado às contagens censitárias que fixam o nível de cada indicador, antes do encadeamento, porque o estimador opera sobre contagens e denominadores, e não sobre proporções já encadeadas. Setores grandes quase não são alterados; setores pequenos são aproximados da vizinhança. Os valores brutos e suavizados são publicados lado a lado.</w:t>
      </w:r>
    </w:p>
    <w:p>
      <w:pPr>
        <w:pStyle w:val="Heading2"/>
        <w:keepNext/>
        <w:spacing w:before="340" w:after="120" w:line="264" w:lineRule="auto"/>
        <w:jc w:val="left"/>
      </w:pPr>
      <w:bookmarkStart w:id="31" w:name="_h23"/>
      <w:r>
        <w:rPr>
          <w:rFonts w:ascii="Barlow Condensed SemiBold" w:hAnsi="Barlow Condensed SemiBold" w:cs="Barlow Condensed SemiBold" w:eastAsia="Barlow Condensed SemiBold"/>
          <w:color w:val="007614"/>
          <w:sz w:val="30"/>
          <w:szCs w:val="30"/>
        </w:rPr>
        <w:t xml:space="preserve">5.3 Padronização</w:t>
      </w:r>
      <w:bookmarkEnd w:id="31"/>
    </w:p>
    <w:p>
      <w:pPr>
        <w:spacing w:before="0" w:after="140" w:line="300" w:lineRule="auto"/>
        <w:jc w:val="both"/>
      </w:pPr>
      <w:r>
        <w:rPr>
          <w:rFonts w:ascii="Barlow" w:hAnsi="Barlow" w:cs="Barlow" w:eastAsia="Barlow"/>
          <w:color w:val="0F2440"/>
          <w:sz w:val="20"/>
          <w:szCs w:val="20"/>
        </w:rPr>
        <w:t xml:space="preserve">Cada indicador é padronizado por escore z sobre o universo de referência:</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0" w:line="300" w:lineRule="auto"/>
              <w:jc w:val="center"/>
            </w:pPr>
            <w:r>
              <w:rPr>
                <w:rFonts w:ascii="Barlow" w:hAnsi="Barlow" w:cs="Barlow" w:eastAsia="Barlow"/>
                <w:i/>
                <w:iCs/>
                <w:color w:val="01366F"/>
                <w:sz w:val="23"/>
                <w:szCs w:val="23"/>
              </w:rPr>
              <w:t xml:space="preserve">z(u,j) = [ x(u,j) − μ(j) ] / σ(j)</w:t>
            </w:r>
          </w:p>
        </w:tc>
      </w:tr>
    </w:tbl>
    <w:p>
      <w:pPr>
        <w:spacing w:before="0" w:after="0" w:line="160" w:lineRule="exact"/>
        <w:jc w:val="both"/>
      </w:pPr>
    </w:p>
    <w:p>
      <w:pPr>
        <w:spacing w:before="0" w:after="140" w:line="300" w:lineRule="auto"/>
        <w:jc w:val="both"/>
      </w:pPr>
      <w:r>
        <w:rPr>
          <w:rFonts w:ascii="Barlow" w:hAnsi="Barlow" w:cs="Barlow" w:eastAsia="Barlow"/>
          <w:color w:val="0F2440"/>
          <w:sz w:val="20"/>
          <w:szCs w:val="20"/>
        </w:rPr>
        <w:t xml:space="preserve">em que μ(j) e σ(j) são a média e o desvio-padrão do indicador </w:t>
      </w:r>
      <w:r>
        <w:rPr>
          <w:rFonts w:ascii="Barlow" w:hAnsi="Barlow" w:cs="Barlow" w:eastAsia="Barlow"/>
          <w:i/>
          <w:iCs/>
          <w:color w:val="0F2440"/>
          <w:sz w:val="20"/>
          <w:szCs w:val="20"/>
        </w:rPr>
        <w:t xml:space="preserve">j</w:t>
      </w:r>
      <w:r>
        <w:rPr>
          <w:rFonts w:ascii="Barlow" w:hAnsi="Barlow" w:cs="Barlow" w:eastAsia="Barlow"/>
          <w:color w:val="0F2440"/>
          <w:sz w:val="20"/>
          <w:szCs w:val="20"/>
        </w:rPr>
        <w:t xml:space="preserve"> no universo, </w:t>
      </w:r>
      <w:r>
        <w:rPr>
          <w:rFonts w:ascii="Barlow SemiBold" w:hAnsi="Barlow SemiBold" w:cs="Barlow SemiBold" w:eastAsia="Barlow SemiBold"/>
          <w:color w:val="01366F"/>
          <w:sz w:val="20"/>
          <w:szCs w:val="20"/>
        </w:rPr>
        <w:t xml:space="preserve">fixados na edição de referência</w:t>
      </w:r>
      <w:r>
        <w:rPr>
          <w:rFonts w:ascii="Barlow" w:hAnsi="Barlow" w:cs="Barlow" w:eastAsia="Barlow"/>
          <w:color w:val="0F2440"/>
          <w:sz w:val="20"/>
          <w:szCs w:val="20"/>
        </w:rPr>
        <w:t xml:space="preserve"> e mantidos nas atualizações seguintes. Sem essa fixação, uma melhoria generalizada no território não apareceria, porque todos os setores manteriam a mesma posição relativa. A cada novo Censo, os parâmetros são reancorados e a série é republicada.</w:t>
      </w:r>
    </w:p>
    <w:p>
      <w:pPr>
        <w:spacing w:before="0" w:after="140" w:line="300" w:lineRule="auto"/>
        <w:jc w:val="both"/>
      </w:pPr>
      <w:r>
        <w:rPr>
          <w:rFonts w:ascii="Barlow" w:hAnsi="Barlow" w:cs="Barlow" w:eastAsia="Barlow"/>
          <w:color w:val="0F2440"/>
          <w:sz w:val="20"/>
          <w:szCs w:val="20"/>
        </w:rPr>
        <w:t xml:space="preserve">O escore z substitui a normalização mínimo-máximo da versão anterior. A normalização mínimo-máximo dá a cada indicador um peso implícito proporcional à sua amplitude observada, desfazendo a ponderação declarada, e é muito sensível a valores extremos, que são frequentes na escala do setor.</w:t>
      </w:r>
    </w:p>
    <w:p>
      <w:pPr>
        <w:pStyle w:val="Heading2"/>
        <w:keepNext/>
        <w:spacing w:before="340" w:after="120" w:line="264" w:lineRule="auto"/>
        <w:jc w:val="left"/>
      </w:pPr>
      <w:bookmarkStart w:id="32" w:name="_h24"/>
      <w:r>
        <w:rPr>
          <w:rFonts w:ascii="Barlow Condensed SemiBold" w:hAnsi="Barlow Condensed SemiBold" w:cs="Barlow Condensed SemiBold" w:eastAsia="Barlow Condensed SemiBold"/>
          <w:color w:val="007614"/>
          <w:sz w:val="30"/>
          <w:szCs w:val="30"/>
        </w:rPr>
        <w:t xml:space="preserve">5.4 Agregação dentro de cada dimensão</w:t>
      </w:r>
      <w:bookmarkEnd w:id="32"/>
    </w:p>
    <w:p>
      <w:pPr>
        <w:spacing w:before="0" w:after="140" w:line="300" w:lineRule="auto"/>
        <w:jc w:val="both"/>
      </w:pPr>
      <w:r>
        <w:rPr>
          <w:rFonts w:ascii="Barlow" w:hAnsi="Barlow" w:cs="Barlow" w:eastAsia="Barlow"/>
          <w:color w:val="0F2440"/>
          <w:sz w:val="20"/>
          <w:szCs w:val="20"/>
        </w:rPr>
        <w:t xml:space="preserve">Os escores z dos três indicadores de cada dimensão são somados com pesos iguais e a soma é repadronizada:</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60" w:line="300" w:lineRule="auto"/>
              <w:jc w:val="center"/>
            </w:pPr>
            <w:r>
              <w:rPr>
                <w:rFonts w:ascii="Barlow" w:hAnsi="Barlow" w:cs="Barlow" w:eastAsia="Barlow"/>
                <w:i/>
                <w:iCs/>
                <w:color w:val="01366F"/>
                <w:sz w:val="23"/>
                <w:szCs w:val="23"/>
              </w:rPr>
              <w:t xml:space="preserve">Z(E) = padronização de [ z(E1) + z(E2) + z(E3) ]</w:t>
            </w:r>
          </w:p>
          <w:p>
            <w:pPr>
              <w:spacing w:before="0" w:after="0" w:line="300" w:lineRule="auto"/>
              <w:jc w:val="center"/>
            </w:pPr>
            <w:r>
              <w:rPr>
                <w:rFonts w:ascii="Barlow" w:hAnsi="Barlow" w:cs="Barlow" w:eastAsia="Barlow"/>
                <w:i/>
                <w:iCs/>
                <w:color w:val="01366F"/>
                <w:sz w:val="23"/>
                <w:szCs w:val="23"/>
              </w:rPr>
              <w:t xml:space="preserve">Z(S) = padronização de [ z(S1) + z(S2) + z(S3) ]</w:t>
            </w:r>
          </w:p>
        </w:tc>
      </w:tr>
    </w:tbl>
    <w:p>
      <w:pPr>
        <w:spacing w:before="0" w:after="0" w:line="160" w:lineRule="exact"/>
        <w:jc w:val="both"/>
      </w:pPr>
    </w:p>
    <w:p>
      <w:pPr>
        <w:spacing w:before="0" w:after="140" w:line="300" w:lineRule="auto"/>
        <w:jc w:val="both"/>
      </w:pPr>
      <w:r>
        <w:rPr>
          <w:rFonts w:ascii="Barlow" w:hAnsi="Barlow" w:cs="Barlow" w:eastAsia="Barlow"/>
          <w:color w:val="0F2440"/>
          <w:sz w:val="20"/>
          <w:szCs w:val="20"/>
        </w:rPr>
        <w:t xml:space="preserve">A repadronização é indispensável: sem ela, a dimensão cujos indicadores são mais correlacionados entre si teria soma de maior variância e dominaria o escore, um peso implícito não declarado. A média e o desvio-padrão usados nessa repadronização também são fixados na edição de referência, como os dos indicadores.</w:t>
      </w:r>
    </w:p>
    <w:p>
      <w:pPr>
        <w:pStyle w:val="Heading2"/>
        <w:keepNext/>
        <w:spacing w:before="340" w:after="120" w:line="264" w:lineRule="auto"/>
        <w:jc w:val="left"/>
      </w:pPr>
      <w:bookmarkStart w:id="33" w:name="_h25"/>
      <w:r>
        <w:rPr>
          <w:rFonts w:ascii="Barlow Condensed SemiBold" w:hAnsi="Barlow Condensed SemiBold" w:cs="Barlow Condensed SemiBold" w:eastAsia="Barlow Condensed SemiBold"/>
          <w:color w:val="007614"/>
          <w:sz w:val="30"/>
          <w:szCs w:val="30"/>
        </w:rPr>
        <w:t xml:space="preserve">5.5 Agregação entre dimensões</w:t>
      </w:r>
      <w:bookmarkEnd w:id="33"/>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0" w:line="300" w:lineRule="auto"/>
              <w:jc w:val="center"/>
            </w:pPr>
            <w:r>
              <w:rPr>
                <w:rFonts w:ascii="Barlow" w:hAnsi="Barlow" w:cs="Barlow" w:eastAsia="Barlow"/>
                <w:i/>
                <w:iCs/>
                <w:color w:val="01366F"/>
                <w:sz w:val="23"/>
                <w:szCs w:val="23"/>
              </w:rPr>
              <w:t xml:space="preserve">IVT* = Z(E) + Z(S)</w:t>
            </w:r>
          </w:p>
        </w:tc>
      </w:tr>
    </w:tbl>
    <w:p>
      <w:pPr>
        <w:spacing w:before="0" w:after="0" w:line="160" w:lineRule="exact"/>
        <w:jc w:val="both"/>
      </w:pPr>
    </w:p>
    <w:p>
      <w:pPr>
        <w:spacing w:before="0" w:after="140" w:line="300" w:lineRule="auto"/>
        <w:jc w:val="both"/>
      </w:pPr>
      <w:r>
        <w:rPr>
          <w:rFonts w:ascii="Barlow" w:hAnsi="Barlow" w:cs="Barlow" w:eastAsia="Barlow"/>
          <w:color w:val="0F2440"/>
          <w:sz w:val="20"/>
          <w:szCs w:val="20"/>
        </w:rPr>
        <w:t xml:space="preserve">O escore IVT* é centrado em zero: valores positivos indicam vulnerabilidade acima da média do universo; negativos, abaixo. A agregação aditiva é compensatória: alta exposição pode ser parcialmente compensada por baixa sensibilidade. Por isso, calcula-se em paralelo a versão geométrica, sobre as dimensões reescalonadas, e publicam-se os setores em que as duas versões mais divergem, que são os de perfil desbalanceado.</w:t>
      </w:r>
    </w:p>
    <w:p>
      <w:pPr>
        <w:pStyle w:val="Heading2"/>
        <w:keepNext/>
        <w:spacing w:before="340" w:after="120" w:line="264" w:lineRule="auto"/>
        <w:jc w:val="left"/>
      </w:pPr>
      <w:bookmarkStart w:id="34" w:name="_h26"/>
      <w:r>
        <w:rPr>
          <w:rFonts w:ascii="Barlow Condensed SemiBold" w:hAnsi="Barlow Condensed SemiBold" w:cs="Barlow Condensed SemiBold" w:eastAsia="Barlow Condensed SemiBold"/>
          <w:color w:val="007614"/>
          <w:sz w:val="30"/>
          <w:szCs w:val="30"/>
        </w:rPr>
        <w:t xml:space="preserve">5.6 Transformação para a escala de 0 a 1</w:t>
      </w:r>
      <w:bookmarkEnd w:id="34"/>
    </w:p>
    <w:p>
      <w:pPr>
        <w:spacing w:before="0" w:after="140" w:line="300" w:lineRule="auto"/>
        <w:jc w:val="both"/>
      </w:pPr>
      <w:r>
        <w:rPr>
          <w:rFonts w:ascii="Barlow" w:hAnsi="Barlow" w:cs="Barlow" w:eastAsia="Barlow"/>
          <w:color w:val="0F2440"/>
          <w:sz w:val="20"/>
          <w:szCs w:val="20"/>
        </w:rPr>
        <w:t xml:space="preserve">Para comunicação, o escore é repadronizado e transformado pela função de distribuição acumulada da normal padrão:</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0" w:line="300" w:lineRule="auto"/>
              <w:jc w:val="center"/>
            </w:pPr>
            <w:r>
              <w:rPr>
                <w:rFonts w:ascii="Barlow" w:hAnsi="Barlow" w:cs="Barlow" w:eastAsia="Barlow"/>
                <w:i/>
                <w:iCs/>
                <w:color w:val="01366F"/>
                <w:sz w:val="23"/>
                <w:szCs w:val="23"/>
              </w:rPr>
              <w:t xml:space="preserve">IVT = Φ( [ IVT − μ ] / σ* )</w:t>
            </w:r>
          </w:p>
        </w:tc>
      </w:tr>
    </w:tbl>
    <w:p>
      <w:pPr>
        <w:spacing w:before="0" w:after="0" w:line="160" w:lineRule="exact"/>
        <w:jc w:val="both"/>
      </w:pPr>
    </w:p>
    <w:p>
      <w:pPr>
        <w:spacing w:before="0" w:after="140" w:line="300" w:lineRule="auto"/>
        <w:jc w:val="both"/>
      </w:pPr>
      <w:r>
        <w:rPr>
          <w:rFonts w:ascii="Barlow" w:hAnsi="Barlow" w:cs="Barlow" w:eastAsia="Barlow"/>
          <w:color w:val="0F2440"/>
          <w:sz w:val="20"/>
          <w:szCs w:val="20"/>
        </w:rPr>
        <w:t xml:space="preserve">com μ</w:t>
      </w:r>
      <w:r>
        <w:rPr>
          <w:rFonts w:ascii="Barlow" w:hAnsi="Barlow" w:cs="Barlow" w:eastAsia="Barlow"/>
          <w:i/>
          <w:iCs/>
          <w:color w:val="0F2440"/>
          <w:sz w:val="20"/>
          <w:szCs w:val="20"/>
        </w:rPr>
        <w:t xml:space="preserve"> e σ</w:t>
      </w:r>
      <w:r>
        <w:rPr>
          <w:rFonts w:ascii="Barlow" w:hAnsi="Barlow" w:cs="Barlow" w:eastAsia="Barlow"/>
          <w:color w:val="0F2440"/>
          <w:sz w:val="20"/>
          <w:szCs w:val="20"/>
        </w:rPr>
        <w:t xml:space="preserve"> fixados na edição de referência. A transformação é monotônica: preserva o ordenamento, os quantis e as posições que delimitam os intervalos de incerteza, mas altera a largura desses intervalos na escala de 0 a 1. Valores maiores indicam maior vulnerabilidade, na convenção do Índice de Vulnerabilidade Social do Ipea (COSTA; MARGUTI, 2015). O valor transformado só equivale ao percentil do setor no universo se o escore tiver distribuição aproximadamente normal e, como μ</w:t>
      </w:r>
      <w:r>
        <w:rPr>
          <w:rFonts w:ascii="Barlow" w:hAnsi="Barlow" w:cs="Barlow" w:eastAsia="Barlow"/>
          <w:i/>
          <w:iCs/>
          <w:color w:val="0F2440"/>
          <w:sz w:val="20"/>
          <w:szCs w:val="20"/>
        </w:rPr>
        <w:t xml:space="preserve"> e σ</w:t>
      </w:r>
      <w:r>
        <w:rPr>
          <w:rFonts w:ascii="Barlow" w:hAnsi="Barlow" w:cs="Barlow" w:eastAsia="Barlow"/>
          <w:color w:val="0F2440"/>
          <w:sz w:val="20"/>
          <w:szCs w:val="20"/>
        </w:rPr>
        <w:t xml:space="preserve"> são fixos, apenas na edição de referência. Por isso, o percentil empírico, ponderado pela população como os quintis, é sempre publicado ao lado do valor transformado, e é ele que deve ser usado em frases como "mais vulnerável que 85% dos setores".</w:t>
      </w:r>
    </w:p>
    <w:p>
      <w:pPr>
        <w:pStyle w:val="Heading2"/>
        <w:keepNext/>
        <w:spacing w:before="340" w:after="120" w:line="264" w:lineRule="auto"/>
        <w:jc w:val="left"/>
      </w:pPr>
      <w:bookmarkStart w:id="35" w:name="_h27"/>
      <w:r>
        <w:rPr>
          <w:rFonts w:ascii="Barlow Condensed SemiBold" w:hAnsi="Barlow Condensed SemiBold" w:cs="Barlow Condensed SemiBold" w:eastAsia="Barlow Condensed SemiBold"/>
          <w:color w:val="007614"/>
          <w:sz w:val="30"/>
          <w:szCs w:val="30"/>
        </w:rPr>
        <w:t xml:space="preserve">5.7 Leitura exposição × sensibilidade</w:t>
      </w:r>
      <w:bookmarkEnd w:id="35"/>
    </w:p>
    <w:p>
      <w:pPr>
        <w:spacing w:before="0" w:after="140" w:line="300" w:lineRule="auto"/>
        <w:jc w:val="both"/>
      </w:pPr>
      <w:r>
        <w:rPr>
          <w:rFonts w:ascii="Barlow" w:hAnsi="Barlow" w:cs="Barlow" w:eastAsia="Barlow"/>
          <w:color w:val="0F2440"/>
          <w:sz w:val="20"/>
          <w:szCs w:val="20"/>
        </w:rPr>
        <w:t xml:space="preserve">O número único esconde a combinação que importa para a ação. Um setor de alta exposição e baixa sensibilidade pede, sobretudo, intervenção sobre o lugar (saneamento, drenagem, contenção de encosta); um setor de baixa exposição e alta sensibilidade pede, sobretudo, proteção às pessoas (busca ativa de crianças e idosos, proteção social). Por isso, toda publicação traz, além do IVT, o mapa das duas dimensões cruzadas em quatro quadrantes, como na Figura 2.</w:t>
      </w: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36" w:name="_f_2"/>
            <w:r>
              <w:rPr>
                <w:rFonts w:ascii="Barlow Condensed SemiBold" w:hAnsi="Barlow Condensed SemiBold" w:cs="Barlow Condensed SemiBold" w:eastAsia="Barlow Condensed SemiBold"/>
                <w:color w:val="007614"/>
                <w:sz w:val="21"/>
                <w:szCs w:val="21"/>
              </w:rPr>
              <w:t xml:space="preserve">Figura 2 – </w:t>
            </w:r>
            <w:r>
              <w:rPr>
                <w:rFonts w:ascii="Barlow Condensed SemiBold" w:hAnsi="Barlow Condensed SemiBold" w:cs="Barlow Condensed SemiBold" w:eastAsia="Barlow Condensed SemiBold"/>
                <w:color w:val="01366F"/>
                <w:sz w:val="21"/>
                <w:szCs w:val="21"/>
              </w:rPr>
              <w:t xml:space="preserve">Leitura combinada das dimensões de exposição e de sensibilidade</w:t>
            </w:r>
            <w:bookmarkEnd w:id="36"/>
          </w:p>
          <w:p>
            <w:pPr>
              <w:spacing w:before="0" w:after="0" w:line="240" w:lineRule="auto"/>
              <w:jc w:val="center"/>
            </w:pPr>
            <w:r>
              <w:drawing>
                <wp:inline distT="0" distB="0" distL="0" distR="0">
                  <wp:extent cx="5387340" cy="2487155"/>
                  <wp:effectExtent l="0" t="0" r="0" b="0"/>
                  <wp:docPr id="8" name="im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7.png"/>
                          <pic:cNvPicPr/>
                        </pic:nvPicPr>
                        <pic:blipFill>
                          <a:blip r:embed="rId11"/>
                          <a:stretch>
                            <a:fillRect/>
                          </a:stretch>
                        </pic:blipFill>
                        <pic:spPr>
                          <a:xfrm>
                            <a:off x="0" y="0"/>
                            <a:ext cx="5387340" cy="2487155"/>
                          </a:xfrm>
                          <a:prstGeom prst="rect">
                            <a:avLst/>
                          </a:prstGeom>
                        </pic:spPr>
                      </pic:pic>
                    </a:graphicData>
                  </a:graphic>
                </wp:inline>
              </w:drawing>
            </w:r>
          </w:p>
          <w:p>
            <w:pPr>
              <w:spacing w:before="60" w:after="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tc>
      </w:tr>
    </w:tbl>
    <w:p>
      <w:pPr>
        <w:spacing w:before="0" w:after="0" w:line="240" w:lineRule="exact"/>
        <w:jc w:val="both"/>
      </w:pPr>
    </w:p>
    <w:p>
      <w:pPr>
        <w:pStyle w:val="Heading2"/>
        <w:keepNext/>
        <w:spacing w:before="340" w:after="120" w:line="264" w:lineRule="auto"/>
        <w:jc w:val="left"/>
      </w:pPr>
      <w:bookmarkStart w:id="37" w:name="_h28"/>
      <w:r>
        <w:rPr>
          <w:rFonts w:ascii="Barlow Condensed SemiBold" w:hAnsi="Barlow Condensed SemiBold" w:cs="Barlow Condensed SemiBold" w:eastAsia="Barlow Condensed SemiBold"/>
          <w:color w:val="007614"/>
          <w:sz w:val="30"/>
          <w:szCs w:val="30"/>
        </w:rPr>
        <w:t xml:space="preserve">5.8 Categorização</w:t>
      </w:r>
      <w:bookmarkEnd w:id="37"/>
    </w:p>
    <w:p>
      <w:pPr>
        <w:spacing w:before="0" w:after="140" w:line="300" w:lineRule="auto"/>
        <w:jc w:val="both"/>
      </w:pPr>
      <w:r>
        <w:rPr>
          <w:rFonts w:ascii="Barlow" w:hAnsi="Barlow" w:cs="Barlow" w:eastAsia="Barlow"/>
          <w:color w:val="0F2440"/>
          <w:sz w:val="20"/>
          <w:szCs w:val="20"/>
        </w:rPr>
        <w:t xml:space="preserve">Os setores são classificados em quintis ponderados pela população do universo de referência. Diferentemente da versão anterior, não se associam às faixas recomendações automáticas de ação, como instalar uma SCS em 90 dias: o que fazer em cada setor é decidido na SCS, à luz do IVT, dos sinais do PVI e do conhecimento do território.</w:t>
      </w:r>
    </w:p>
    <w:p>
      <w:pPr>
        <w:pStyle w:val="Heading2"/>
        <w:keepNext/>
        <w:spacing w:before="340" w:after="120" w:line="264" w:lineRule="auto"/>
        <w:jc w:val="left"/>
      </w:pPr>
      <w:bookmarkStart w:id="38" w:name="_h29"/>
      <w:r>
        <w:rPr>
          <w:rFonts w:ascii="Barlow Condensed SemiBold" w:hAnsi="Barlow Condensed SemiBold" w:cs="Barlow Condensed SemiBold" w:eastAsia="Barlow Condensed SemiBold"/>
          <w:color w:val="007614"/>
          <w:sz w:val="30"/>
          <w:szCs w:val="30"/>
        </w:rPr>
        <w:t xml:space="preserve">5.9 Agregação para as unidades de leitura</w:t>
      </w:r>
      <w:bookmarkEnd w:id="38"/>
    </w:p>
    <w:p>
      <w:pPr>
        <w:spacing w:before="0" w:after="140" w:line="300" w:lineRule="auto"/>
        <w:jc w:val="both"/>
      </w:pPr>
      <w:r>
        <w:rPr>
          <w:rFonts w:ascii="Barlow" w:hAnsi="Barlow" w:cs="Barlow" w:eastAsia="Barlow"/>
          <w:color w:val="0F2440"/>
          <w:sz w:val="20"/>
          <w:szCs w:val="20"/>
        </w:rPr>
        <w:t xml:space="preserve">Para microáreas, áreas de UBS e territórios de SCS, publicam-se três medidas: o IVT médio ponderado pela população; a proporção da população residente em setores do quintil de maior vulnerabilidade; e o desvio-padrão do IVT entre os setores da unidade, como medida de heterogeneidade interna. A segunda medida é a mais útil para focalização, porque revela os bolsões que a média dilui.</w:t>
      </w:r>
    </w:p>
    <w:p>
      <w:pPr>
        <w:pStyle w:val="Heading2"/>
        <w:keepNext/>
        <w:spacing w:before="340" w:after="120" w:line="264" w:lineRule="auto"/>
        <w:jc w:val="left"/>
      </w:pPr>
      <w:bookmarkStart w:id="39" w:name="_h30"/>
      <w:r>
        <w:rPr>
          <w:rFonts w:ascii="Barlow Condensed SemiBold" w:hAnsi="Barlow Condensed SemiBold" w:cs="Barlow Condensed SemiBold" w:eastAsia="Barlow Condensed SemiBold"/>
          <w:color w:val="007614"/>
          <w:sz w:val="30"/>
          <w:szCs w:val="30"/>
        </w:rPr>
        <w:t xml:space="preserve">5.10 Incerteza e sensibilidade</w:t>
      </w:r>
      <w:bookmarkEnd w:id="39"/>
    </w:p>
    <w:p>
      <w:pPr>
        <w:spacing w:before="0" w:after="140" w:line="300" w:lineRule="auto"/>
        <w:jc w:val="both"/>
        <w:sectPr>
          <w:headerReference w:type="default" r:id="rId24"/>
          <w:headerReference w:type="even" r:id="rId17"/>
          <w:footerReference w:type="default" r:id="rId18"/>
          <w:footerReference w:type="even" r:id="rId19"/>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Nenhuma edição do IVT é publicada sem estimativa de incerteza. Dois procedimentos são obrigatórios (SAISANA; SALTELLI; TARANTOLA, 2005): (i) simulação dos numeradores, com mil réplicas por distribuição binomial para cada proporção, gerando para cada setor a mediana e o intervalo de 95% de sua posição no ordenamento; e (ii) análise de sensibilidade às escolhas metodológicas (pesos aleatórios, versão geométrica, valores alternativos do truncamento e do limiar de cobertura), com a proporção de setores que mudam de quintil e a frequência com que cada setor aparece no quintil de maior vulnerabilidade em todas as versões. Setores que aparecem no quintil superior em quase todas as versões são prioridade robusta; os demais, prioridade a confirmar com a cartografia social.</w:t>
      </w:r>
    </w:p>
    <w:p>
      <w:pPr>
        <w:pStyle w:val="Heading1"/>
        <w:pBdr>
          <w:bottom w:val="single" w:sz="12" w:space="10" w:color="007614"/>
        </w:pBdr>
        <w:spacing w:before="120" w:after="380" w:line="600" w:lineRule="exact"/>
        <w:jc w:val="left"/>
      </w:pPr>
      <w:bookmarkStart w:id="40" w:name="_h31"/>
      <w:r>
        <w:rPr>
          <w:rFonts w:ascii="Barlow Condensed" w:hAnsi="Barlow Condensed" w:cs="Barlow Condensed" w:eastAsia="Barlow Condensed"/>
          <w:b/>
          <w:bCs/>
          <w:color w:val="007614"/>
          <w:sz w:val="52"/>
          <w:szCs w:val="52"/>
        </w:rPr>
        <w:t xml:space="preserve">6 </w:t>
      </w:r>
      <w:r>
        <w:rPr>
          <w:rFonts w:ascii="Barlow Condensed" w:hAnsi="Barlow Condensed" w:cs="Barlow Condensed" w:eastAsia="Barlow Condensed"/>
          <w:b/>
          <w:bCs/>
          <w:color w:val="01366F"/>
          <w:sz w:val="52"/>
          <w:szCs w:val="52"/>
        </w:rPr>
        <w:t xml:space="preserve">PLANO DE VALIDAÇÃO</w:t>
      </w:r>
      <w:bookmarkEnd w:id="40"/>
    </w:p>
    <w:p>
      <w:pPr>
        <w:pStyle w:val="Heading2"/>
        <w:keepNext/>
        <w:spacing w:before="340" w:after="120" w:line="264" w:lineRule="auto"/>
        <w:jc w:val="left"/>
      </w:pPr>
      <w:bookmarkStart w:id="41" w:name="_h32"/>
      <w:r>
        <w:rPr>
          <w:rFonts w:ascii="Barlow Condensed SemiBold" w:hAnsi="Barlow Condensed SemiBold" w:cs="Barlow Condensed SemiBold" w:eastAsia="Barlow Condensed SemiBold"/>
          <w:color w:val="007614"/>
          <w:sz w:val="30"/>
          <w:szCs w:val="30"/>
        </w:rPr>
        <w:t xml:space="preserve">6.1 Validade de conteúdo, com participação do território</w:t>
      </w:r>
      <w:bookmarkEnd w:id="41"/>
    </w:p>
    <w:p>
      <w:pPr>
        <w:spacing w:before="0" w:after="140" w:line="300" w:lineRule="auto"/>
        <w:jc w:val="both"/>
      </w:pPr>
      <w:r>
        <w:rPr>
          <w:rFonts w:ascii="Barlow" w:hAnsi="Barlow" w:cs="Barlow" w:eastAsia="Barlow"/>
          <w:color w:val="0F2440"/>
          <w:sz w:val="20"/>
          <w:szCs w:val="20"/>
        </w:rPr>
        <w:t xml:space="preserve">Antes da primeira aplicação e a cada dois anos, a definição do construto e a cesta são submetidas a oficina de validação de conteúdo com pesquisadores populares das SCS, profissionais das equipes de APS e de Vigilância em Saúde e técnicos do CTIS. Para cada indicador, os participantes avaliam se ele representa uma condição que torna o dano à saúde mais provável no território (escala de 1 a 4) e registram condições relevantes que a cesta não capta. O índice de validade de conteúdo é a proporção de participantes que atribuem nota 3 ou 4 (LYNN, 1986). Indicadores com índice inferior a 0,78, limiar usual na literatura (POLIT; BECK, 2006), são revistos. Propostas de inclusão são examinadas segundo os critérios da seção 2.3. Qualquer alteração gera nova versão do índice e reprocessamento da série, nunca ajuste silencioso.</w:t>
      </w:r>
    </w:p>
    <w:p>
      <w:pPr>
        <w:pStyle w:val="Heading2"/>
        <w:keepNext/>
        <w:spacing w:before="340" w:after="120" w:line="264" w:lineRule="auto"/>
        <w:jc w:val="left"/>
      </w:pPr>
      <w:bookmarkStart w:id="42" w:name="_h33"/>
      <w:r>
        <w:rPr>
          <w:rFonts w:ascii="Barlow Condensed SemiBold" w:hAnsi="Barlow Condensed SemiBold" w:cs="Barlow Condensed SemiBold" w:eastAsia="Barlow Condensed SemiBold"/>
          <w:color w:val="007614"/>
          <w:sz w:val="30"/>
          <w:szCs w:val="30"/>
        </w:rPr>
        <w:t xml:space="preserve">6.2 Estrutura interna</w:t>
      </w:r>
      <w:bookmarkEnd w:id="42"/>
    </w:p>
    <w:p>
      <w:pPr>
        <w:spacing w:before="0" w:after="140" w:line="300" w:lineRule="auto"/>
        <w:jc w:val="both"/>
      </w:pPr>
      <w:r>
        <w:rPr>
          <w:rFonts w:ascii="Barlow" w:hAnsi="Barlow" w:cs="Barlow" w:eastAsia="Barlow"/>
          <w:color w:val="0F2440"/>
          <w:sz w:val="20"/>
          <w:szCs w:val="20"/>
        </w:rPr>
        <w:t xml:space="preserve">Com alguns milhares de setores por universo, a análise multivariada é plenamente executável: matriz de correlação de Spearman entre indicadores, com revisão de pares acima de 0,90; fator de inflação da variância, com limite de 5; adequação amostral de Kaiser-Meyer-Olkin; análise fatorial exploratória por dimensão, com retenção por análise paralela; e ômega de McDonald por dimensão, nunca para o índice inteiro, que não pressupõe unidimensionalidade. Correlação acima de 0,90 entre as duas dimensões indicaria que elas não são distintas e obrigaria à revisão da estrutura.</w:t>
      </w:r>
    </w:p>
    <w:p>
      <w:pPr>
        <w:pStyle w:val="Heading2"/>
        <w:keepNext/>
        <w:spacing w:before="340" w:after="120" w:line="264" w:lineRule="auto"/>
        <w:jc w:val="left"/>
      </w:pPr>
      <w:bookmarkStart w:id="43" w:name="_h34"/>
      <w:r>
        <w:rPr>
          <w:rFonts w:ascii="Barlow Condensed SemiBold" w:hAnsi="Barlow Condensed SemiBold" w:cs="Barlow Condensed SemiBold" w:eastAsia="Barlow Condensed SemiBold"/>
          <w:color w:val="007614"/>
          <w:sz w:val="30"/>
          <w:szCs w:val="30"/>
        </w:rPr>
        <w:t xml:space="preserve">6.3 Validade de critério: desfechos reservados</w:t>
      </w:r>
      <w:bookmarkEnd w:id="43"/>
    </w:p>
    <w:p>
      <w:pPr>
        <w:spacing w:before="0" w:after="140" w:line="300" w:lineRule="auto"/>
        <w:jc w:val="both"/>
      </w:pPr>
      <w:r>
        <w:rPr>
          <w:rFonts w:ascii="Barlow" w:hAnsi="Barlow" w:cs="Barlow" w:eastAsia="Barlow"/>
          <w:color w:val="0F2440"/>
          <w:sz w:val="20"/>
          <w:szCs w:val="20"/>
        </w:rPr>
        <w:t xml:space="preserve">O IVT é confrontado com desfechos de saúde mantidos fora do escore, calculados por setor de residência e agregados em três anos: incidência notificada de arboviroses (SINAN); incidência de tuberculose (SINAN); e proporção de nascidos vivos com baixo peso (SINASC). Para cada desfecho, reportam-se a razão de taxas entre o quintil de maior e o de menor vulnerabilidade, calculada com as contagens brutas agregadas por quintil (a suavização espacial dos desfechos é usada apenas nos mapas, porque inflaria a associação), com intervalo de confiança, e os índices absoluto e relativo de desigualdade (MACKENBACH; KUNST, 1997). A expectativa é de gradiente monotônico. A ausência de gradiente em um desfecho não invalida o índice por si, mas exige exame, porque pode refletir subnotificação diferencial, que é ela própria objeto da vigilância.</w:t>
      </w:r>
    </w:p>
    <w:p>
      <w:pPr>
        <w:pStyle w:val="Heading2"/>
        <w:keepNext/>
        <w:spacing w:before="340" w:after="120" w:line="264" w:lineRule="auto"/>
        <w:jc w:val="left"/>
      </w:pPr>
      <w:bookmarkStart w:id="44" w:name="_h35"/>
      <w:r>
        <w:rPr>
          <w:rFonts w:ascii="Barlow Condensed SemiBold" w:hAnsi="Barlow Condensed SemiBold" w:cs="Barlow Condensed SemiBold" w:eastAsia="Barlow Condensed SemiBold"/>
          <w:color w:val="007614"/>
          <w:sz w:val="30"/>
          <w:szCs w:val="30"/>
        </w:rPr>
        <w:t xml:space="preserve">6.4 Validade convergente com a cartografia social</w:t>
      </w:r>
      <w:bookmarkEnd w:id="44"/>
    </w:p>
    <w:p>
      <w:pPr>
        <w:spacing w:before="0" w:after="140" w:line="300" w:lineRule="auto"/>
        <w:jc w:val="both"/>
      </w:pPr>
      <w:r>
        <w:rPr>
          <w:rFonts w:ascii="Barlow" w:hAnsi="Barlow" w:cs="Barlow" w:eastAsia="Barlow"/>
          <w:color w:val="0F2440"/>
          <w:sz w:val="20"/>
          <w:szCs w:val="20"/>
        </w:rPr>
        <w:t xml:space="preserve">A cartografia social de cada SCS identifica as porções do território que os moradores reconhecem como mais vulneráveis. A concordância entre essas áreas e o quintil de maior IVT é medida pela proporção de concordância e pelo coeficiente kappa. As divergências não são tratadas como erro de um dos lados. Elas formam a </w:t>
      </w:r>
      <w:r>
        <w:rPr>
          <w:rFonts w:ascii="Barlow SemiBold" w:hAnsi="Barlow SemiBold" w:cs="Barlow SemiBold" w:eastAsia="Barlow SemiBold"/>
          <w:color w:val="01366F"/>
          <w:sz w:val="20"/>
          <w:szCs w:val="20"/>
        </w:rPr>
        <w:t xml:space="preserve">agenda de visibilização</w:t>
      </w:r>
      <w:r>
        <w:rPr>
          <w:rFonts w:ascii="Barlow" w:hAnsi="Barlow" w:cs="Barlow" w:eastAsia="Barlow"/>
          <w:color w:val="0F2440"/>
          <w:sz w:val="20"/>
          <w:szCs w:val="20"/>
        </w:rPr>
        <w:t xml:space="preserve">: onde o território vê vulnerabilidade que o índice não vê, investiga-se que condição os registros não captam; onde o índice aponta vulnerabilidade que o território não reconhece, investiga-se se o problema é da medida ou da visibilidade social da condição. É nesse ponto que o saber técnico e o saber do território se corrigem mutuamente, sem que um subordine o outro.</w:t>
      </w:r>
    </w:p>
    <w:p>
      <w:pPr>
        <w:pStyle w:val="Heading2"/>
        <w:keepNext/>
        <w:spacing w:before="340" w:after="120" w:line="264" w:lineRule="auto"/>
        <w:jc w:val="left"/>
      </w:pPr>
      <w:bookmarkStart w:id="45" w:name="_h36"/>
      <w:r>
        <w:rPr>
          <w:rFonts w:ascii="Barlow Condensed SemiBold" w:hAnsi="Barlow Condensed SemiBold" w:cs="Barlow Condensed SemiBold" w:eastAsia="Barlow Condensed SemiBold"/>
          <w:color w:val="007614"/>
          <w:sz w:val="30"/>
          <w:szCs w:val="30"/>
        </w:rPr>
        <w:t xml:space="preserve">6.5 Responsividade</w:t>
      </w:r>
      <w:bookmarkEnd w:id="45"/>
    </w:p>
    <w:p>
      <w:pPr>
        <w:spacing w:before="0" w:after="140" w:line="300" w:lineRule="auto"/>
        <w:jc w:val="both"/>
        <w:sectPr>
          <w:headerReference w:type="default" r:id="rId25"/>
          <w:headerReference w:type="even" r:id="rId17"/>
          <w:footerReference w:type="default" r:id="rId18"/>
          <w:footerReference w:type="even" r:id="rId19"/>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O IVT é calculado em três semestres consecutivos e a variação observada em cada setor é comparada à mudança mínima detectável, estimada pela simulação da seção 5.10. Um índice cuja variação semestral seja indistinguível do ruído serve ao diagnóstico, mas não ao monitoramento, e essa conclusão deve constar da nota técnica de cada edição.</w:t>
      </w:r>
    </w:p>
    <w:p>
      <w:pPr>
        <w:pStyle w:val="Heading1"/>
        <w:pBdr>
          <w:bottom w:val="single" w:sz="12" w:space="10" w:color="007614"/>
        </w:pBdr>
        <w:spacing w:before="120" w:after="380" w:line="600" w:lineRule="exact"/>
        <w:jc w:val="left"/>
      </w:pPr>
      <w:bookmarkStart w:id="46" w:name="_h37"/>
      <w:r>
        <w:rPr>
          <w:rFonts w:ascii="Barlow Condensed" w:hAnsi="Barlow Condensed" w:cs="Barlow Condensed" w:eastAsia="Barlow Condensed"/>
          <w:b/>
          <w:bCs/>
          <w:color w:val="007614"/>
          <w:sz w:val="52"/>
          <w:szCs w:val="52"/>
        </w:rPr>
        <w:t xml:space="preserve">7 </w:t>
      </w:r>
      <w:r>
        <w:rPr>
          <w:rFonts w:ascii="Barlow Condensed" w:hAnsi="Barlow Condensed" w:cs="Barlow Condensed" w:eastAsia="Barlow Condensed"/>
          <w:b/>
          <w:bCs/>
          <w:color w:val="01366F"/>
          <w:sz w:val="52"/>
          <w:szCs w:val="52"/>
        </w:rPr>
        <w:t xml:space="preserve">PARTICIPAÇÃO DO TERRITÓRIO: SEPARAR MEDIR DE DELIBERAR</w:t>
      </w:r>
      <w:bookmarkEnd w:id="46"/>
    </w:p>
    <w:p>
      <w:pPr>
        <w:pStyle w:val="Heading2"/>
        <w:keepNext/>
        <w:spacing w:before="340" w:after="120" w:line="264" w:lineRule="auto"/>
        <w:jc w:val="left"/>
      </w:pPr>
      <w:bookmarkStart w:id="47" w:name="_h38"/>
      <w:r>
        <w:rPr>
          <w:rFonts w:ascii="Barlow Condensed SemiBold" w:hAnsi="Barlow Condensed SemiBold" w:cs="Barlow Condensed SemiBold" w:eastAsia="Barlow Condensed SemiBold"/>
          <w:color w:val="007614"/>
          <w:sz w:val="30"/>
          <w:szCs w:val="30"/>
        </w:rPr>
        <w:t xml:space="preserve">7.1 Por que a calibração de pesos por território foi substituída</w:t>
      </w:r>
      <w:bookmarkEnd w:id="47"/>
    </w:p>
    <w:p>
      <w:pPr>
        <w:spacing w:before="0" w:after="140" w:line="300" w:lineRule="auto"/>
        <w:jc w:val="both"/>
      </w:pPr>
      <w:r>
        <w:rPr>
          <w:rFonts w:ascii="Barlow" w:hAnsi="Barlow" w:cs="Barlow" w:eastAsia="Barlow"/>
          <w:color w:val="0F2440"/>
          <w:sz w:val="20"/>
          <w:szCs w:val="20"/>
        </w:rPr>
        <w:t xml:space="preserve">A versão anterior previa que cada SCS recalibrasse semestralmente os pesos dos indicadores por meio da Matriz UIC (urgência, impacto e capacidade de agência). A intenção era legítima, mas o procedimento misturava duas operações de natureza distinta. Os pesos de um índice definem o que o número significa; a Matriz UIC expressa o que o território considera prioritário fazer. Ao converter prioridade de ação em peso de medida, o índice passava a significar coisas diferentes em cada território e em cada semestre, perdia a comparabilidade entre setores e ao longo do tempo e não podia mais acompanhar mudanças. A dimensão "capacidade de agência" da matriz, além disso, reintroduzia no peso a capacidade, que o modelo conceitual exclui.</w:t>
      </w:r>
    </w:p>
    <w:p>
      <w:pPr>
        <w:spacing w:before="0" w:after="140" w:line="300" w:lineRule="auto"/>
        <w:jc w:val="both"/>
      </w:pPr>
      <w:r>
        <w:rPr>
          <w:rFonts w:ascii="Barlow" w:hAnsi="Barlow" w:cs="Barlow" w:eastAsia="Barlow"/>
          <w:color w:val="0F2440"/>
          <w:sz w:val="20"/>
          <w:szCs w:val="20"/>
        </w:rPr>
        <w:t xml:space="preserve">A participação não diminui; muda de lugar. O território passa a intervir em três pontos, cada um com efeito definido sobre a medida ou sobre a decisão.</w:t>
      </w:r>
    </w:p>
    <w:p>
      <w:pPr>
        <w:pStyle w:val="Heading2"/>
        <w:keepNext/>
        <w:spacing w:before="340" w:after="120" w:line="264" w:lineRule="auto"/>
        <w:jc w:val="left"/>
      </w:pPr>
      <w:bookmarkStart w:id="48" w:name="_h39"/>
      <w:r>
        <w:rPr>
          <w:rFonts w:ascii="Barlow Condensed SemiBold" w:hAnsi="Barlow Condensed SemiBold" w:cs="Barlow Condensed SemiBold" w:eastAsia="Barlow Condensed SemiBold"/>
          <w:color w:val="007614"/>
          <w:sz w:val="30"/>
          <w:szCs w:val="30"/>
        </w:rPr>
        <w:t xml:space="preserve">7.2 Validação de conteúdo</w:t>
      </w:r>
      <w:bookmarkEnd w:id="48"/>
    </w:p>
    <w:p>
      <w:pPr>
        <w:spacing w:before="0" w:after="140" w:line="300" w:lineRule="auto"/>
        <w:jc w:val="both"/>
      </w:pPr>
      <w:r>
        <w:rPr>
          <w:rFonts w:ascii="Barlow" w:hAnsi="Barlow" w:cs="Barlow" w:eastAsia="Barlow"/>
          <w:color w:val="0F2440"/>
          <w:sz w:val="20"/>
          <w:szCs w:val="20"/>
        </w:rPr>
        <w:t xml:space="preserve">É a oficina bienal descrita na seção 6.1. Nela o território decide, com os técnicos, se a cesta representa o que torna o dano mais provável. Suas conclusões alteram a medida, mas apenas por nova versão, com reprocessamento da série.</w:t>
      </w:r>
    </w:p>
    <w:p>
      <w:pPr>
        <w:pStyle w:val="Heading2"/>
        <w:keepNext/>
        <w:spacing w:before="340" w:after="120" w:line="264" w:lineRule="auto"/>
        <w:jc w:val="left"/>
      </w:pPr>
      <w:bookmarkStart w:id="49" w:name="_h40"/>
      <w:r>
        <w:rPr>
          <w:rFonts w:ascii="Barlow Condensed SemiBold" w:hAnsi="Barlow Condensed SemiBold" w:cs="Barlow Condensed SemiBold" w:eastAsia="Barlow Condensed SemiBold"/>
          <w:color w:val="007614"/>
          <w:sz w:val="30"/>
          <w:szCs w:val="30"/>
        </w:rPr>
        <w:t xml:space="preserve">7.3 Verificação territorial e visibilização</w:t>
      </w:r>
      <w:bookmarkEnd w:id="49"/>
    </w:p>
    <w:p>
      <w:pPr>
        <w:spacing w:before="0" w:after="140" w:line="300" w:lineRule="auto"/>
        <w:jc w:val="both"/>
      </w:pPr>
      <w:r>
        <w:rPr>
          <w:rFonts w:ascii="Barlow" w:hAnsi="Barlow" w:cs="Barlow" w:eastAsia="Barlow"/>
          <w:color w:val="0F2440"/>
          <w:sz w:val="20"/>
          <w:szCs w:val="20"/>
        </w:rPr>
        <w:t xml:space="preserve">A cartografia social e a vigilância popular revelam o que os registros não veem. O protocolo de verificação converte esse conhecimento em correção da medida oficial, conforme o Quadro 7 e a Figura 3.</w:t>
      </w:r>
    </w:p>
    <w:p>
      <w:pPr>
        <w:keepNext/>
        <w:spacing w:before="200" w:after="100" w:line="264" w:lineRule="auto"/>
        <w:jc w:val="left"/>
      </w:pPr>
      <w:bookmarkStart w:id="50" w:name="_q_7"/>
      <w:r>
        <w:rPr>
          <w:rFonts w:ascii="Barlow Condensed SemiBold" w:hAnsi="Barlow Condensed SemiBold" w:cs="Barlow Condensed SemiBold" w:eastAsia="Barlow Condensed SemiBold"/>
          <w:color w:val="007614"/>
          <w:sz w:val="21"/>
          <w:szCs w:val="21"/>
        </w:rPr>
        <w:t xml:space="preserve">Quadro 7 – </w:t>
      </w:r>
      <w:r>
        <w:rPr>
          <w:rFonts w:ascii="Barlow Condensed SemiBold" w:hAnsi="Barlow Condensed SemiBold" w:cs="Barlow Condensed SemiBold" w:eastAsia="Barlow Condensed SemiBold"/>
          <w:color w:val="01366F"/>
          <w:sz w:val="21"/>
          <w:szCs w:val="21"/>
        </w:rPr>
        <w:t xml:space="preserve">Protocolo de verificação territorial: da invisibilidade ao registro oficial</w:t>
      </w:r>
      <w:bookmarkEnd w:id="50"/>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298"/>
        <w:gridCol w:w="2476"/>
        <w:gridCol w:w="1944"/>
        <w:gridCol w:w="2126"/>
      </w:tblGrid>
      <w:tr>
        <w:trPr>
          <w:tblHeader/>
          <w:cantSplit/>
        </w:trPr>
        <w:tc>
          <w:tcPr>
            <w:tcW w:w="229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 território identifica</w:t>
            </w:r>
          </w:p>
        </w:tc>
        <w:tc>
          <w:tcPr>
            <w:tcW w:w="247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Verificação</w:t>
            </w:r>
          </w:p>
        </w:tc>
        <w:tc>
          <w:tcPr>
            <w:tcW w:w="194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Quem incorpora</w:t>
            </w:r>
          </w:p>
        </w:tc>
        <w:tc>
          <w:tcPr>
            <w:tcW w:w="212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Efeito no IVT</w:t>
            </w:r>
          </w:p>
        </w:tc>
      </w:tr>
      <w:tr>
        <w:trPr>
          <w:cantSplit/>
        </w:trPr>
        <w:tc>
          <w:tcPr>
            <w:tcW w:w="229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Domicílios ou famílias não cadastrados na ESF</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Visita do agente comunitário com o pesquisador popular</w:t>
            </w:r>
          </w:p>
        </w:tc>
        <w:tc>
          <w:tcPr>
            <w:tcW w:w="194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Equipe de APS (cadastro e-SUS)</w:t>
            </w:r>
          </w:p>
        </w:tc>
        <w:tc>
          <w:tcPr>
            <w:tcW w:w="212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Revisão de medida: inclusões marcadas e somadas também ao período-base</w:t>
            </w:r>
          </w:p>
        </w:tc>
      </w:tr>
      <w:tr>
        <w:trPr>
          <w:cantSplit/>
        </w:trPr>
        <w:tc>
          <w:tcPr>
            <w:tcW w:w="229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Área de alagamento, enxurrada ou deslizamento fora do mapa oficial</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Vistoria conjunta da Defesa Civil com a SCS</w:t>
            </w:r>
          </w:p>
        </w:tc>
        <w:tc>
          <w:tcPr>
            <w:tcW w:w="194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Defesa Civil (camada de risco)</w:t>
            </w:r>
          </w:p>
        </w:tc>
        <w:tc>
          <w:tcPr>
            <w:tcW w:w="212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Incorporada a E3, com reprocessamento retroativo da série</w:t>
            </w:r>
          </w:p>
        </w:tc>
      </w:tr>
      <w:tr>
        <w:trPr>
          <w:cantSplit/>
        </w:trPr>
        <w:tc>
          <w:tcPr>
            <w:tcW w:w="229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Famílias de baixa renda fora do Cadastro Único</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Encaminhamento ao CRAS</w:t>
            </w:r>
          </w:p>
        </w:tc>
        <w:tc>
          <w:tcPr>
            <w:tcW w:w="194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Gestão do Cadastro Único</w:t>
            </w:r>
          </w:p>
        </w:tc>
        <w:tc>
          <w:tcPr>
            <w:tcW w:w="212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Revisão de medida: inclusões marcadas e somadas também ao período-base</w:t>
            </w:r>
          </w:p>
        </w:tc>
      </w:tr>
      <w:tr>
        <w:trPr>
          <w:cantSplit/>
        </w:trPr>
        <w:tc>
          <w:tcPr>
            <w:tcW w:w="2298"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Divergência entre o mapa da SCS e o quintil do IVT</w:t>
            </w:r>
          </w:p>
        </w:tc>
        <w:tc>
          <w:tcPr>
            <w:tcW w:w="2476"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Exame conjunto na SCS</w:t>
            </w:r>
          </w:p>
        </w:tc>
        <w:tc>
          <w:tcPr>
            <w:tcW w:w="1944"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Equipe técnica do CTIS</w:t>
            </w:r>
          </w:p>
        </w:tc>
        <w:tc>
          <w:tcPr>
            <w:tcW w:w="2126"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Agenda de validação de conteúdo da versão seguinte</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51" w:name="_f_3"/>
            <w:r>
              <w:rPr>
                <w:rFonts w:ascii="Barlow Condensed SemiBold" w:hAnsi="Barlow Condensed SemiBold" w:cs="Barlow Condensed SemiBold" w:eastAsia="Barlow Condensed SemiBold"/>
                <w:color w:val="007614"/>
                <w:sz w:val="21"/>
                <w:szCs w:val="21"/>
              </w:rPr>
              <w:t xml:space="preserve">Figura 3 – </w:t>
            </w:r>
            <w:r>
              <w:rPr>
                <w:rFonts w:ascii="Barlow Condensed SemiBold" w:hAnsi="Barlow Condensed SemiBold" w:cs="Barlow Condensed SemiBold" w:eastAsia="Barlow Condensed SemiBold"/>
                <w:color w:val="01366F"/>
                <w:sz w:val="21"/>
                <w:szCs w:val="21"/>
              </w:rPr>
              <w:t xml:space="preserve">Do conhecimento do território à correção da medida oficial</w:t>
            </w:r>
            <w:bookmarkEnd w:id="51"/>
          </w:p>
          <w:p>
            <w:pPr>
              <w:spacing w:before="0" w:after="0" w:line="240" w:lineRule="auto"/>
              <w:jc w:val="center"/>
            </w:pPr>
            <w:r>
              <w:drawing>
                <wp:inline distT="0" distB="0" distL="0" distR="0">
                  <wp:extent cx="5387340" cy="2900184"/>
                  <wp:effectExtent l="0" t="0" r="0" b="0"/>
                  <wp:docPr id="10" name="im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9.png"/>
                          <pic:cNvPicPr/>
                        </pic:nvPicPr>
                        <pic:blipFill>
                          <a:blip r:embed="rId12"/>
                          <a:stretch>
                            <a:fillRect/>
                          </a:stretch>
                        </pic:blipFill>
                        <pic:spPr>
                          <a:xfrm>
                            <a:off x="0" y="0"/>
                            <a:ext cx="5387340" cy="2900184"/>
                          </a:xfrm>
                          <a:prstGeom prst="rect">
                            <a:avLst/>
                          </a:prstGeom>
                        </pic:spPr>
                      </pic:pic>
                    </a:graphicData>
                  </a:graphic>
                </wp:inline>
              </w:drawing>
            </w:r>
          </w:p>
          <w:p>
            <w:pPr>
              <w:spacing w:before="60" w:after="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tc>
      </w:tr>
    </w:tbl>
    <w:p>
      <w:pPr>
        <w:spacing w:before="0" w:after="0" w:line="240" w:lineRule="exact"/>
        <w:jc w:val="both"/>
      </w:pPr>
    </w:p>
    <w:p>
      <w:pPr>
        <w:spacing w:before="0" w:after="140" w:line="300" w:lineRule="auto"/>
        <w:jc w:val="both"/>
      </w:pPr>
      <w:r>
        <w:rPr>
          <w:rFonts w:ascii="Barlow" w:hAnsi="Barlow" w:cs="Barlow" w:eastAsia="Barlow"/>
          <w:color w:val="0F2440"/>
          <w:sz w:val="20"/>
          <w:szCs w:val="20"/>
        </w:rPr>
        <w:t xml:space="preserve">Uma regra protege a série contra a confusão entre melhoria da medida e mudança da realidade: </w:t>
      </w:r>
      <w:r>
        <w:rPr>
          <w:rFonts w:ascii="Barlow SemiBold" w:hAnsi="Barlow SemiBold" w:cs="Barlow SemiBold" w:eastAsia="Barlow SemiBold"/>
          <w:color w:val="01366F"/>
          <w:sz w:val="20"/>
          <w:szCs w:val="20"/>
        </w:rPr>
        <w:t xml:space="preserve">toda incorporação produzida pela verificação territorial é registrada como revisão de medida</w:t>
      </w:r>
      <w:r>
        <w:rPr>
          <w:rFonts w:ascii="Barlow" w:hAnsi="Barlow" w:cs="Barlow" w:eastAsia="Barlow"/>
          <w:color w:val="0F2440"/>
          <w:sz w:val="20"/>
          <w:szCs w:val="20"/>
        </w:rPr>
        <w:t xml:space="preserve">. A área de risco reconhecida em 2027 existia antes de ser reconhecida; por isso, a camada corrigida é aplicada a toda a série, e o aumento de E3 não aparece como piora do território. O mesmo vale para os registros: domicílios cadastrados no e-SUS APS e famílias inscritas no Cadastro Único a partir da verificação territorial recebem marca de origem e são somados tanto ao período corrente quanto ao período-base da regra de encadeamento. Sem essa marca, o cadastramento de domicílios aumentaria o denominador e reduziria artificialmente S1 e E2, e a inscrição de famílias pobres aumentaria o numerador e apareceria como piora. O número de invisibilidades incorporadas, por sua vez, é exatamente o que o PVI registra como indicador de visibilização social.</w:t>
      </w:r>
    </w:p>
    <w:p>
      <w:pPr>
        <w:pStyle w:val="Heading2"/>
        <w:keepNext/>
        <w:spacing w:before="340" w:after="120" w:line="264" w:lineRule="auto"/>
        <w:jc w:val="left"/>
      </w:pPr>
      <w:bookmarkStart w:id="52" w:name="_h41"/>
      <w:r>
        <w:rPr>
          <w:rFonts w:ascii="Barlow Condensed SemiBold" w:hAnsi="Barlow Condensed SemiBold" w:cs="Barlow Condensed SemiBold" w:eastAsia="Barlow Condensed SemiBold"/>
          <w:color w:val="007614"/>
          <w:sz w:val="30"/>
          <w:szCs w:val="30"/>
        </w:rPr>
        <w:t xml:space="preserve">7.4 Leitura, priorização e devolução</w:t>
      </w:r>
      <w:bookmarkEnd w:id="52"/>
    </w:p>
    <w:p>
      <w:pPr>
        <w:spacing w:before="0" w:after="140" w:line="300" w:lineRule="auto"/>
        <w:jc w:val="both"/>
        <w:sectPr>
          <w:headerReference w:type="default" r:id="rId26"/>
          <w:headerReference w:type="even" r:id="rId17"/>
          <w:footerReference w:type="default" r:id="rId18"/>
          <w:footerReference w:type="even" r:id="rId19"/>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Os resultados do IVT são apresentados primeiro à SCS, em linguagem acessível, com o mapa por setor, a leitura em quadrantes, os intervalos de incerteza e os metaindicadores de cobertura. A SCS interpreta os resultados à luz do que conhece e delibera prioridades. A Matriz UIC é aplicada aqui, sobre os </w:t>
      </w:r>
      <w:r>
        <w:rPr>
          <w:rFonts w:ascii="Barlow SemiBold" w:hAnsi="Barlow SemiBold" w:cs="Barlow SemiBold" w:eastAsia="Barlow SemiBold"/>
          <w:color w:val="01366F"/>
          <w:sz w:val="20"/>
          <w:szCs w:val="20"/>
        </w:rPr>
        <w:t xml:space="preserve">problemas</w:t>
      </w:r>
      <w:r>
        <w:rPr>
          <w:rFonts w:ascii="Barlow" w:hAnsi="Barlow" w:cs="Barlow" w:eastAsia="Barlow"/>
          <w:color w:val="0F2440"/>
          <w:sz w:val="20"/>
          <w:szCs w:val="20"/>
        </w:rPr>
        <w:t xml:space="preserve"> identificados, e não sobre os pesos dos indicadores. Só depois dessa devolução os resultados são comunicados à gestão ou publicados, e o relatório técnico incorpora as observações da SCS como seção obrigatória.</w:t>
      </w:r>
    </w:p>
    <w:p>
      <w:pPr>
        <w:pStyle w:val="Heading1"/>
        <w:pBdr>
          <w:bottom w:val="single" w:sz="12" w:space="10" w:color="007614"/>
        </w:pBdr>
        <w:spacing w:before="120" w:after="380" w:line="600" w:lineRule="exact"/>
        <w:jc w:val="left"/>
      </w:pPr>
      <w:bookmarkStart w:id="53" w:name="_h42"/>
      <w:r>
        <w:rPr>
          <w:rFonts w:ascii="Barlow Condensed" w:hAnsi="Barlow Condensed" w:cs="Barlow Condensed" w:eastAsia="Barlow Condensed"/>
          <w:b/>
          <w:bCs/>
          <w:color w:val="007614"/>
          <w:sz w:val="52"/>
          <w:szCs w:val="52"/>
        </w:rPr>
        <w:t xml:space="preserve">8 </w:t>
      </w:r>
      <w:r>
        <w:rPr>
          <w:rFonts w:ascii="Barlow Condensed" w:hAnsi="Barlow Condensed" w:cs="Barlow Condensed" w:eastAsia="Barlow Condensed"/>
          <w:b/>
          <w:bCs/>
          <w:color w:val="01366F"/>
          <w:sz w:val="52"/>
          <w:szCs w:val="52"/>
        </w:rPr>
        <w:t xml:space="preserve">USOS, VEDAÇÕES E LIMITES</w:t>
      </w:r>
      <w:bookmarkEnd w:id="53"/>
    </w:p>
    <w:p>
      <w:pPr>
        <w:pStyle w:val="Heading2"/>
        <w:keepNext/>
        <w:spacing w:before="340" w:after="120" w:line="264" w:lineRule="auto"/>
        <w:jc w:val="left"/>
      </w:pPr>
      <w:bookmarkStart w:id="54" w:name="_h43"/>
      <w:r>
        <w:rPr>
          <w:rFonts w:ascii="Barlow Condensed SemiBold" w:hAnsi="Barlow Condensed SemiBold" w:cs="Barlow Condensed SemiBold" w:eastAsia="Barlow Condensed SemiBold"/>
          <w:color w:val="007614"/>
          <w:sz w:val="30"/>
          <w:szCs w:val="30"/>
        </w:rPr>
        <w:t xml:space="preserve">8.1 Usos previstos</w:t>
      </w:r>
      <w:bookmarkEnd w:id="54"/>
    </w:p>
    <w:p>
      <w:pPr>
        <w:pStyle w:val="ListParagraph"/>
        <w:numPr>
          <w:ilvl w:val="0"/>
          <w:numId w:val="15"/>
        </w:numPr>
        <w:spacing w:before="0" w:after="80" w:line="290" w:lineRule="auto"/>
        <w:jc w:val="both"/>
      </w:pPr>
      <w:r>
        <w:rPr>
          <w:rFonts w:ascii="Barlow SemiBold" w:hAnsi="Barlow SemiBold" w:cs="Barlow SemiBold" w:eastAsia="Barlow SemiBold"/>
          <w:color w:val="01366F"/>
          <w:sz w:val="20"/>
          <w:szCs w:val="20"/>
        </w:rPr>
        <w:t xml:space="preserve">Mapa-base da vigilância integrada:</w:t>
      </w:r>
      <w:r>
        <w:rPr>
          <w:rFonts w:ascii="Barlow" w:hAnsi="Barlow" w:cs="Barlow" w:eastAsia="Barlow"/>
          <w:color w:val="0F2440"/>
          <w:sz w:val="20"/>
          <w:szCs w:val="20"/>
        </w:rPr>
        <w:t xml:space="preserve"> os alertas da vigilância popular e as notificações da vigilância tradicional são lidos sobre o mapa do IVT, o que permite distinguir um sinal em setor de baixa vulnerabilidade de um sinal em setor do quintil superior.</w:t>
      </w:r>
    </w:p>
    <w:p>
      <w:pPr>
        <w:pStyle w:val="ListParagraph"/>
        <w:numPr>
          <w:ilvl w:val="0"/>
          <w:numId w:val="15"/>
        </w:numPr>
        <w:spacing w:before="0" w:after="80" w:line="290" w:lineRule="auto"/>
        <w:jc w:val="both"/>
      </w:pPr>
      <w:r>
        <w:rPr>
          <w:rFonts w:ascii="Barlow SemiBold" w:hAnsi="Barlow SemiBold" w:cs="Barlow SemiBold" w:eastAsia="Barlow SemiBold"/>
          <w:color w:val="01366F"/>
          <w:sz w:val="20"/>
          <w:szCs w:val="20"/>
        </w:rPr>
        <w:t xml:space="preserve">Focalização:</w:t>
      </w:r>
      <w:r>
        <w:rPr>
          <w:rFonts w:ascii="Barlow" w:hAnsi="Barlow" w:cs="Barlow" w:eastAsia="Barlow"/>
          <w:color w:val="0F2440"/>
          <w:sz w:val="20"/>
          <w:szCs w:val="20"/>
        </w:rPr>
        <w:t xml:space="preserve"> ordem de busca ativa, de visitas domiciliares e de ações dos agentes de combate às endemias, com prioridade aos setores robustamente classificados no quintil superior.</w:t>
      </w:r>
    </w:p>
    <w:p>
      <w:pPr>
        <w:pStyle w:val="ListParagraph"/>
        <w:numPr>
          <w:ilvl w:val="0"/>
          <w:numId w:val="15"/>
        </w:numPr>
        <w:spacing w:before="0" w:after="80" w:line="290" w:lineRule="auto"/>
        <w:jc w:val="both"/>
      </w:pPr>
      <w:r>
        <w:rPr>
          <w:rFonts w:ascii="Barlow SemiBold" w:hAnsi="Barlow SemiBold" w:cs="Barlow SemiBold" w:eastAsia="Barlow SemiBold"/>
          <w:color w:val="01366F"/>
          <w:sz w:val="20"/>
          <w:szCs w:val="20"/>
        </w:rPr>
        <w:t xml:space="preserve">Agenda da SCS:</w:t>
      </w:r>
      <w:r>
        <w:rPr>
          <w:rFonts w:ascii="Barlow" w:hAnsi="Barlow" w:cs="Barlow" w:eastAsia="Barlow"/>
          <w:color w:val="0F2440"/>
          <w:sz w:val="20"/>
          <w:szCs w:val="20"/>
        </w:rPr>
        <w:t xml:space="preserve"> insumo para a deliberação de prioridades e para a atualização do Plano Popular.</w:t>
      </w:r>
    </w:p>
    <w:p>
      <w:pPr>
        <w:pStyle w:val="ListParagraph"/>
        <w:numPr>
          <w:ilvl w:val="0"/>
          <w:numId w:val="15"/>
        </w:numPr>
        <w:spacing w:before="0" w:after="180" w:line="290" w:lineRule="auto"/>
        <w:jc w:val="both"/>
      </w:pPr>
      <w:r>
        <w:rPr>
          <w:rFonts w:ascii="Barlow SemiBold" w:hAnsi="Barlow SemiBold" w:cs="Barlow SemiBold" w:eastAsia="Barlow SemiBold"/>
          <w:color w:val="01366F"/>
          <w:sz w:val="20"/>
          <w:szCs w:val="20"/>
        </w:rPr>
        <w:t xml:space="preserve">Advocacy:</w:t>
      </w:r>
      <w:r>
        <w:rPr>
          <w:rFonts w:ascii="Barlow" w:hAnsi="Barlow" w:cs="Barlow" w:eastAsia="Barlow"/>
          <w:color w:val="0F2440"/>
          <w:sz w:val="20"/>
          <w:szCs w:val="20"/>
        </w:rPr>
        <w:t xml:space="preserve"> combinado com o INS, sustenta a reivindicação de recursos e de obras junto à gestão.</w:t>
      </w:r>
    </w:p>
    <w:p>
      <w:pPr>
        <w:pStyle w:val="Heading2"/>
        <w:keepNext/>
        <w:spacing w:before="340" w:after="120" w:line="264" w:lineRule="auto"/>
        <w:jc w:val="left"/>
      </w:pPr>
      <w:bookmarkStart w:id="55" w:name="_h44"/>
      <w:r>
        <w:rPr>
          <w:rFonts w:ascii="Barlow Condensed SemiBold" w:hAnsi="Barlow Condensed SemiBold" w:cs="Barlow Condensed SemiBold" w:eastAsia="Barlow Condensed SemiBold"/>
          <w:color w:val="007614"/>
          <w:sz w:val="30"/>
          <w:szCs w:val="30"/>
        </w:rPr>
        <w:t xml:space="preserve">8.2 Uso como desfecho em avaliação</w:t>
      </w:r>
      <w:bookmarkEnd w:id="55"/>
    </w:p>
    <w:p>
      <w:pPr>
        <w:spacing w:before="0" w:after="140" w:line="300" w:lineRule="auto"/>
        <w:jc w:val="both"/>
      </w:pPr>
      <w:r>
        <w:rPr>
          <w:rFonts w:ascii="Barlow" w:hAnsi="Barlow" w:cs="Barlow" w:eastAsia="Barlow"/>
          <w:color w:val="0F2440"/>
          <w:sz w:val="20"/>
          <w:szCs w:val="20"/>
        </w:rPr>
        <w:t xml:space="preserve">O IVT não foi desenhado como desfecho primário de avaliação de impacto da PICAPS. Seus componentes são, em grande parte, condições estruturais que a SCS pode influenciar apenas indiretamente e em prazos longos. Seu uso como desfecho secundário em avaliação conduzida por equipe independente exige quatro condições: versão fixa do índice durante todo o período; série reprocessada com a camada de risco corrigida; controle da cobertura dos registros, que a intervenção pode alterar; e plano de análise registrado antes da coleta.</w:t>
      </w:r>
    </w:p>
    <w:p>
      <w:pPr>
        <w:pStyle w:val="Heading2"/>
        <w:keepNext/>
        <w:spacing w:before="340" w:after="120" w:line="264" w:lineRule="auto"/>
        <w:jc w:val="left"/>
      </w:pPr>
      <w:bookmarkStart w:id="56" w:name="_h45"/>
      <w:r>
        <w:rPr>
          <w:rFonts w:ascii="Barlow Condensed SemiBold" w:hAnsi="Barlow Condensed SemiBold" w:cs="Barlow Condensed SemiBold" w:eastAsia="Barlow Condensed SemiBold"/>
          <w:color w:val="007614"/>
          <w:sz w:val="30"/>
          <w:szCs w:val="30"/>
        </w:rPr>
        <w:t xml:space="preserve">8.3 Vedações</w:t>
      </w:r>
      <w:bookmarkEnd w:id="56"/>
    </w:p>
    <w:p>
      <w:pPr>
        <w:spacing w:before="0" w:after="140" w:line="300" w:lineRule="auto"/>
        <w:jc w:val="both"/>
      </w:pPr>
      <w:r>
        <w:rPr>
          <w:rFonts w:ascii="Barlow" w:hAnsi="Barlow" w:cs="Barlow" w:eastAsia="Barlow"/>
          <w:color w:val="0F2440"/>
          <w:sz w:val="20"/>
          <w:szCs w:val="20"/>
        </w:rPr>
        <w:t xml:space="preserve">É vedado o uso do IVT para decidir sobre pessoas ou famílias, para classificar ou penalizar equipes e serviços e para substituir a deliberação da SCS. O índice descreve setores; setores vulneráveis contêm famílias não vulneráveis, e o contrário também ocorre.</w:t>
      </w:r>
    </w:p>
    <w:p>
      <w:pPr>
        <w:pStyle w:val="Heading2"/>
        <w:keepNext/>
        <w:spacing w:before="340" w:after="120" w:line="264" w:lineRule="auto"/>
        <w:jc w:val="left"/>
      </w:pPr>
      <w:bookmarkStart w:id="57" w:name="_h46"/>
      <w:r>
        <w:rPr>
          <w:rFonts w:ascii="Barlow Condensed SemiBold" w:hAnsi="Barlow Condensed SemiBold" w:cs="Barlow Condensed SemiBold" w:eastAsia="Barlow Condensed SemiBold"/>
          <w:color w:val="007614"/>
          <w:sz w:val="30"/>
          <w:szCs w:val="30"/>
        </w:rPr>
        <w:t xml:space="preserve">8.4 Limitações</w:t>
      </w:r>
      <w:bookmarkEnd w:id="57"/>
    </w:p>
    <w:p>
      <w:pPr>
        <w:pStyle w:val="ListParagraph"/>
        <w:numPr>
          <w:ilvl w:val="0"/>
          <w:numId w:val="16"/>
        </w:numPr>
        <w:spacing w:before="0" w:after="80" w:line="290" w:lineRule="auto"/>
        <w:jc w:val="both"/>
      </w:pPr>
      <w:r>
        <w:rPr>
          <w:rFonts w:ascii="Barlow" w:hAnsi="Barlow" w:cs="Barlow" w:eastAsia="Barlow"/>
          <w:color w:val="0F2440"/>
          <w:sz w:val="20"/>
          <w:szCs w:val="20"/>
        </w:rPr>
        <w:t xml:space="preserve">É relativo ao universo de referência e silencioso sobre suficiência absoluta.</w:t>
      </w:r>
    </w:p>
    <w:p>
      <w:pPr>
        <w:pStyle w:val="ListParagraph"/>
        <w:numPr>
          <w:ilvl w:val="0"/>
          <w:numId w:val="16"/>
        </w:numPr>
        <w:spacing w:before="0" w:after="80" w:line="290" w:lineRule="auto"/>
        <w:jc w:val="both"/>
      </w:pPr>
      <w:r>
        <w:rPr>
          <w:rFonts w:ascii="Barlow" w:hAnsi="Barlow" w:cs="Barlow" w:eastAsia="Barlow"/>
          <w:color w:val="0F2440"/>
          <w:sz w:val="20"/>
          <w:szCs w:val="20"/>
        </w:rPr>
        <w:t xml:space="preserve">Depende da cobertura da ESF e do Cadastro Único para a variação; onde ela é baixa, o índice se aproxima do valor censitário e perde sensibilidade.</w:t>
      </w:r>
    </w:p>
    <w:p>
      <w:pPr>
        <w:pStyle w:val="ListParagraph"/>
        <w:numPr>
          <w:ilvl w:val="0"/>
          <w:numId w:val="16"/>
        </w:numPr>
        <w:spacing w:before="0" w:after="80" w:line="290" w:lineRule="auto"/>
        <w:jc w:val="both"/>
      </w:pPr>
      <w:r>
        <w:rPr>
          <w:rFonts w:ascii="Barlow" w:hAnsi="Barlow" w:cs="Barlow" w:eastAsia="Barlow"/>
          <w:color w:val="0F2440"/>
          <w:sz w:val="20"/>
          <w:szCs w:val="20"/>
        </w:rPr>
        <w:t xml:space="preserve">A dimensão de exposição não capta riscos sem registro regular, como violência, contaminação do solo e calor urbano; esses temas são tratados como camada de contexto do mapa do PVI e como agenda de visibilização, até que haja fonte regular por setor.</w:t>
      </w:r>
    </w:p>
    <w:p>
      <w:pPr>
        <w:pStyle w:val="ListParagraph"/>
        <w:numPr>
          <w:ilvl w:val="0"/>
          <w:numId w:val="16"/>
        </w:numPr>
        <w:spacing w:before="0" w:after="80" w:line="290" w:lineRule="auto"/>
        <w:jc w:val="both"/>
      </w:pPr>
      <w:r>
        <w:rPr>
          <w:rFonts w:ascii="Barlow" w:hAnsi="Barlow" w:cs="Barlow" w:eastAsia="Barlow"/>
          <w:color w:val="0F2440"/>
          <w:sz w:val="20"/>
          <w:szCs w:val="20"/>
        </w:rPr>
        <w:t xml:space="preserve">Se o Censo não divulgar por setor o rendimento domiciliar per capita e o adensamento por dormitório, o nível de S1 e E2 depende de aproximação ou de estimação para pequenas áreas, com perda de resolução declarada (seção 4.2).</w:t>
      </w:r>
    </w:p>
    <w:p>
      <w:pPr>
        <w:pStyle w:val="ListParagraph"/>
        <w:numPr>
          <w:ilvl w:val="0"/>
          <w:numId w:val="16"/>
        </w:numPr>
        <w:spacing w:before="0" w:after="80" w:line="290" w:lineRule="auto"/>
        <w:jc w:val="both"/>
      </w:pPr>
      <w:r>
        <w:rPr>
          <w:rFonts w:ascii="Barlow" w:hAnsi="Barlow" w:cs="Barlow" w:eastAsia="Barlow"/>
          <w:color w:val="0F2440"/>
          <w:sz w:val="20"/>
          <w:szCs w:val="20"/>
        </w:rPr>
        <w:t xml:space="preserve">O mapeamento oficial de áreas de risco é incompleto, e a verificação territorial reduz, mas não elimina, essa limitação.</w:t>
      </w:r>
    </w:p>
    <w:p>
      <w:pPr>
        <w:pStyle w:val="ListParagraph"/>
        <w:numPr>
          <w:ilvl w:val="0"/>
          <w:numId w:val="16"/>
        </w:numPr>
        <w:spacing w:before="0" w:after="180" w:line="290" w:lineRule="auto"/>
        <w:jc w:val="both"/>
        <w:sectPr>
          <w:headerReference w:type="default" r:id="rId27"/>
          <w:headerReference w:type="even" r:id="rId17"/>
          <w:footerReference w:type="default" r:id="rId18"/>
          <w:footerReference w:type="even" r:id="rId19"/>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Está sujeito ao problema da unidade de área modificável (OPENSHAW, 1984).</w:t>
      </w:r>
    </w:p>
    <w:p>
      <w:pPr>
        <w:pStyle w:val="Heading1"/>
        <w:pBdr>
          <w:bottom w:val="single" w:sz="12" w:space="10" w:color="007614"/>
        </w:pBdr>
        <w:spacing w:before="120" w:after="380" w:line="600" w:lineRule="exact"/>
        <w:jc w:val="left"/>
      </w:pPr>
      <w:bookmarkStart w:id="58" w:name="_h47"/>
      <w:r>
        <w:rPr>
          <w:rFonts w:ascii="Barlow Condensed" w:hAnsi="Barlow Condensed" w:cs="Barlow Condensed" w:eastAsia="Barlow Condensed"/>
          <w:b/>
          <w:bCs/>
          <w:color w:val="007614"/>
          <w:sz w:val="52"/>
          <w:szCs w:val="52"/>
        </w:rPr>
        <w:t xml:space="preserve">9 </w:t>
      </w:r>
      <w:r>
        <w:rPr>
          <w:rFonts w:ascii="Barlow Condensed" w:hAnsi="Barlow Condensed" w:cs="Barlow Condensed" w:eastAsia="Barlow Condensed"/>
          <w:b/>
          <w:bCs/>
          <w:color w:val="01366F"/>
          <w:sz w:val="52"/>
          <w:szCs w:val="52"/>
        </w:rPr>
        <w:t xml:space="preserve">IMPLEMENTAÇÃO COMPUTACIONAL</w:t>
      </w:r>
      <w:bookmarkEnd w:id="58"/>
    </w:p>
    <w:p>
      <w:pPr>
        <w:spacing w:before="0" w:after="140" w:line="300" w:lineRule="auto"/>
        <w:jc w:val="both"/>
        <w:sectPr>
          <w:headerReference w:type="default" r:id="rId28"/>
          <w:headerReference w:type="even" r:id="rId17"/>
          <w:footerReference w:type="default" r:id="rId18"/>
          <w:footerReference w:type="even" r:id="rId19"/>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O cálculo é implementado em R, com roteiro equivalente em Python, organizado em oito módulos executáveis em sequência: (1) leitura das fontes e registro de versões; (2) georreferenciamento e atribuição ao setor, em ambiente seguro; (3) cálculo dos indicadores e encadeamento; (4) agregação de setores pequenos e suavização bayesiana; (5) padronização, agregação e transformação; (6) incerteza e sensibilidade; (7) agregação para unidades de leitura e mapas; (8) exportação em formato aberto e relatório de qualidade. Pacotes de referência: </w:t>
      </w:r>
      <w:r>
        <w:rPr>
          <w:rFonts w:ascii="Barlow" w:hAnsi="Barlow" w:cs="Barlow" w:eastAsia="Barlow"/>
          <w:i/>
          <w:iCs/>
          <w:color w:val="0F2440"/>
          <w:sz w:val="20"/>
          <w:szCs w:val="20"/>
        </w:rPr>
        <w:t xml:space="preserve">geobr</w:t>
      </w:r>
      <w:r>
        <w:rPr>
          <w:rFonts w:ascii="Barlow" w:hAnsi="Barlow" w:cs="Barlow" w:eastAsia="Barlow"/>
          <w:color w:val="0F2440"/>
          <w:sz w:val="20"/>
          <w:szCs w:val="20"/>
        </w:rPr>
        <w:t xml:space="preserve"> para malhas (PEREIRA; GONÇALVES, 2021), </w:t>
      </w:r>
      <w:r>
        <w:rPr>
          <w:rFonts w:ascii="Barlow" w:hAnsi="Barlow" w:cs="Barlow" w:eastAsia="Barlow"/>
          <w:i/>
          <w:iCs/>
          <w:color w:val="0F2440"/>
          <w:sz w:val="20"/>
          <w:szCs w:val="20"/>
        </w:rPr>
        <w:t xml:space="preserve">sf</w:t>
      </w:r>
      <w:r>
        <w:rPr>
          <w:rFonts w:ascii="Barlow" w:hAnsi="Barlow" w:cs="Barlow" w:eastAsia="Barlow"/>
          <w:color w:val="0F2440"/>
          <w:sz w:val="20"/>
          <w:szCs w:val="20"/>
        </w:rPr>
        <w:t xml:space="preserve"> e </w:t>
      </w:r>
      <w:r>
        <w:rPr>
          <w:rFonts w:ascii="Barlow" w:hAnsi="Barlow" w:cs="Barlow" w:eastAsia="Barlow"/>
          <w:i/>
          <w:iCs/>
          <w:color w:val="0F2440"/>
          <w:sz w:val="20"/>
          <w:szCs w:val="20"/>
        </w:rPr>
        <w:t xml:space="preserve">spdep</w:t>
      </w:r>
      <w:r>
        <w:rPr>
          <w:rFonts w:ascii="Barlow" w:hAnsi="Barlow" w:cs="Barlow" w:eastAsia="Barlow"/>
          <w:color w:val="0F2440"/>
          <w:sz w:val="20"/>
          <w:szCs w:val="20"/>
        </w:rPr>
        <w:t xml:space="preserve"> para análise espacial e </w:t>
      </w:r>
      <w:r>
        <w:rPr>
          <w:rFonts w:ascii="Barlow" w:hAnsi="Barlow" w:cs="Barlow" w:eastAsia="Barlow"/>
          <w:i/>
          <w:iCs/>
          <w:color w:val="0F2440"/>
          <w:sz w:val="20"/>
          <w:szCs w:val="20"/>
        </w:rPr>
        <w:t xml:space="preserve">microdatasus</w:t>
      </w:r>
      <w:r>
        <w:rPr>
          <w:rFonts w:ascii="Barlow" w:hAnsi="Barlow" w:cs="Barlow" w:eastAsia="Barlow"/>
          <w:color w:val="0F2440"/>
          <w:sz w:val="20"/>
          <w:szCs w:val="20"/>
        </w:rPr>
        <w:t xml:space="preserve"> para os desfechos de validação (SALDANHA; BASTOS; BARCELLOS, 2019). O código, os parâmetros de padronização de cada edição e a documentação serão depositados em repositório público do CTIS antes da primeira publicação de resultados.</w:t>
      </w:r>
    </w:p>
    <w:p>
      <w:pPr>
        <w:pStyle w:val="Heading1"/>
        <w:pBdr>
          <w:bottom w:val="single" w:sz="12" w:space="10" w:color="007614"/>
        </w:pBdr>
        <w:spacing w:before="120" w:after="380" w:line="600" w:lineRule="exact"/>
        <w:jc w:val="left"/>
      </w:pPr>
      <w:bookmarkStart w:id="59" w:name="_h48"/>
      <w:r>
        <w:rPr>
          <w:rFonts w:ascii="Barlow Condensed" w:hAnsi="Barlow Condensed" w:cs="Barlow Condensed" w:eastAsia="Barlow Condensed"/>
          <w:b/>
          <w:bCs/>
          <w:color w:val="007614"/>
          <w:sz w:val="52"/>
          <w:szCs w:val="52"/>
        </w:rPr>
        <w:t xml:space="preserve">10 </w:t>
      </w:r>
      <w:r>
        <w:rPr>
          <w:rFonts w:ascii="Barlow Condensed" w:hAnsi="Barlow Condensed" w:cs="Barlow Condensed" w:eastAsia="Barlow Condensed"/>
          <w:b/>
          <w:bCs/>
          <w:color w:val="01366F"/>
          <w:sz w:val="52"/>
          <w:szCs w:val="52"/>
        </w:rPr>
        <w:t xml:space="preserve">GOVERNANÇA DOS DADOS E PROTEÇÃO DE DADOS PESSOAIS</w:t>
      </w:r>
      <w:bookmarkEnd w:id="59"/>
    </w:p>
    <w:p>
      <w:pPr>
        <w:spacing w:before="0" w:after="140" w:line="300" w:lineRule="auto"/>
        <w:jc w:val="both"/>
      </w:pPr>
      <w:r>
        <w:rPr>
          <w:rFonts w:ascii="Barlow" w:hAnsi="Barlow" w:cs="Barlow" w:eastAsia="Barlow"/>
          <w:color w:val="0F2440"/>
          <w:sz w:val="20"/>
          <w:szCs w:val="20"/>
        </w:rPr>
        <w:t xml:space="preserve">Diferentemente da versão anterior, o IVT trabalha com microdados de registros administrativos que contêm dados pessoais e, no caso do e-SUS APS, dados pessoais sensíveis de saúde. O tratamento observa a Lei nº 13.709/2018 (BRASIL, 2018):</w:t>
      </w:r>
    </w:p>
    <w:p>
      <w:pPr>
        <w:pStyle w:val="ListParagraph"/>
        <w:numPr>
          <w:ilvl w:val="0"/>
          <w:numId w:val="17"/>
        </w:numPr>
        <w:spacing w:before="0" w:after="80" w:line="290" w:lineRule="auto"/>
        <w:jc w:val="both"/>
      </w:pPr>
      <w:r>
        <w:rPr>
          <w:rFonts w:ascii="Barlow SemiBold" w:hAnsi="Barlow SemiBold" w:cs="Barlow SemiBold" w:eastAsia="Barlow SemiBold"/>
          <w:color w:val="01366F"/>
          <w:sz w:val="20"/>
          <w:szCs w:val="20"/>
        </w:rPr>
        <w:t xml:space="preserve">Base legal:</w:t>
      </w:r>
      <w:r>
        <w:rPr>
          <w:rFonts w:ascii="Barlow" w:hAnsi="Barlow" w:cs="Barlow" w:eastAsia="Barlow"/>
          <w:color w:val="0F2440"/>
          <w:sz w:val="20"/>
          <w:szCs w:val="20"/>
        </w:rPr>
        <w:t xml:space="preserve"> execução de políticas públicas pela administração e realização de estudos por órgão de pesquisa, com anonimização sempre que possível (art. 7º, incisos III e IV; art. 11, inciso II, alíneas "b" e "c").</w:t>
      </w:r>
    </w:p>
    <w:p>
      <w:pPr>
        <w:pStyle w:val="ListParagraph"/>
        <w:numPr>
          <w:ilvl w:val="0"/>
          <w:numId w:val="17"/>
        </w:numPr>
        <w:spacing w:before="0" w:after="80" w:line="290" w:lineRule="auto"/>
        <w:jc w:val="both"/>
      </w:pPr>
      <w:r>
        <w:rPr>
          <w:rFonts w:ascii="Barlow SemiBold" w:hAnsi="Barlow SemiBold" w:cs="Barlow SemiBold" w:eastAsia="Barlow SemiBold"/>
          <w:color w:val="01366F"/>
          <w:sz w:val="20"/>
          <w:szCs w:val="20"/>
        </w:rPr>
        <w:t xml:space="preserve">Ambiente:</w:t>
      </w:r>
      <w:r>
        <w:rPr>
          <w:rFonts w:ascii="Barlow" w:hAnsi="Barlow" w:cs="Barlow" w:eastAsia="Barlow"/>
          <w:color w:val="0F2440"/>
          <w:sz w:val="20"/>
          <w:szCs w:val="20"/>
        </w:rPr>
        <w:t xml:space="preserve"> georreferenciamento e agregação no ambiente seguro da secretaria gestora; à equipe do CTIS chegam apenas contagens por setor.</w:t>
      </w:r>
    </w:p>
    <w:p>
      <w:pPr>
        <w:pStyle w:val="ListParagraph"/>
        <w:numPr>
          <w:ilvl w:val="0"/>
          <w:numId w:val="17"/>
        </w:numPr>
        <w:spacing w:before="0" w:after="80" w:line="290" w:lineRule="auto"/>
        <w:jc w:val="both"/>
      </w:pPr>
      <w:r>
        <w:rPr>
          <w:rFonts w:ascii="Barlow SemiBold" w:hAnsi="Barlow SemiBold" w:cs="Barlow SemiBold" w:eastAsia="Barlow SemiBold"/>
          <w:color w:val="01366F"/>
          <w:sz w:val="20"/>
          <w:szCs w:val="20"/>
        </w:rPr>
        <w:t xml:space="preserve">Supressão:</w:t>
      </w:r>
      <w:r>
        <w:rPr>
          <w:rFonts w:ascii="Barlow" w:hAnsi="Barlow" w:cs="Barlow" w:eastAsia="Barlow"/>
          <w:color w:val="0F2440"/>
          <w:sz w:val="20"/>
          <w:szCs w:val="20"/>
        </w:rPr>
        <w:t xml:space="preserve"> contagens inferiores a cinco são suprimidas ou agregadas antes de qualquer divulgação.</w:t>
      </w:r>
    </w:p>
    <w:p>
      <w:pPr>
        <w:pStyle w:val="ListParagraph"/>
        <w:numPr>
          <w:ilvl w:val="0"/>
          <w:numId w:val="17"/>
        </w:numPr>
        <w:spacing w:before="0" w:after="80" w:line="290" w:lineRule="auto"/>
        <w:jc w:val="both"/>
      </w:pPr>
      <w:r>
        <w:rPr>
          <w:rFonts w:ascii="Barlow SemiBold" w:hAnsi="Barlow SemiBold" w:cs="Barlow SemiBold" w:eastAsia="Barlow SemiBold"/>
          <w:color w:val="01366F"/>
          <w:sz w:val="20"/>
          <w:szCs w:val="20"/>
        </w:rPr>
        <w:t xml:space="preserve">Relatório de impacto:</w:t>
      </w:r>
      <w:r>
        <w:rPr>
          <w:rFonts w:ascii="Barlow" w:hAnsi="Barlow" w:cs="Barlow" w:eastAsia="Barlow"/>
          <w:color w:val="0F2440"/>
          <w:sz w:val="20"/>
          <w:szCs w:val="20"/>
        </w:rPr>
        <w:t xml:space="preserve"> relatório de impacto à proteção de dados pessoais aprovado pelo encarregado da instituição antes da primeira extração.</w:t>
      </w:r>
    </w:p>
    <w:p>
      <w:pPr>
        <w:pStyle w:val="ListParagraph"/>
        <w:numPr>
          <w:ilvl w:val="0"/>
          <w:numId w:val="17"/>
        </w:numPr>
        <w:spacing w:before="0" w:after="80" w:line="290" w:lineRule="auto"/>
        <w:jc w:val="both"/>
      </w:pPr>
      <w:r>
        <w:rPr>
          <w:rFonts w:ascii="Barlow SemiBold" w:hAnsi="Barlow SemiBold" w:cs="Barlow SemiBold" w:eastAsia="Barlow SemiBold"/>
          <w:color w:val="01366F"/>
          <w:sz w:val="20"/>
          <w:szCs w:val="20"/>
        </w:rPr>
        <w:t xml:space="preserve">Incidentes:</w:t>
      </w:r>
      <w:r>
        <w:rPr>
          <w:rFonts w:ascii="Barlow" w:hAnsi="Barlow" w:cs="Barlow" w:eastAsia="Barlow"/>
          <w:color w:val="0F2440"/>
          <w:sz w:val="20"/>
          <w:szCs w:val="20"/>
        </w:rPr>
        <w:t xml:space="preserve"> comunicação à Autoridade Nacional de Proteção de Dados e aos titulares afetados, nos termos da regulamentação vigente.</w:t>
      </w:r>
    </w:p>
    <w:p>
      <w:pPr>
        <w:pStyle w:val="ListParagraph"/>
        <w:numPr>
          <w:ilvl w:val="0"/>
          <w:numId w:val="17"/>
        </w:numPr>
        <w:spacing w:before="0" w:after="180" w:line="290" w:lineRule="auto"/>
        <w:jc w:val="both"/>
      </w:pPr>
      <w:r>
        <w:rPr>
          <w:rFonts w:ascii="Barlow SemiBold" w:hAnsi="Barlow SemiBold" w:cs="Barlow SemiBold" w:eastAsia="Barlow SemiBold"/>
          <w:color w:val="01366F"/>
          <w:sz w:val="20"/>
          <w:szCs w:val="20"/>
        </w:rPr>
        <w:t xml:space="preserve">Uso:</w:t>
      </w:r>
      <w:r>
        <w:rPr>
          <w:rFonts w:ascii="Barlow" w:hAnsi="Barlow" w:cs="Barlow" w:eastAsia="Barlow"/>
          <w:color w:val="0F2440"/>
          <w:sz w:val="20"/>
          <w:szCs w:val="20"/>
        </w:rPr>
        <w:t xml:space="preserve"> vedado qualquer uso dos dados para fins diversos do cálculo e da validação do índice.</w:t>
      </w:r>
    </w:p>
    <w:p>
      <w:pPr>
        <w:spacing w:before="0" w:after="140" w:line="300" w:lineRule="auto"/>
        <w:jc w:val="both"/>
        <w:sectPr>
          <w:headerReference w:type="default" r:id="rId29"/>
          <w:headerReference w:type="even" r:id="rId17"/>
          <w:footerReference w:type="default" r:id="rId18"/>
          <w:footerReference w:type="even" r:id="rId19"/>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As decisões sobre o uso dos resultados do território em publicações cabem à SCS, conforme o Nível 1 de governança do Protocolo de Inteligência Territorial.</w:t>
      </w:r>
    </w:p>
    <w:p>
      <w:pPr>
        <w:pStyle w:val="Heading1"/>
        <w:pBdr>
          <w:bottom w:val="single" w:sz="12" w:space="10" w:color="007614"/>
        </w:pBdr>
        <w:spacing w:before="120" w:after="380" w:line="600" w:lineRule="exact"/>
        <w:jc w:val="left"/>
      </w:pPr>
      <w:bookmarkStart w:id="60" w:name="_h49"/>
      <w:r>
        <w:rPr>
          <w:rFonts w:ascii="Barlow Condensed" w:hAnsi="Barlow Condensed" w:cs="Barlow Condensed" w:eastAsia="Barlow Condensed"/>
          <w:b/>
          <w:bCs/>
          <w:color w:val="007614"/>
          <w:sz w:val="52"/>
          <w:szCs w:val="52"/>
        </w:rPr>
        <w:t xml:space="preserve">11 </w:t>
      </w:r>
      <w:r>
        <w:rPr>
          <w:rFonts w:ascii="Barlow Condensed" w:hAnsi="Barlow Condensed" w:cs="Barlow Condensed" w:eastAsia="Barlow Condensed"/>
          <w:b/>
          <w:bCs/>
          <w:color w:val="01366F"/>
          <w:sz w:val="52"/>
          <w:szCs w:val="52"/>
        </w:rPr>
        <w:t xml:space="preserve">VERIFICAÇÕES PENDENTES ANTES DA PRIMEIRA APLICAÇÃO</w:t>
      </w:r>
      <w:bookmarkEnd w:id="60"/>
    </w:p>
    <w:p>
      <w:pPr>
        <w:keepNext/>
        <w:spacing w:before="200" w:after="100" w:line="264" w:lineRule="auto"/>
        <w:jc w:val="left"/>
      </w:pPr>
      <w:bookmarkStart w:id="61" w:name="_q_8"/>
      <w:r>
        <w:rPr>
          <w:rFonts w:ascii="Barlow Condensed SemiBold" w:hAnsi="Barlow Condensed SemiBold" w:cs="Barlow Condensed SemiBold" w:eastAsia="Barlow Condensed SemiBold"/>
          <w:color w:val="007614"/>
          <w:sz w:val="21"/>
          <w:szCs w:val="21"/>
        </w:rPr>
        <w:t xml:space="preserve">Quadro 8 – </w:t>
      </w:r>
      <w:r>
        <w:rPr>
          <w:rFonts w:ascii="Barlow Condensed SemiBold" w:hAnsi="Barlow Condensed SemiBold" w:cs="Barlow Condensed SemiBold" w:eastAsia="Barlow Condensed SemiBold"/>
          <w:color w:val="01366F"/>
          <w:sz w:val="21"/>
          <w:szCs w:val="21"/>
        </w:rPr>
        <w:t xml:space="preserve">Verificações pendentes</w:t>
      </w:r>
      <w:bookmarkEnd w:id="61"/>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3536"/>
        <w:gridCol w:w="3095"/>
        <w:gridCol w:w="2213"/>
      </w:tblGrid>
      <w:tr>
        <w:trPr>
          <w:tblHeader/>
          <w:cantSplit/>
        </w:trPr>
        <w:tc>
          <w:tcPr>
            <w:tcW w:w="353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Verificação</w:t>
            </w:r>
          </w:p>
        </w:tc>
        <w:tc>
          <w:tcPr>
            <w:tcW w:w="309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Por quê</w:t>
            </w:r>
          </w:p>
        </w:tc>
        <w:tc>
          <w:tcPr>
            <w:tcW w:w="221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Responsável</w:t>
            </w:r>
          </w:p>
        </w:tc>
      </w:tr>
      <w:tr>
        <w:trPr>
          <w:cantSplit/>
        </w:trPr>
        <w:tc>
          <w:tcPr>
            <w:tcW w:w="353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Disponibilidade, por setor, das variáveis do Censo 2022 de rendimento domiciliar per capita e de moradores por dormitório</w:t>
            </w:r>
          </w:p>
        </w:tc>
        <w:tc>
          <w:tcPr>
            <w:tcW w:w="309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Se indisponíveis por setor, o nível de S1 e E2 é tomado da área de ponderação</w:t>
            </w:r>
          </w:p>
        </w:tc>
        <w:tc>
          <w:tcPr>
            <w:tcW w:w="221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Técnico de dados do CTIS</w:t>
            </w:r>
          </w:p>
        </w:tc>
      </w:tr>
      <w:tr>
        <w:trPr>
          <w:cantSplit/>
        </w:trPr>
        <w:tc>
          <w:tcPr>
            <w:tcW w:w="353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Acesso ao cadastro domiciliar e individual do e-SUS APS com endereço, mediante termo com a secretaria de saúde</w:t>
            </w:r>
          </w:p>
        </w:tc>
        <w:tc>
          <w:tcPr>
            <w:tcW w:w="309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Variação de E1, S2, S3 e georreferenciamento</w:t>
            </w:r>
          </w:p>
        </w:tc>
        <w:tc>
          <w:tcPr>
            <w:tcW w:w="221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Coordenação CTIS e secretaria</w:t>
            </w:r>
          </w:p>
        </w:tc>
      </w:tr>
      <w:tr>
        <w:trPr>
          <w:cantSplit/>
        </w:trPr>
        <w:tc>
          <w:tcPr>
            <w:tcW w:w="353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Acesso ao Cadastro Único georreferenciado, mediante termo com a gestão municipal ou distrital</w:t>
            </w:r>
          </w:p>
        </w:tc>
        <w:tc>
          <w:tcPr>
            <w:tcW w:w="309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Variação de E2 e S1</w:t>
            </w:r>
          </w:p>
        </w:tc>
        <w:tc>
          <w:tcPr>
            <w:tcW w:w="221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Coordenação CTIS</w:t>
            </w:r>
          </w:p>
        </w:tc>
      </w:tr>
      <w:tr>
        <w:trPr>
          <w:cantSplit/>
        </w:trPr>
        <w:tc>
          <w:tcPr>
            <w:tcW w:w="353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Formato e data da camada de áreas de risco da Defesa Civil local</w:t>
            </w:r>
          </w:p>
        </w:tc>
        <w:tc>
          <w:tcPr>
            <w:tcW w:w="309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Construção de E3 e rotina anual de atualização</w:t>
            </w:r>
          </w:p>
        </w:tc>
        <w:tc>
          <w:tcPr>
            <w:tcW w:w="221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Técnico de dados e Defesa Civil</w:t>
            </w:r>
          </w:p>
        </w:tc>
      </w:tr>
      <w:tr>
        <w:trPr>
          <w:cantSplit/>
        </w:trPr>
        <w:tc>
          <w:tcPr>
            <w:tcW w:w="353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Correspondência entre categorias do e-SUS APS e do Censo para água, esgotamento e lixo</w:t>
            </w:r>
          </w:p>
        </w:tc>
        <w:tc>
          <w:tcPr>
            <w:tcW w:w="309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Harmonização de E1</w:t>
            </w:r>
          </w:p>
        </w:tc>
        <w:tc>
          <w:tcPr>
            <w:tcW w:w="221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Técnico de dados</w:t>
            </w:r>
          </w:p>
        </w:tc>
      </w:tr>
      <w:tr>
        <w:trPr>
          <w:cantSplit/>
        </w:trPr>
        <w:tc>
          <w:tcPr>
            <w:tcW w:w="353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Acesso ao CNEFE 2022 com coordenadas por endereço</w:t>
            </w:r>
          </w:p>
        </w:tc>
        <w:tc>
          <w:tcPr>
            <w:tcW w:w="309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Base de domicílios de E3 e denominador alternativo</w:t>
            </w:r>
          </w:p>
        </w:tc>
        <w:tc>
          <w:tcPr>
            <w:tcW w:w="221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Técnico de dados</w:t>
            </w:r>
          </w:p>
        </w:tc>
      </w:tr>
      <w:tr>
        <w:trPr>
          <w:cantSplit/>
        </w:trPr>
        <w:tc>
          <w:tcPr>
            <w:tcW w:w="3536"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7"/>
                <w:szCs w:val="17"/>
              </w:rPr>
              <w:t xml:space="preserve">Limiares de cobertura (70%) e de tamanho mínimo do setor (50 domicílios)</w:t>
            </w:r>
          </w:p>
        </w:tc>
        <w:tc>
          <w:tcPr>
            <w:tcW w:w="3095"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Ajuste após a primeira aplicação</w:t>
            </w:r>
          </w:p>
        </w:tc>
        <w:tc>
          <w:tcPr>
            <w:tcW w:w="2213"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Equipe técnica, com registro em nota</w:t>
            </w:r>
          </w:p>
        </w:tc>
      </w:tr>
    </w:tbl>
    <w:p>
      <w:pPr>
        <w:spacing w:before="60" w:after="220" w:line="240" w:lineRule="auto"/>
        <w:jc w:val="left"/>
        <w:sectPr>
          <w:headerReference w:type="default" r:id="rId30"/>
          <w:headerReference w:type="even" r:id="rId17"/>
          <w:footerReference w:type="default" r:id="rId18"/>
          <w:footerReference w:type="even" r:id="rId19"/>
          <w:type w:val="nextPage"/>
          <w:pgSz w:w="11906" w:h="16838"/>
          <w:pgMar w:top="1474" w:right="1531" w:bottom="1814" w:left="1531" w:header="850" w:footer="330" w:gutter="0"/>
          <w:cols w:space="720"/>
          <w:docGrid w:linePitch="360"/>
        </w:sectPr>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pStyle w:val="Heading1"/>
        <w:pBdr>
          <w:bottom w:val="single" w:sz="12" w:space="10" w:color="007614"/>
        </w:pBdr>
        <w:spacing w:before="120" w:after="380" w:line="600" w:lineRule="exact"/>
        <w:jc w:val="left"/>
      </w:pPr>
      <w:bookmarkStart w:id="62" w:name="_h50"/>
      <w:r>
        <w:rPr>
          <w:rFonts w:ascii="Barlow Condensed" w:hAnsi="Barlow Condensed" w:cs="Barlow Condensed" w:eastAsia="Barlow Condensed"/>
          <w:b/>
          <w:bCs/>
          <w:color w:val="01366F"/>
          <w:sz w:val="52"/>
          <w:szCs w:val="52"/>
        </w:rPr>
        <w:t xml:space="preserve">REFERÊNCIAS</w:t>
      </w:r>
      <w:bookmarkEnd w:id="62"/>
    </w:p>
    <w:p>
      <w:pPr>
        <w:spacing w:before="0" w:after="150" w:line="264" w:lineRule="auto"/>
        <w:jc w:val="left"/>
      </w:pPr>
      <w:r>
        <w:rPr>
          <w:rFonts w:ascii="Barlow" w:hAnsi="Barlow" w:cs="Barlow" w:eastAsia="Barlow"/>
          <w:color w:val="0F2440"/>
          <w:sz w:val="19"/>
          <w:szCs w:val="19"/>
        </w:rPr>
        <w:t xml:space="preserve">BRASIL. Lei nº 13.709, de 14 de agosto de 2018. Lei Geral de Proteção de Dados Pessoais (LGPD). </w:t>
      </w:r>
      <w:r>
        <w:rPr>
          <w:rFonts w:ascii="Barlow SemiBold" w:hAnsi="Barlow SemiBold" w:cs="Barlow SemiBold" w:eastAsia="Barlow SemiBold"/>
          <w:color w:val="0F2440"/>
          <w:sz w:val="19"/>
          <w:szCs w:val="19"/>
        </w:rPr>
        <w:t xml:space="preserve">Diário Oficial da União</w:t>
      </w:r>
      <w:r>
        <w:rPr>
          <w:rFonts w:ascii="Barlow" w:hAnsi="Barlow" w:cs="Barlow" w:eastAsia="Barlow"/>
          <w:color w:val="0F2440"/>
          <w:sz w:val="19"/>
          <w:szCs w:val="19"/>
        </w:rPr>
        <w:t xml:space="preserve">: seção 1, Brasília, DF, 15 ago. 2018.</w:t>
      </w:r>
    </w:p>
    <w:p>
      <w:pPr>
        <w:spacing w:before="0" w:after="150" w:line="264" w:lineRule="auto"/>
        <w:jc w:val="left"/>
      </w:pPr>
      <w:r>
        <w:rPr>
          <w:rFonts w:ascii="Barlow" w:hAnsi="Barlow" w:cs="Barlow" w:eastAsia="Barlow"/>
          <w:color w:val="0F2440"/>
          <w:sz w:val="19"/>
          <w:szCs w:val="19"/>
        </w:rPr>
        <w:t xml:space="preserve">BREILH, J. </w:t>
      </w:r>
      <w:r>
        <w:rPr>
          <w:rFonts w:ascii="Barlow SemiBold" w:hAnsi="Barlow SemiBold" w:cs="Barlow SemiBold" w:eastAsia="Barlow SemiBold"/>
          <w:color w:val="0F2440"/>
          <w:sz w:val="19"/>
          <w:szCs w:val="19"/>
        </w:rPr>
        <w:t xml:space="preserve">Epidemiologia crítica</w:t>
      </w:r>
      <w:r>
        <w:rPr>
          <w:rFonts w:ascii="Barlow" w:hAnsi="Barlow" w:cs="Barlow" w:eastAsia="Barlow"/>
          <w:color w:val="0F2440"/>
          <w:sz w:val="19"/>
          <w:szCs w:val="19"/>
        </w:rPr>
        <w:t xml:space="preserve">: ciência emancipadora e interculturalidade. Rio de Janeiro: Editora Fiocruz, 2006.</w:t>
      </w:r>
    </w:p>
    <w:p>
      <w:pPr>
        <w:spacing w:before="0" w:after="150" w:line="264" w:lineRule="auto"/>
        <w:jc w:val="left"/>
      </w:pPr>
      <w:r>
        <w:rPr>
          <w:rFonts w:ascii="Barlow" w:hAnsi="Barlow" w:cs="Barlow" w:eastAsia="Barlow"/>
          <w:color w:val="0F2440"/>
          <w:sz w:val="19"/>
          <w:szCs w:val="19"/>
        </w:rPr>
        <w:t xml:space="preserve">CABNAL, L. Acercamiento a la construcción de la propuesta de pensamiento epistémico de las mujeres indígenas feministas comunitarias de Abya Yala. In: ACSUR-LAS SEGOVIAS. </w:t>
      </w:r>
      <w:r>
        <w:rPr>
          <w:rFonts w:ascii="Barlow SemiBold" w:hAnsi="Barlow SemiBold" w:cs="Barlow SemiBold" w:eastAsia="Barlow SemiBold"/>
          <w:color w:val="0F2440"/>
          <w:sz w:val="19"/>
          <w:szCs w:val="19"/>
        </w:rPr>
        <w:t xml:space="preserve">Feminismos diversos</w:t>
      </w:r>
      <w:r>
        <w:rPr>
          <w:rFonts w:ascii="Barlow" w:hAnsi="Barlow" w:cs="Barlow" w:eastAsia="Barlow"/>
          <w:color w:val="0F2440"/>
          <w:sz w:val="19"/>
          <w:szCs w:val="19"/>
        </w:rPr>
        <w:t xml:space="preserve">: el feminismo comunitario. Madrid: ACSUR-Las Segovias, 2010. p. 11-25.</w:t>
      </w:r>
    </w:p>
    <w:p>
      <w:pPr>
        <w:spacing w:before="0" w:after="150" w:line="264" w:lineRule="auto"/>
        <w:jc w:val="left"/>
      </w:pPr>
      <w:r>
        <w:rPr>
          <w:rFonts w:ascii="Barlow" w:hAnsi="Barlow" w:cs="Barlow" w:eastAsia="Barlow"/>
          <w:color w:val="0F2440"/>
          <w:sz w:val="19"/>
          <w:szCs w:val="19"/>
        </w:rPr>
        <w:t xml:space="preserve">CARSTAIRS, V.; MORRIS, R. </w:t>
      </w:r>
      <w:r>
        <w:rPr>
          <w:rFonts w:ascii="Barlow SemiBold" w:hAnsi="Barlow SemiBold" w:cs="Barlow SemiBold" w:eastAsia="Barlow SemiBold"/>
          <w:color w:val="0F2440"/>
          <w:sz w:val="19"/>
          <w:szCs w:val="19"/>
        </w:rPr>
        <w:t xml:space="preserve">Deprivation and health in Scotland</w:t>
      </w:r>
      <w:r>
        <w:rPr>
          <w:rFonts w:ascii="Barlow" w:hAnsi="Barlow" w:cs="Barlow" w:eastAsia="Barlow"/>
          <w:color w:val="0F2440"/>
          <w:sz w:val="19"/>
          <w:szCs w:val="19"/>
        </w:rPr>
        <w:t xml:space="preserve">. Aberdeen: Aberdeen University Press, 1991.</w:t>
      </w:r>
    </w:p>
    <w:p>
      <w:pPr>
        <w:spacing w:before="0" w:after="150" w:line="264" w:lineRule="auto"/>
        <w:jc w:val="left"/>
      </w:pPr>
      <w:r>
        <w:rPr>
          <w:rFonts w:ascii="Barlow" w:hAnsi="Barlow" w:cs="Barlow" w:eastAsia="Barlow"/>
          <w:color w:val="0F2440"/>
          <w:sz w:val="19"/>
          <w:szCs w:val="19"/>
        </w:rPr>
        <w:t xml:space="preserve">COSTA, M. A.; MARGUTI, B. O. (ed.). </w:t>
      </w:r>
      <w:r>
        <w:rPr>
          <w:rFonts w:ascii="Barlow SemiBold" w:hAnsi="Barlow SemiBold" w:cs="Barlow SemiBold" w:eastAsia="Barlow SemiBold"/>
          <w:color w:val="0F2440"/>
          <w:sz w:val="19"/>
          <w:szCs w:val="19"/>
        </w:rPr>
        <w:t xml:space="preserve">Atlas da vulnerabilidade social nos municípios brasileiros</w:t>
      </w:r>
      <w:r>
        <w:rPr>
          <w:rFonts w:ascii="Barlow" w:hAnsi="Barlow" w:cs="Barlow" w:eastAsia="Barlow"/>
          <w:color w:val="0F2440"/>
          <w:sz w:val="19"/>
          <w:szCs w:val="19"/>
        </w:rPr>
        <w:t xml:space="preserve">. Brasília: Ipea, 2015.</w:t>
      </w:r>
    </w:p>
    <w:p>
      <w:pPr>
        <w:spacing w:before="0" w:after="150" w:line="264" w:lineRule="auto"/>
        <w:jc w:val="left"/>
      </w:pPr>
      <w:r>
        <w:rPr>
          <w:rFonts w:ascii="Barlow" w:hAnsi="Barlow" w:cs="Barlow" w:eastAsia="Barlow"/>
          <w:color w:val="0F2440"/>
          <w:sz w:val="19"/>
          <w:szCs w:val="19"/>
        </w:rPr>
        <w:t xml:space="preserve">CUTTER, S. L.; BORUFF, B. J.; SHIRLEY, W. L. Social vulnerability to environmental hazards. </w:t>
      </w:r>
      <w:r>
        <w:rPr>
          <w:rFonts w:ascii="Barlow SemiBold" w:hAnsi="Barlow SemiBold" w:cs="Barlow SemiBold" w:eastAsia="Barlow SemiBold"/>
          <w:color w:val="0F2440"/>
          <w:sz w:val="19"/>
          <w:szCs w:val="19"/>
        </w:rPr>
        <w:t xml:space="preserve">Social Science Quarterly</w:t>
      </w:r>
      <w:r>
        <w:rPr>
          <w:rFonts w:ascii="Barlow" w:hAnsi="Barlow" w:cs="Barlow" w:eastAsia="Barlow"/>
          <w:color w:val="0F2440"/>
          <w:sz w:val="19"/>
          <w:szCs w:val="19"/>
        </w:rPr>
        <w:t xml:space="preserve">, v. 84, n. 2, p. 242-261, 2003.</w:t>
      </w:r>
    </w:p>
    <w:p>
      <w:pPr>
        <w:spacing w:before="0" w:after="150" w:line="264" w:lineRule="auto"/>
        <w:jc w:val="left"/>
      </w:pPr>
      <w:r>
        <w:rPr>
          <w:rFonts w:ascii="Barlow" w:hAnsi="Barlow" w:cs="Barlow" w:eastAsia="Barlow"/>
          <w:color w:val="0F2440"/>
          <w:sz w:val="19"/>
          <w:szCs w:val="19"/>
        </w:rPr>
        <w:t xml:space="preserve">FIOCRUZ BRASÍLIA. </w:t>
      </w:r>
      <w:r>
        <w:rPr>
          <w:rFonts w:ascii="Barlow SemiBold" w:hAnsi="Barlow SemiBold" w:cs="Barlow SemiBold" w:eastAsia="Barlow SemiBold"/>
          <w:color w:val="0F2440"/>
          <w:sz w:val="19"/>
          <w:szCs w:val="19"/>
        </w:rPr>
        <w:t xml:space="preserve">Protocolo de Inteligência Territorial</w:t>
      </w:r>
      <w:r>
        <w:rPr>
          <w:rFonts w:ascii="Barlow" w:hAnsi="Barlow" w:cs="Barlow" w:eastAsia="Barlow"/>
          <w:color w:val="0F2440"/>
          <w:sz w:val="19"/>
          <w:szCs w:val="19"/>
        </w:rPr>
        <w:t xml:space="preserve">. Versão 2.0. Brasília: Fiocruz Brasília/CoLaboratório CTIS/PICAPS, 2026b.</w:t>
      </w:r>
    </w:p>
    <w:p>
      <w:pPr>
        <w:spacing w:before="0" w:after="150" w:line="264" w:lineRule="auto"/>
        <w:jc w:val="left"/>
      </w:pPr>
      <w:r>
        <w:rPr>
          <w:rFonts w:ascii="Barlow" w:hAnsi="Barlow" w:cs="Barlow" w:eastAsia="Barlow"/>
          <w:color w:val="0F2440"/>
          <w:sz w:val="19"/>
          <w:szCs w:val="19"/>
        </w:rPr>
        <w:t xml:space="preserve">FIOCRUZ BRASÍLIA. </w:t>
      </w:r>
      <w:r>
        <w:rPr>
          <w:rFonts w:ascii="Barlow SemiBold" w:hAnsi="Barlow SemiBold" w:cs="Barlow SemiBold" w:eastAsia="Barlow SemiBold"/>
          <w:color w:val="0F2440"/>
          <w:sz w:val="19"/>
          <w:szCs w:val="19"/>
        </w:rPr>
        <w:t xml:space="preserve">Vigilância popular e governança participativa territorial em saúde</w:t>
      </w:r>
      <w:r>
        <w:rPr>
          <w:rFonts w:ascii="Barlow" w:hAnsi="Barlow" w:cs="Barlow" w:eastAsia="Barlow"/>
          <w:color w:val="0F2440"/>
          <w:sz w:val="19"/>
          <w:szCs w:val="19"/>
        </w:rPr>
        <w:t xml:space="preserve">: estudo qualitativo longitudinal da implementação da metodologia PICAPS no Sol Nascente/Pôr do Sol, Distrito Federal. Projeto de pesquisa. Brasília: Fiocruz Brasília/CTIS, 2026c.</w:t>
      </w:r>
    </w:p>
    <w:p>
      <w:pPr>
        <w:spacing w:before="0" w:after="150" w:line="264" w:lineRule="auto"/>
        <w:jc w:val="left"/>
      </w:pPr>
      <w:r>
        <w:rPr>
          <w:rFonts w:ascii="Barlow" w:hAnsi="Barlow" w:cs="Barlow" w:eastAsia="Barlow"/>
          <w:color w:val="0F2440"/>
          <w:sz w:val="19"/>
          <w:szCs w:val="19"/>
        </w:rPr>
        <w:t xml:space="preserve">IPCC – INTERGOVERNMENTAL PANEL ON CLIMATE CHANGE. </w:t>
      </w:r>
      <w:r>
        <w:rPr>
          <w:rFonts w:ascii="Barlow SemiBold" w:hAnsi="Barlow SemiBold" w:cs="Barlow SemiBold" w:eastAsia="Barlow SemiBold"/>
          <w:color w:val="0F2440"/>
          <w:sz w:val="19"/>
          <w:szCs w:val="19"/>
        </w:rPr>
        <w:t xml:space="preserve">Climate change 2007</w:t>
      </w:r>
      <w:r>
        <w:rPr>
          <w:rFonts w:ascii="Barlow" w:hAnsi="Barlow" w:cs="Barlow" w:eastAsia="Barlow"/>
          <w:color w:val="0F2440"/>
          <w:sz w:val="19"/>
          <w:szCs w:val="19"/>
        </w:rPr>
        <w:t xml:space="preserve">: impacts, adaptation and vulnerability. Contribution of Working Group II to the Fourth Assessment Report. Cambridge: Cambridge University Press, 2007.</w:t>
      </w:r>
    </w:p>
    <w:p>
      <w:pPr>
        <w:spacing w:before="0" w:after="150" w:line="264" w:lineRule="auto"/>
        <w:jc w:val="left"/>
      </w:pPr>
      <w:r>
        <w:rPr>
          <w:rFonts w:ascii="Barlow" w:hAnsi="Barlow" w:cs="Barlow" w:eastAsia="Barlow"/>
          <w:color w:val="0F2440"/>
          <w:sz w:val="19"/>
          <w:szCs w:val="19"/>
        </w:rPr>
        <w:t xml:space="preserve">JANNUZZI, P. M. </w:t>
      </w:r>
      <w:r>
        <w:rPr>
          <w:rFonts w:ascii="Barlow SemiBold" w:hAnsi="Barlow SemiBold" w:cs="Barlow SemiBold" w:eastAsia="Barlow SemiBold"/>
          <w:color w:val="0F2440"/>
          <w:sz w:val="19"/>
          <w:szCs w:val="19"/>
        </w:rPr>
        <w:t xml:space="preserve">Indicadores sociais no Brasil</w:t>
      </w:r>
      <w:r>
        <w:rPr>
          <w:rFonts w:ascii="Barlow" w:hAnsi="Barlow" w:cs="Barlow" w:eastAsia="Barlow"/>
          <w:color w:val="0F2440"/>
          <w:sz w:val="19"/>
          <w:szCs w:val="19"/>
        </w:rPr>
        <w:t xml:space="preserve">: conceitos, fontes de dados e aplicações. Campinas: Alínea, 2001.</w:t>
      </w:r>
    </w:p>
    <w:p>
      <w:pPr>
        <w:spacing w:before="0" w:after="150" w:line="264" w:lineRule="auto"/>
        <w:jc w:val="left"/>
      </w:pPr>
      <w:r>
        <w:rPr>
          <w:rFonts w:ascii="Barlow" w:hAnsi="Barlow" w:cs="Barlow" w:eastAsia="Barlow"/>
          <w:color w:val="0F2440"/>
          <w:sz w:val="19"/>
          <w:szCs w:val="19"/>
        </w:rPr>
        <w:t xml:space="preserve">JANNUZZI, P. M. Indicadores para diagnóstico, monitoramento e avaliação de programas sociais no Brasil. </w:t>
      </w:r>
      <w:r>
        <w:rPr>
          <w:rFonts w:ascii="Barlow SemiBold" w:hAnsi="Barlow SemiBold" w:cs="Barlow SemiBold" w:eastAsia="Barlow SemiBold"/>
          <w:color w:val="0F2440"/>
          <w:sz w:val="19"/>
          <w:szCs w:val="19"/>
        </w:rPr>
        <w:t xml:space="preserve">Revista do Serviço Público</w:t>
      </w:r>
      <w:r>
        <w:rPr>
          <w:rFonts w:ascii="Barlow" w:hAnsi="Barlow" w:cs="Barlow" w:eastAsia="Barlow"/>
          <w:color w:val="0F2440"/>
          <w:sz w:val="19"/>
          <w:szCs w:val="19"/>
        </w:rPr>
        <w:t xml:space="preserve">, v. 56, n. 2, p. 137-160, 2005.</w:t>
      </w:r>
    </w:p>
    <w:p>
      <w:pPr>
        <w:spacing w:before="0" w:after="150" w:line="264" w:lineRule="auto"/>
        <w:jc w:val="left"/>
      </w:pPr>
      <w:r>
        <w:rPr>
          <w:rFonts w:ascii="Barlow" w:hAnsi="Barlow" w:cs="Barlow" w:eastAsia="Barlow"/>
          <w:color w:val="0F2440"/>
          <w:sz w:val="19"/>
          <w:szCs w:val="19"/>
        </w:rPr>
        <w:t xml:space="preserve">LAURELL, A. C. La salud-enfermedad como proceso social. </w:t>
      </w:r>
      <w:r>
        <w:rPr>
          <w:rFonts w:ascii="Barlow SemiBold" w:hAnsi="Barlow SemiBold" w:cs="Barlow SemiBold" w:eastAsia="Barlow SemiBold"/>
          <w:color w:val="0F2440"/>
          <w:sz w:val="19"/>
          <w:szCs w:val="19"/>
        </w:rPr>
        <w:t xml:space="preserve">Revista Latinoamericana de Salud</w:t>
      </w:r>
      <w:r>
        <w:rPr>
          <w:rFonts w:ascii="Barlow" w:hAnsi="Barlow" w:cs="Barlow" w:eastAsia="Barlow"/>
          <w:color w:val="0F2440"/>
          <w:sz w:val="19"/>
          <w:szCs w:val="19"/>
        </w:rPr>
        <w:t xml:space="preserve">, México, v. 2, p. 7-25, 1982.</w:t>
      </w:r>
    </w:p>
    <w:p>
      <w:pPr>
        <w:spacing w:before="0" w:after="150" w:line="264" w:lineRule="auto"/>
        <w:jc w:val="left"/>
      </w:pPr>
      <w:r>
        <w:rPr>
          <w:rFonts w:ascii="Barlow" w:hAnsi="Barlow" w:cs="Barlow" w:eastAsia="Barlow"/>
          <w:color w:val="0F2440"/>
          <w:sz w:val="19"/>
          <w:szCs w:val="19"/>
        </w:rPr>
        <w:t xml:space="preserve">LYNN, M. R. Determination and quantification of content validity. </w:t>
      </w:r>
      <w:r>
        <w:rPr>
          <w:rFonts w:ascii="Barlow SemiBold" w:hAnsi="Barlow SemiBold" w:cs="Barlow SemiBold" w:eastAsia="Barlow SemiBold"/>
          <w:color w:val="0F2440"/>
          <w:sz w:val="19"/>
          <w:szCs w:val="19"/>
        </w:rPr>
        <w:t xml:space="preserve">Nursing Research</w:t>
      </w:r>
      <w:r>
        <w:rPr>
          <w:rFonts w:ascii="Barlow" w:hAnsi="Barlow" w:cs="Barlow" w:eastAsia="Barlow"/>
          <w:color w:val="0F2440"/>
          <w:sz w:val="19"/>
          <w:szCs w:val="19"/>
        </w:rPr>
        <w:t xml:space="preserve">, v. 35, n. 6, p. 382-385, 1986.</w:t>
      </w:r>
    </w:p>
    <w:p>
      <w:pPr>
        <w:spacing w:before="0" w:after="150" w:line="264" w:lineRule="auto"/>
        <w:jc w:val="left"/>
      </w:pPr>
      <w:r>
        <w:rPr>
          <w:rFonts w:ascii="Barlow" w:hAnsi="Barlow" w:cs="Barlow" w:eastAsia="Barlow"/>
          <w:color w:val="0F2440"/>
          <w:sz w:val="19"/>
          <w:szCs w:val="19"/>
        </w:rPr>
        <w:t xml:space="preserve">MACHINER, F.; CIRENO, F.; SILVA, M. E.; CASTRO, J. </w:t>
      </w:r>
      <w:r>
        <w:rPr>
          <w:rFonts w:ascii="Barlow SemiBold" w:hAnsi="Barlow SemiBold" w:cs="Barlow SemiBold" w:eastAsia="Barlow SemiBold"/>
          <w:color w:val="0F2440"/>
          <w:sz w:val="19"/>
          <w:szCs w:val="19"/>
        </w:rPr>
        <w:t xml:space="preserve">Índice de Necessidade de Saúde</w:t>
      </w:r>
      <w:r>
        <w:rPr>
          <w:rFonts w:ascii="Barlow" w:hAnsi="Barlow" w:cs="Barlow" w:eastAsia="Barlow"/>
          <w:color w:val="0F2440"/>
          <w:sz w:val="19"/>
          <w:szCs w:val="19"/>
        </w:rPr>
        <w:t xml:space="preserve">: recorte municipal (INS-M) e distrital (INS-DF). Versão 2.0. Brasília: Fiocruz Brasília/CTIS, 2026.</w:t>
      </w:r>
    </w:p>
    <w:p>
      <w:pPr>
        <w:spacing w:before="0" w:after="150" w:line="264" w:lineRule="auto"/>
        <w:jc w:val="left"/>
      </w:pPr>
      <w:r>
        <w:rPr>
          <w:rFonts w:ascii="Barlow" w:hAnsi="Barlow" w:cs="Barlow" w:eastAsia="Barlow"/>
          <w:color w:val="0F2440"/>
          <w:sz w:val="19"/>
          <w:szCs w:val="19"/>
        </w:rPr>
        <w:t xml:space="preserve">MACKENBACH, J. P.; KUNST, A. E. Measuring the magnitude of socio-economic inequalities in health. </w:t>
      </w:r>
      <w:r>
        <w:rPr>
          <w:rFonts w:ascii="Barlow SemiBold" w:hAnsi="Barlow SemiBold" w:cs="Barlow SemiBold" w:eastAsia="Barlow SemiBold"/>
          <w:color w:val="0F2440"/>
          <w:sz w:val="19"/>
          <w:szCs w:val="19"/>
        </w:rPr>
        <w:t xml:space="preserve">Social Science &amp; Medicine</w:t>
      </w:r>
      <w:r>
        <w:rPr>
          <w:rFonts w:ascii="Barlow" w:hAnsi="Barlow" w:cs="Barlow" w:eastAsia="Barlow"/>
          <w:color w:val="0F2440"/>
          <w:sz w:val="19"/>
          <w:szCs w:val="19"/>
        </w:rPr>
        <w:t xml:space="preserve">, v. 44, n. 6, p. 757-771, 1997.</w:t>
      </w:r>
    </w:p>
    <w:p>
      <w:pPr>
        <w:spacing w:before="0" w:after="150" w:line="264" w:lineRule="auto"/>
        <w:jc w:val="left"/>
      </w:pPr>
      <w:r>
        <w:rPr>
          <w:rFonts w:ascii="Barlow" w:hAnsi="Barlow" w:cs="Barlow" w:eastAsia="Barlow"/>
          <w:color w:val="0F2440"/>
          <w:sz w:val="19"/>
          <w:szCs w:val="19"/>
        </w:rPr>
        <w:t xml:space="preserve">MARSHALL, R. J. Mapping disease and mortality rates using empirical Bayes estimators. </w:t>
      </w:r>
      <w:r>
        <w:rPr>
          <w:rFonts w:ascii="Barlow SemiBold" w:hAnsi="Barlow SemiBold" w:cs="Barlow SemiBold" w:eastAsia="Barlow SemiBold"/>
          <w:color w:val="0F2440"/>
          <w:sz w:val="19"/>
          <w:szCs w:val="19"/>
        </w:rPr>
        <w:t xml:space="preserve">Journal of the Royal Statistical Society</w:t>
      </w:r>
      <w:r>
        <w:rPr>
          <w:rFonts w:ascii="Barlow" w:hAnsi="Barlow" w:cs="Barlow" w:eastAsia="Barlow"/>
          <w:color w:val="0F2440"/>
          <w:sz w:val="19"/>
          <w:szCs w:val="19"/>
        </w:rPr>
        <w:t xml:space="preserve">: Series C (Applied Statistics), v. 40, n. 2, p. 283-294, 1991.</w:t>
      </w:r>
    </w:p>
    <w:p>
      <w:pPr>
        <w:spacing w:before="0" w:after="150" w:line="264" w:lineRule="auto"/>
        <w:jc w:val="left"/>
      </w:pPr>
      <w:r>
        <w:rPr>
          <w:rFonts w:ascii="Barlow" w:hAnsi="Barlow" w:cs="Barlow" w:eastAsia="Barlow"/>
          <w:color w:val="0F2440"/>
          <w:sz w:val="19"/>
          <w:szCs w:val="19"/>
        </w:rPr>
        <w:t xml:space="preserve">NARDO, M. et al. </w:t>
      </w:r>
      <w:r>
        <w:rPr>
          <w:rFonts w:ascii="Barlow SemiBold" w:hAnsi="Barlow SemiBold" w:cs="Barlow SemiBold" w:eastAsia="Barlow SemiBold"/>
          <w:color w:val="0F2440"/>
          <w:sz w:val="19"/>
          <w:szCs w:val="19"/>
        </w:rPr>
        <w:t xml:space="preserve">Handbook on constructing composite indicators</w:t>
      </w:r>
      <w:r>
        <w:rPr>
          <w:rFonts w:ascii="Barlow" w:hAnsi="Barlow" w:cs="Barlow" w:eastAsia="Barlow"/>
          <w:color w:val="0F2440"/>
          <w:sz w:val="19"/>
          <w:szCs w:val="19"/>
        </w:rPr>
        <w:t xml:space="preserve">: methodology and user guide. Paris: OECD/JRC, 2008.</w:t>
      </w:r>
    </w:p>
    <w:p>
      <w:pPr>
        <w:spacing w:before="0" w:after="150" w:line="264" w:lineRule="auto"/>
        <w:jc w:val="left"/>
      </w:pPr>
      <w:r>
        <w:rPr>
          <w:rFonts w:ascii="Barlow" w:hAnsi="Barlow" w:cs="Barlow" w:eastAsia="Barlow"/>
          <w:color w:val="0F2440"/>
          <w:sz w:val="19"/>
          <w:szCs w:val="19"/>
        </w:rPr>
        <w:t xml:space="preserve">OECD – ORGANISATION FOR ECONOMIC CO-OPERATION AND DEVELOPMENT. </w:t>
      </w:r>
      <w:r>
        <w:rPr>
          <w:rFonts w:ascii="Barlow SemiBold" w:hAnsi="Barlow SemiBold" w:cs="Barlow SemiBold" w:eastAsia="Barlow SemiBold"/>
          <w:color w:val="0F2440"/>
          <w:sz w:val="19"/>
          <w:szCs w:val="19"/>
        </w:rPr>
        <w:t xml:space="preserve">OECD core set of indicators for environmental performance reviews</w:t>
      </w:r>
      <w:r>
        <w:rPr>
          <w:rFonts w:ascii="Barlow" w:hAnsi="Barlow" w:cs="Barlow" w:eastAsia="Barlow"/>
          <w:color w:val="0F2440"/>
          <w:sz w:val="19"/>
          <w:szCs w:val="19"/>
        </w:rPr>
        <w:t xml:space="preserve">. Paris: OECD, 1993. (Environment Monographs, n. 83).</w:t>
      </w:r>
    </w:p>
    <w:p>
      <w:pPr>
        <w:spacing w:before="0" w:after="150" w:line="264" w:lineRule="auto"/>
        <w:jc w:val="left"/>
      </w:pPr>
      <w:r>
        <w:rPr>
          <w:rFonts w:ascii="Barlow" w:hAnsi="Barlow" w:cs="Barlow" w:eastAsia="Barlow"/>
          <w:color w:val="0F2440"/>
          <w:sz w:val="19"/>
          <w:szCs w:val="19"/>
        </w:rPr>
        <w:t xml:space="preserve">OECD – ORGANISATION FOR ECONOMIC CO-OPERATION AND DEVELOPMENT. </w:t>
      </w:r>
      <w:r>
        <w:rPr>
          <w:rFonts w:ascii="Barlow SemiBold" w:hAnsi="Barlow SemiBold" w:cs="Barlow SemiBold" w:eastAsia="Barlow SemiBold"/>
          <w:color w:val="0F2440"/>
          <w:sz w:val="19"/>
          <w:szCs w:val="19"/>
        </w:rPr>
        <w:t xml:space="preserve">Environmental indicators</w:t>
      </w:r>
      <w:r>
        <w:rPr>
          <w:rFonts w:ascii="Barlow" w:hAnsi="Barlow" w:cs="Barlow" w:eastAsia="Barlow"/>
          <w:color w:val="0F2440"/>
          <w:sz w:val="19"/>
          <w:szCs w:val="19"/>
        </w:rPr>
        <w:t xml:space="preserve">: development, measurement and use. Paris: OECD, 2003.</w:t>
      </w:r>
    </w:p>
    <w:p>
      <w:pPr>
        <w:spacing w:before="0" w:after="150" w:line="264" w:lineRule="auto"/>
        <w:jc w:val="left"/>
      </w:pPr>
      <w:r>
        <w:rPr>
          <w:rFonts w:ascii="Barlow" w:hAnsi="Barlow" w:cs="Barlow" w:eastAsia="Barlow"/>
          <w:color w:val="0F2440"/>
          <w:sz w:val="19"/>
          <w:szCs w:val="19"/>
        </w:rPr>
        <w:t xml:space="preserve">OPENSHAW, S. </w:t>
      </w:r>
      <w:r>
        <w:rPr>
          <w:rFonts w:ascii="Barlow SemiBold" w:hAnsi="Barlow SemiBold" w:cs="Barlow SemiBold" w:eastAsia="Barlow SemiBold"/>
          <w:color w:val="0F2440"/>
          <w:sz w:val="19"/>
          <w:szCs w:val="19"/>
        </w:rPr>
        <w:t xml:space="preserve">The modifiable areal unit problem</w:t>
      </w:r>
      <w:r>
        <w:rPr>
          <w:rFonts w:ascii="Barlow" w:hAnsi="Barlow" w:cs="Barlow" w:eastAsia="Barlow"/>
          <w:color w:val="0F2440"/>
          <w:sz w:val="19"/>
          <w:szCs w:val="19"/>
        </w:rPr>
        <w:t xml:space="preserve">. Norwich: Geo Books, 1984.</w:t>
      </w:r>
    </w:p>
    <w:p>
      <w:pPr>
        <w:spacing w:before="0" w:after="150" w:line="264" w:lineRule="auto"/>
        <w:jc w:val="left"/>
      </w:pPr>
      <w:r>
        <w:rPr>
          <w:rFonts w:ascii="Barlow" w:hAnsi="Barlow" w:cs="Barlow" w:eastAsia="Barlow"/>
          <w:color w:val="0F2440"/>
          <w:sz w:val="19"/>
          <w:szCs w:val="19"/>
        </w:rPr>
        <w:t xml:space="preserve">POLIT, D. F.; BECK, C. T. The content validity index: are you sure you know what's being reported? </w:t>
      </w:r>
      <w:r>
        <w:rPr>
          <w:rFonts w:ascii="Barlow SemiBold" w:hAnsi="Barlow SemiBold" w:cs="Barlow SemiBold" w:eastAsia="Barlow SemiBold"/>
          <w:color w:val="0F2440"/>
          <w:sz w:val="19"/>
          <w:szCs w:val="19"/>
        </w:rPr>
        <w:t xml:space="preserve">Research in Nursing &amp; Health</w:t>
      </w:r>
      <w:r>
        <w:rPr>
          <w:rFonts w:ascii="Barlow" w:hAnsi="Barlow" w:cs="Barlow" w:eastAsia="Barlow"/>
          <w:color w:val="0F2440"/>
          <w:sz w:val="19"/>
          <w:szCs w:val="19"/>
        </w:rPr>
        <w:t xml:space="preserve">, v. 29, n. 5, p. 489-497, 2006.</w:t>
      </w:r>
    </w:p>
    <w:p>
      <w:pPr>
        <w:spacing w:before="0" w:after="150" w:line="264" w:lineRule="auto"/>
        <w:jc w:val="left"/>
      </w:pPr>
      <w:r>
        <w:rPr>
          <w:rFonts w:ascii="Barlow" w:hAnsi="Barlow" w:cs="Barlow" w:eastAsia="Barlow"/>
          <w:color w:val="0F2440"/>
          <w:sz w:val="19"/>
          <w:szCs w:val="19"/>
        </w:rPr>
        <w:t xml:space="preserve">PEREIRA, R. H. M.; GONÇALVES, C. N. </w:t>
      </w:r>
      <w:r>
        <w:rPr>
          <w:rFonts w:ascii="Barlow SemiBold" w:hAnsi="Barlow SemiBold" w:cs="Barlow SemiBold" w:eastAsia="Barlow SemiBold"/>
          <w:color w:val="0F2440"/>
          <w:sz w:val="19"/>
          <w:szCs w:val="19"/>
        </w:rPr>
        <w:t xml:space="preserve">geobr</w:t>
      </w:r>
      <w:r>
        <w:rPr>
          <w:rFonts w:ascii="Barlow" w:hAnsi="Barlow" w:cs="Barlow" w:eastAsia="Barlow"/>
          <w:color w:val="0F2440"/>
          <w:sz w:val="19"/>
          <w:szCs w:val="19"/>
        </w:rPr>
        <w:t xml:space="preserve">: loads shapefiles of official spatial data sets of Brazil. R package. 2021.</w:t>
      </w:r>
    </w:p>
    <w:p>
      <w:pPr>
        <w:spacing w:before="0" w:after="150" w:line="264" w:lineRule="auto"/>
        <w:jc w:val="left"/>
      </w:pPr>
      <w:r>
        <w:rPr>
          <w:rFonts w:ascii="Barlow" w:hAnsi="Barlow" w:cs="Barlow" w:eastAsia="Barlow"/>
          <w:color w:val="0F2440"/>
          <w:sz w:val="19"/>
          <w:szCs w:val="19"/>
        </w:rPr>
        <w:t xml:space="preserve">SAISANA, M.; SALTELLI, A.; TARANTOLA, S. Uncertainty and sensitivity analysis techniques as tools for the quality assessment of composite indicators. </w:t>
      </w:r>
      <w:r>
        <w:rPr>
          <w:rFonts w:ascii="Barlow SemiBold" w:hAnsi="Barlow SemiBold" w:cs="Barlow SemiBold" w:eastAsia="Barlow SemiBold"/>
          <w:color w:val="0F2440"/>
          <w:sz w:val="19"/>
          <w:szCs w:val="19"/>
        </w:rPr>
        <w:t xml:space="preserve">Journal of the Royal Statistical Society</w:t>
      </w:r>
      <w:r>
        <w:rPr>
          <w:rFonts w:ascii="Barlow" w:hAnsi="Barlow" w:cs="Barlow" w:eastAsia="Barlow"/>
          <w:color w:val="0F2440"/>
          <w:sz w:val="19"/>
          <w:szCs w:val="19"/>
        </w:rPr>
        <w:t xml:space="preserve">: Series A, v. 168, n. 2, p. 307-323, 2005.</w:t>
      </w:r>
    </w:p>
    <w:p>
      <w:pPr>
        <w:spacing w:before="0" w:after="150" w:line="264" w:lineRule="auto"/>
        <w:jc w:val="left"/>
      </w:pPr>
      <w:r>
        <w:rPr>
          <w:rFonts w:ascii="Barlow" w:hAnsi="Barlow" w:cs="Barlow" w:eastAsia="Barlow"/>
          <w:color w:val="0F2440"/>
          <w:sz w:val="19"/>
          <w:szCs w:val="19"/>
        </w:rPr>
        <w:t xml:space="preserve">SALDANHA, R. F.; BASTOS, R. R.; BARCELLOS, C. Microdatasus: pacote para download e pré-processamento de microdados do Departamento de Informática do SUS (DATASUS). </w:t>
      </w:r>
      <w:r>
        <w:rPr>
          <w:rFonts w:ascii="Barlow SemiBold" w:hAnsi="Barlow SemiBold" w:cs="Barlow SemiBold" w:eastAsia="Barlow SemiBold"/>
          <w:color w:val="0F2440"/>
          <w:sz w:val="19"/>
          <w:szCs w:val="19"/>
        </w:rPr>
        <w:t xml:space="preserve">Cadernos de Saúde Pública</w:t>
      </w:r>
      <w:r>
        <w:rPr>
          <w:rFonts w:ascii="Barlow" w:hAnsi="Barlow" w:cs="Barlow" w:eastAsia="Barlow"/>
          <w:color w:val="0F2440"/>
          <w:sz w:val="19"/>
          <w:szCs w:val="19"/>
        </w:rPr>
        <w:t xml:space="preserve">, v. 35, n. 9, e00032419, 2019.</w:t>
      </w:r>
    </w:p>
    <w:p>
      <w:pPr>
        <w:spacing w:before="0" w:after="150" w:line="264" w:lineRule="auto"/>
        <w:jc w:val="left"/>
      </w:pPr>
      <w:r>
        <w:rPr>
          <w:rFonts w:ascii="Barlow" w:hAnsi="Barlow" w:cs="Barlow" w:eastAsia="Barlow"/>
          <w:color w:val="0F2440"/>
          <w:sz w:val="19"/>
          <w:szCs w:val="19"/>
        </w:rPr>
        <w:t xml:space="preserve">SANTOS, M. </w:t>
      </w:r>
      <w:r>
        <w:rPr>
          <w:rFonts w:ascii="Barlow SemiBold" w:hAnsi="Barlow SemiBold" w:cs="Barlow SemiBold" w:eastAsia="Barlow SemiBold"/>
          <w:color w:val="0F2440"/>
          <w:sz w:val="19"/>
          <w:szCs w:val="19"/>
        </w:rPr>
        <w:t xml:space="preserve">A natureza do espaço</w:t>
      </w:r>
      <w:r>
        <w:rPr>
          <w:rFonts w:ascii="Barlow" w:hAnsi="Barlow" w:cs="Barlow" w:eastAsia="Barlow"/>
          <w:color w:val="0F2440"/>
          <w:sz w:val="19"/>
          <w:szCs w:val="19"/>
        </w:rPr>
        <w:t xml:space="preserve">: técnica e tempo, razão e emoção. 3. ed. São Paulo: Edusp, 2002.</w:t>
      </w:r>
    </w:p>
    <w:p>
      <w:pPr>
        <w:spacing w:before="0" w:after="150" w:line="264" w:lineRule="auto"/>
        <w:jc w:val="left"/>
      </w:pPr>
      <w:r>
        <w:rPr>
          <w:rFonts w:ascii="Barlow" w:hAnsi="Barlow" w:cs="Barlow" w:eastAsia="Barlow"/>
          <w:color w:val="0F2440"/>
          <w:sz w:val="19"/>
          <w:szCs w:val="19"/>
        </w:rPr>
        <w:t xml:space="preserve">TOWNSEND, P.; PHILLIMORE, P.; BEATTIE, A. </w:t>
      </w:r>
      <w:r>
        <w:rPr>
          <w:rFonts w:ascii="Barlow SemiBold" w:hAnsi="Barlow SemiBold" w:cs="Barlow SemiBold" w:eastAsia="Barlow SemiBold"/>
          <w:color w:val="0F2440"/>
          <w:sz w:val="19"/>
          <w:szCs w:val="19"/>
        </w:rPr>
        <w:t xml:space="preserve">Health and deprivation</w:t>
      </w:r>
      <w:r>
        <w:rPr>
          <w:rFonts w:ascii="Barlow" w:hAnsi="Barlow" w:cs="Barlow" w:eastAsia="Barlow"/>
          <w:color w:val="0F2440"/>
          <w:sz w:val="19"/>
          <w:szCs w:val="19"/>
        </w:rPr>
        <w:t xml:space="preserve">: inequality and the North. London: Croom Helm, 1988.</w:t>
      </w:r>
    </w:p>
    <w:p>
      <w:pPr>
        <w:spacing w:before="0" w:after="150" w:line="264" w:lineRule="auto"/>
        <w:jc w:val="left"/>
      </w:pPr>
      <w:r>
        <w:rPr>
          <w:rFonts w:ascii="Barlow" w:hAnsi="Barlow" w:cs="Barlow" w:eastAsia="Barlow"/>
          <w:color w:val="0F2440"/>
          <w:sz w:val="19"/>
          <w:szCs w:val="19"/>
        </w:rPr>
        <w:t xml:space="preserve">UNDRR – UNITED NATIONS OFFICE FOR DISASTER RISK REDUCTION. </w:t>
      </w:r>
      <w:r>
        <w:rPr>
          <w:rFonts w:ascii="Barlow SemiBold" w:hAnsi="Barlow SemiBold" w:cs="Barlow SemiBold" w:eastAsia="Barlow SemiBold"/>
          <w:color w:val="0F2440"/>
          <w:sz w:val="19"/>
          <w:szCs w:val="19"/>
        </w:rPr>
        <w:t xml:space="preserve">Report of the open-ended intergovernmental expert working group on indicators and terminology relating to disaster risk reduction</w:t>
      </w:r>
      <w:r>
        <w:rPr>
          <w:rFonts w:ascii="Barlow" w:hAnsi="Barlow" w:cs="Barlow" w:eastAsia="Barlow"/>
          <w:color w:val="0F2440"/>
          <w:sz w:val="19"/>
          <w:szCs w:val="19"/>
        </w:rPr>
        <w:t xml:space="preserve">. Geneva: UNDRR, 2017.</w:t>
      </w:r>
    </w:p>
    <w:p>
      <w:pPr>
        <w:spacing w:before="0" w:after="150" w:line="264" w:lineRule="auto"/>
        <w:jc w:val="left"/>
        <w:sectPr>
          <w:headerReference w:type="default" r:id="rId31"/>
          <w:headerReference w:type="even" r:id="rId17"/>
          <w:footerReference w:type="default" r:id="rId18"/>
          <w:footerReference w:type="even" r:id="rId19"/>
          <w:type w:val="nextPage"/>
          <w:pgSz w:w="11906" w:h="16838"/>
          <w:pgMar w:top="1474" w:right="1531" w:bottom="1814" w:left="1531" w:header="850" w:footer="330" w:gutter="0"/>
          <w:cols w:space="720"/>
          <w:docGrid w:linePitch="360"/>
        </w:sectPr>
      </w:pPr>
      <w:r>
        <w:rPr>
          <w:rFonts w:ascii="Barlow" w:hAnsi="Barlow" w:cs="Barlow" w:eastAsia="Barlow"/>
          <w:color w:val="0F2440"/>
          <w:sz w:val="19"/>
          <w:szCs w:val="19"/>
        </w:rPr>
        <w:t xml:space="preserve">WISNER, B. et al. </w:t>
      </w:r>
      <w:r>
        <w:rPr>
          <w:rFonts w:ascii="Barlow SemiBold" w:hAnsi="Barlow SemiBold" w:cs="Barlow SemiBold" w:eastAsia="Barlow SemiBold"/>
          <w:color w:val="0F2440"/>
          <w:sz w:val="19"/>
          <w:szCs w:val="19"/>
        </w:rPr>
        <w:t xml:space="preserve">At risk</w:t>
      </w:r>
      <w:r>
        <w:rPr>
          <w:rFonts w:ascii="Barlow" w:hAnsi="Barlow" w:cs="Barlow" w:eastAsia="Barlow"/>
          <w:color w:val="0F2440"/>
          <w:sz w:val="19"/>
          <w:szCs w:val="19"/>
        </w:rPr>
        <w:t xml:space="preserve">: natural hazards, people's vulnerability and disasters. 2. ed. London: Routledge, 2004.</w:t>
      </w:r>
    </w:p>
    <w:p>
      <w:pPr>
        <w:pStyle w:val="Heading1"/>
        <w:pBdr>
          <w:bottom w:val="single" w:sz="12" w:space="10" w:color="007614"/>
        </w:pBdr>
        <w:spacing w:before="120" w:after="380" w:line="600" w:lineRule="exact"/>
        <w:jc w:val="left"/>
      </w:pPr>
      <w:bookmarkStart w:id="63" w:name="_h51"/>
      <w:r>
        <w:rPr>
          <w:rFonts w:ascii="Barlow Condensed" w:hAnsi="Barlow Condensed" w:cs="Barlow Condensed" w:eastAsia="Barlow Condensed"/>
          <w:b/>
          <w:bCs/>
          <w:color w:val="007614"/>
          <w:sz w:val="52"/>
          <w:szCs w:val="52"/>
        </w:rPr>
        <w:t xml:space="preserve">APÊNDICE A — </w:t>
      </w:r>
      <w:r>
        <w:rPr>
          <w:rFonts w:ascii="Barlow Condensed" w:hAnsi="Barlow Condensed" w:cs="Barlow Condensed" w:eastAsia="Barlow Condensed"/>
          <w:b/>
          <w:bCs/>
          <w:color w:val="01366F"/>
          <w:sz w:val="52"/>
          <w:szCs w:val="52"/>
        </w:rPr>
        <w:t xml:space="preserve">FICHAS TÉCNICAS DOS INDICADORES</w:t>
      </w:r>
      <w:bookmarkEnd w:id="63"/>
    </w:p>
    <w:p>
      <w:pPr>
        <w:spacing w:before="0" w:after="140" w:line="300" w:lineRule="auto"/>
        <w:jc w:val="both"/>
      </w:pPr>
      <w:r>
        <w:rPr>
          <w:rFonts w:ascii="Barlow" w:hAnsi="Barlow" w:cs="Barlow" w:eastAsia="Barlow"/>
          <w:color w:val="0F2440"/>
          <w:sz w:val="20"/>
          <w:szCs w:val="20"/>
        </w:rPr>
        <w:t xml:space="preserve">Convenções: todos os indicadores são proporções em percentual (0 a 100), com polaridade positiva (valor maior indica maior vulnerabilidade). A unidade de cálculo é o setor censitário. Exceto E3, nível pelo Censo Demográfico 2022 e variação pelo registro indicado, segundo a regra de encadeamento da seção 4.2; E3 é calculado diretamente sobre os endereços do CNEFE.</w:t>
      </w: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Ficha E1 – </w:t>
      </w:r>
      <w:r>
        <w:rPr>
          <w:rFonts w:ascii="Barlow Condensed SemiBold" w:hAnsi="Barlow Condensed SemiBold" w:cs="Barlow Condensed SemiBold" w:eastAsia="Barlow Condensed SemiBold"/>
          <w:color w:val="01366F"/>
          <w:sz w:val="21"/>
          <w:szCs w:val="21"/>
        </w:rPr>
        <w:t xml:space="preserve">Saneamento domiciliar inadequado</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122"/>
        <w:gridCol w:w="6722"/>
      </w:tblGrid>
      <w:tr>
        <w:trPr>
          <w:tblHeader/>
          <w:cantSplit/>
        </w:trPr>
        <w:tc>
          <w:tcPr>
            <w:tcW w:w="212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72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Especificação</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Média aritmética das proporções de domicílios com abastecimento de água inadequado, com esgotamento sanitário inadequado e sem coleta de lixo</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Classificação de inadequação</w:t>
            </w:r>
          </w:p>
        </w:tc>
        <w:tc>
          <w:tcPr>
            <w:tcW w:w="67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Água: fonte distinta de rede geral, poço ou nascente. Esgotamento: fossa rudimentar, vala, despejo direto em curso d'água, céu aberto, outra forma ou ausência de banheiro. Lixo: não coletado por serviço de limpeza ou caçamba</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Numerador e denominador</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Domicílios em cada situação de carência / domicílios particulares permanentes ocupados (Censo) ou domicílios cadastrados (e-SUS APS)</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Encadeamento</w:t>
            </w:r>
          </w:p>
        </w:tc>
        <w:tc>
          <w:tcPr>
            <w:tcW w:w="67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Proporções do mesmo registro: X̂ = X(Censo) × [r(t) / r(Censo)], por componente, antes da média</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Variação contínua; cálculo semestral</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Meta-indicador</w:t>
            </w:r>
          </w:p>
        </w:tc>
        <w:tc>
          <w:tcPr>
            <w:tcW w:w="67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Cobertura do cadastro domiciliar do e-SUS APS no setor</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Limitações</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Fossa séptica tratada como adequada, o que é discutível em áreas densas com lençol freático raso; categorias do e-SUS e do Censo exigem correspondência explícita</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Harmonização</w:t>
            </w:r>
          </w:p>
        </w:tc>
        <w:tc>
          <w:tcPr>
            <w:tcW w:w="67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Mesma definição do indicador A2 do INS</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Ficha E2 – </w:t>
      </w:r>
      <w:r>
        <w:rPr>
          <w:rFonts w:ascii="Barlow Condensed SemiBold" w:hAnsi="Barlow Condensed SemiBold" w:cs="Barlow Condensed SemiBold" w:eastAsia="Barlow Condensed SemiBold"/>
          <w:color w:val="01366F"/>
          <w:sz w:val="21"/>
          <w:szCs w:val="21"/>
        </w:rPr>
        <w:t xml:space="preserve">Adensamento domiciliar excessivo</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122"/>
        <w:gridCol w:w="6722"/>
      </w:tblGrid>
      <w:tr>
        <w:trPr>
          <w:tblHeader/>
          <w:cantSplit/>
        </w:trPr>
        <w:tc>
          <w:tcPr>
            <w:tcW w:w="212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72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Especificação</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de domicílios com mais de três moradores por cômodo que serve de dormitório</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Numerador e denominador</w:t>
            </w:r>
          </w:p>
        </w:tc>
        <w:tc>
          <w:tcPr>
            <w:tcW w:w="67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Domicílios adensados / domicílios particulares permanentes ocupados</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Encadeamento</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Contagens: X̂ = X(Censo) × [N(t) / N(Censo)] / [D(t) / D(Censo)], com N = domicílios adensados no Cadastro Único e D = domicílios cadastrados no e-SUS APS</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7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Variação mensal (média móvel de 12 meses); cálculo semestral</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Meta-indicador</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Cobertura do Cadastro Único sobre a população de baixa renda estimada</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Limitações</w:t>
            </w:r>
          </w:p>
        </w:tc>
        <w:tc>
          <w:tcPr>
            <w:tcW w:w="67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 variação reflete apenas as famílias inscritas no Cadastro Único</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Harmonização</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Mesma definição do indicador A3 do INS</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Ficha E3 – </w:t>
      </w:r>
      <w:r>
        <w:rPr>
          <w:rFonts w:ascii="Barlow Condensed SemiBold" w:hAnsi="Barlow Condensed SemiBold" w:cs="Barlow Condensed SemiBold" w:eastAsia="Barlow Condensed SemiBold"/>
          <w:color w:val="01366F"/>
          <w:sz w:val="21"/>
          <w:szCs w:val="21"/>
        </w:rPr>
        <w:t xml:space="preserve">Domicílios em área de risco</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122"/>
        <w:gridCol w:w="6722"/>
      </w:tblGrid>
      <w:tr>
        <w:trPr>
          <w:tblHeader/>
          <w:cantSplit/>
        </w:trPr>
        <w:tc>
          <w:tcPr>
            <w:tcW w:w="212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72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Especificação</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de domicílios localizados em áreas de risco de inundação, alagamento, enxurrada ou movimento de massa</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Numerador e denominador</w:t>
            </w:r>
          </w:p>
        </w:tc>
        <w:tc>
          <w:tcPr>
            <w:tcW w:w="67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Domicílios do CNEFE 2022 cujo endereço georreferenciado está em área de risco / domicílios do CNEFE no setor; base independente da cobertura da ESF</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Camada de risco</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Mapeamento oficial (Defesa Civil, Serviço Geológico do Brasil), acrescido das áreas identificadas pela cartografia social e confirmadas em vistoria conjunta</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7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Camada atualizada anualmente; cálculo semestral</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Regra de série</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Áreas incorporadas por verificação são aplicadas retroativamente a toda a série (revisão de medida)</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Limitações</w:t>
            </w:r>
          </w:p>
        </w:tc>
        <w:tc>
          <w:tcPr>
            <w:tcW w:w="67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Mapeamento oficial incompleto e desigual; não capta intensidade nem recorrência dos eventos, acompanhadas no PVI</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Ficha S1 – </w:t>
      </w:r>
      <w:r>
        <w:rPr>
          <w:rFonts w:ascii="Barlow Condensed SemiBold" w:hAnsi="Barlow Condensed SemiBold" w:cs="Barlow Condensed SemiBold" w:eastAsia="Barlow Condensed SemiBold"/>
          <w:color w:val="01366F"/>
          <w:sz w:val="21"/>
          <w:szCs w:val="21"/>
        </w:rPr>
        <w:t xml:space="preserve">Baixa renda</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122"/>
        <w:gridCol w:w="6722"/>
      </w:tblGrid>
      <w:tr>
        <w:trPr>
          <w:tblHeader/>
          <w:cantSplit/>
        </w:trPr>
        <w:tc>
          <w:tcPr>
            <w:tcW w:w="212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72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Especificação</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de pessoas em famílias com renda per capita igual ou inferior a meio salário-mínimo do ano-base, corrigido pelo INPC</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Numerador e denominador</w:t>
            </w:r>
          </w:p>
        </w:tc>
        <w:tc>
          <w:tcPr>
            <w:tcW w:w="67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Pessoas abaixo da linha / população residente</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Encadeamento</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Contagens: X̂ = X(Censo) × [N(t) / N(Censo)] / [P(t) / P(Censo)], com N = pessoas abaixo da linha no Cadastro Único e P = pessoas cadastradas no e-SUS APS</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7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Variação mensal (média móvel de 12 meses); cálculo semestral</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Meta-indicador</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Cobertura do Cadastro Único</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Limitações</w:t>
            </w:r>
          </w:p>
        </w:tc>
        <w:tc>
          <w:tcPr>
            <w:tcW w:w="67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Renda declarada; ignora renda não monetária; cobertura do Cadastro Único depende de busca ativa</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Harmonização</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Mesma definição do indicador A1 do INS</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Ficha S2 – </w:t>
      </w:r>
      <w:r>
        <w:rPr>
          <w:rFonts w:ascii="Barlow Condensed SemiBold" w:hAnsi="Barlow Condensed SemiBold" w:cs="Barlow Condensed SemiBold" w:eastAsia="Barlow Condensed SemiBold"/>
          <w:color w:val="01366F"/>
          <w:sz w:val="21"/>
          <w:szCs w:val="21"/>
        </w:rPr>
        <w:t xml:space="preserve">Primeira infância</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122"/>
        <w:gridCol w:w="6722"/>
      </w:tblGrid>
      <w:tr>
        <w:trPr>
          <w:tblHeader/>
          <w:cantSplit/>
        </w:trPr>
        <w:tc>
          <w:tcPr>
            <w:tcW w:w="212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72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Especificação</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de pessoas de 0 a 4 anos completos na população residente</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Encadeamento</w:t>
            </w:r>
          </w:p>
        </w:tc>
        <w:tc>
          <w:tcPr>
            <w:tcW w:w="67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Proporções do mesmo registro (cadastro individual do e-SUS APS)</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Variação contínua; cálculo semestral</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Limitações</w:t>
            </w:r>
          </w:p>
        </w:tc>
        <w:tc>
          <w:tcPr>
            <w:tcW w:w="67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Crianças recém-nascidas podem demorar a ser cadastradas; fora das áreas com ESF, mantém-se o valor censitário</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Harmonização</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Mesma definição do indicador C1 do INS</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Ficha S3 – </w:t>
      </w:r>
      <w:r>
        <w:rPr>
          <w:rFonts w:ascii="Barlow Condensed SemiBold" w:hAnsi="Barlow Condensed SemiBold" w:cs="Barlow Condensed SemiBold" w:eastAsia="Barlow Condensed SemiBold"/>
          <w:color w:val="01366F"/>
          <w:sz w:val="21"/>
          <w:szCs w:val="21"/>
        </w:rPr>
        <w:t xml:space="preserve">Idosos longevos</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122"/>
        <w:gridCol w:w="6722"/>
      </w:tblGrid>
      <w:tr>
        <w:trPr>
          <w:tblHeader/>
          <w:cantSplit/>
        </w:trPr>
        <w:tc>
          <w:tcPr>
            <w:tcW w:w="212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72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Especificação</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de pessoas de 75 anos ou mais na população residente</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Encadeamento</w:t>
            </w:r>
          </w:p>
        </w:tc>
        <w:tc>
          <w:tcPr>
            <w:tcW w:w="67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Proporções do mesmo registro (cadastro individual do e-SUS APS)</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Variação contínua; cálculo semestral</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Limitações</w:t>
            </w:r>
          </w:p>
        </w:tc>
        <w:tc>
          <w:tcPr>
            <w:tcW w:w="67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Óbitos não baixados do cadastro superestimam a proporção; recomenda-se cruzamento anual com o SIM</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Harmonização</w:t>
            </w:r>
          </w:p>
        </w:tc>
        <w:tc>
          <w:tcPr>
            <w:tcW w:w="67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Mesma definição do indicador C2 do INS</w:t>
            </w:r>
          </w:p>
        </w:tc>
      </w:tr>
    </w:tbl>
    <w:p>
      <w:pPr>
        <w:spacing w:before="0" w:after="0" w:line="220" w:lineRule="exact"/>
        <w:jc w:val="both"/>
        <w:sectPr>
          <w:headerReference w:type="default" r:id="rId32"/>
          <w:headerReference w:type="even" r:id="rId17"/>
          <w:footerReference w:type="default" r:id="rId18"/>
          <w:footerReference w:type="even" r:id="rId19"/>
          <w:type w:val="nextPage"/>
          <w:pgSz w:w="11906" w:h="16838"/>
          <w:pgMar w:top="1474" w:right="1531" w:bottom="1814" w:left="1531" w:header="850" w:footer="330" w:gutter="0"/>
          <w:cols w:space="720"/>
          <w:docGrid w:linePitch="360"/>
        </w:sectPr>
      </w:pPr>
    </w:p>
    <w:p>
      <w:pPr>
        <w:pStyle w:val="Heading1"/>
        <w:pBdr>
          <w:bottom w:val="single" w:sz="12" w:space="10" w:color="007614"/>
        </w:pBdr>
        <w:spacing w:before="120" w:after="380" w:line="600" w:lineRule="exact"/>
        <w:jc w:val="left"/>
      </w:pPr>
      <w:bookmarkStart w:id="64" w:name="_h52"/>
      <w:r>
        <w:rPr>
          <w:rFonts w:ascii="Barlow Condensed" w:hAnsi="Barlow Condensed" w:cs="Barlow Condensed" w:eastAsia="Barlow Condensed"/>
          <w:b/>
          <w:bCs/>
          <w:color w:val="007614"/>
          <w:sz w:val="52"/>
          <w:szCs w:val="52"/>
        </w:rPr>
        <w:t xml:space="preserve">APÊNDICE B — </w:t>
      </w:r>
      <w:r>
        <w:rPr>
          <w:rFonts w:ascii="Barlow Condensed" w:hAnsi="Barlow Condensed" w:cs="Barlow Condensed" w:eastAsia="Barlow Condensed"/>
          <w:b/>
          <w:bCs/>
          <w:color w:val="01366F"/>
          <w:sz w:val="52"/>
          <w:szCs w:val="52"/>
        </w:rPr>
        <w:t xml:space="preserve">QUADRO DE TRANSIÇÃO DA VERSÃO 1.0 PARA A VERSÃO 2.0</w:t>
      </w:r>
      <w:bookmarkEnd w:id="64"/>
    </w:p>
    <w:p>
      <w:pPr>
        <w:keepNext/>
        <w:spacing w:before="200" w:after="100" w:line="264" w:lineRule="auto"/>
        <w:jc w:val="left"/>
      </w:pPr>
      <w:bookmarkStart w:id="65" w:name="_q_B1"/>
      <w:r>
        <w:rPr>
          <w:rFonts w:ascii="Barlow Condensed SemiBold" w:hAnsi="Barlow Condensed SemiBold" w:cs="Barlow Condensed SemiBold" w:eastAsia="Barlow Condensed SemiBold"/>
          <w:color w:val="007614"/>
          <w:sz w:val="21"/>
          <w:szCs w:val="21"/>
        </w:rPr>
        <w:t xml:space="preserve">Quadro B1 – </w:t>
      </w:r>
      <w:r>
        <w:rPr>
          <w:rFonts w:ascii="Barlow Condensed SemiBold" w:hAnsi="Barlow Condensed SemiBold" w:cs="Barlow Condensed SemiBold" w:eastAsia="Barlow Condensed SemiBold"/>
          <w:color w:val="01366F"/>
          <w:sz w:val="21"/>
          <w:szCs w:val="21"/>
        </w:rPr>
        <w:t xml:space="preserve">Destino de cada componente da versão anterior</w:t>
      </w:r>
      <w:bookmarkEnd w:id="65"/>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884"/>
        <w:gridCol w:w="3536"/>
        <w:gridCol w:w="1325"/>
        <w:gridCol w:w="3099"/>
      </w:tblGrid>
      <w:tr>
        <w:trPr>
          <w:tblHeader/>
          <w:cantSplit/>
        </w:trPr>
        <w:tc>
          <w:tcPr>
            <w:tcW w:w="88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Código v1.0</w:t>
            </w:r>
          </w:p>
        </w:tc>
        <w:tc>
          <w:tcPr>
            <w:tcW w:w="353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Indicador da versão 1.0</w:t>
            </w:r>
          </w:p>
        </w:tc>
        <w:tc>
          <w:tcPr>
            <w:tcW w:w="132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Destino</w:t>
            </w:r>
          </w:p>
        </w:tc>
        <w:tc>
          <w:tcPr>
            <w:tcW w:w="309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Razão</w:t>
            </w:r>
          </w:p>
        </w:tc>
      </w:tr>
      <w:tr>
        <w:trPr>
          <w:cantSplit/>
        </w:trPr>
        <w:tc>
          <w:tcPr>
            <w:tcW w:w="8844" w:type="dxa"/>
            <w:gridSpan w:val="4"/>
            <w:shd w:val="clear" w:color="auto" w:fill="E8EEF5"/>
          </w:tcPr>
          <w:p>
            <w:pPr>
              <w:spacing w:before="0" w:after="0" w:line="240" w:lineRule="auto"/>
              <w:jc w:val="left"/>
            </w:pPr>
            <w:r>
              <w:rPr>
                <w:rFonts w:ascii="Barlow Condensed SemiBold" w:hAnsi="Barlow Condensed SemiBold" w:cs="Barlow Condensed SemiBold" w:eastAsia="Barlow Condensed SemiBold"/>
                <w:color w:val="01366F"/>
                <w:sz w:val="16"/>
                <w:szCs w:val="16"/>
              </w:rPr>
              <w:t xml:space="preserve">Domínio 1 — Socioepidemiológico</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D1.1</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Mortalidade prematura por doenças crônicas (30–69 anos)</w:t>
            </w:r>
          </w:p>
        </w:tc>
        <w:tc>
          <w:tcPr>
            <w:tcW w:w="13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Validação (INS)</w:t>
            </w:r>
          </w:p>
        </w:tc>
        <w:tc>
          <w:tcPr>
            <w:tcW w:w="30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Desfecho; instável em pequenas áreas; sub-registro diferencial</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D1.2</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Mortalidade infantil (o texto definia menores de 5 anos, o que é mortalidade na infância)</w:t>
            </w:r>
          </w:p>
        </w:tc>
        <w:tc>
          <w:tcPr>
            <w:tcW w:w="132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Validação</w:t>
            </w:r>
          </w:p>
        </w:tc>
        <w:tc>
          <w:tcPr>
            <w:tcW w:w="30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Desfecho; erro de definição corrigido no INS</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D1.3</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Incidência de arboviroses</w:t>
            </w:r>
          </w:p>
        </w:tc>
        <w:tc>
          <w:tcPr>
            <w:tcW w:w="13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Validação e PVI</w:t>
            </w:r>
          </w:p>
        </w:tc>
        <w:tc>
          <w:tcPr>
            <w:tcW w:w="30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Desfecho reservado; sinal no PVI</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D1.4</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Déficit nutricional em menores de 5 anos (SISVAN)</w:t>
            </w:r>
          </w:p>
        </w:tc>
        <w:tc>
          <w:tcPr>
            <w:tcW w:w="132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Excluído</w:t>
            </w:r>
          </w:p>
        </w:tc>
        <w:tc>
          <w:tcPr>
            <w:tcW w:w="30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Cobertura do SISVAN dependente da oferta</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D1.5</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Internações por condições sensíveis à APS</w:t>
            </w:r>
          </w:p>
        </w:tc>
        <w:tc>
          <w:tcPr>
            <w:tcW w:w="13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Validação (INS)</w:t>
            </w:r>
          </w:p>
        </w:tc>
        <w:tc>
          <w:tcPr>
            <w:tcW w:w="30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Desfecho; depende do acesso hospitalar</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D1.6</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Cobertura da Estratégia Saúde da Família</w:t>
            </w:r>
          </w:p>
        </w:tc>
        <w:tc>
          <w:tcPr>
            <w:tcW w:w="132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Camada de oferta</w:t>
            </w:r>
          </w:p>
        </w:tc>
        <w:tc>
          <w:tcPr>
            <w:tcW w:w="30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Oferta: inversão de sentido</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D1.7</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Pré-natal com menos de 7 consultas</w:t>
            </w:r>
          </w:p>
        </w:tc>
        <w:tc>
          <w:tcPr>
            <w:tcW w:w="13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Excluído</w:t>
            </w:r>
          </w:p>
        </w:tc>
        <w:tc>
          <w:tcPr>
            <w:tcW w:w="30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Indicador de desempenho do serviço</w:t>
            </w:r>
          </w:p>
        </w:tc>
      </w:tr>
      <w:tr>
        <w:trPr>
          <w:cantSplit/>
        </w:trPr>
        <w:tc>
          <w:tcPr>
            <w:tcW w:w="8844" w:type="dxa"/>
            <w:gridSpan w:val="4"/>
            <w:shd w:val="clear" w:color="auto" w:fill="E8EEF5"/>
          </w:tcPr>
          <w:p>
            <w:pPr>
              <w:spacing w:before="0" w:after="0" w:line="240" w:lineRule="auto"/>
              <w:jc w:val="left"/>
            </w:pPr>
            <w:r>
              <w:rPr>
                <w:rFonts w:ascii="Barlow Condensed SemiBold" w:hAnsi="Barlow Condensed SemiBold" w:cs="Barlow Condensed SemiBold" w:eastAsia="Barlow Condensed SemiBold"/>
                <w:color w:val="01366F"/>
                <w:sz w:val="16"/>
                <w:szCs w:val="16"/>
              </w:rPr>
              <w:t xml:space="preserve">Domínio 2 — Socioeconômico</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D2.1</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Extrema pobreza (linha de R$ 218)</w:t>
            </w:r>
          </w:p>
        </w:tc>
        <w:tc>
          <w:tcPr>
            <w:tcW w:w="13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Substituído por S1</w:t>
            </w:r>
          </w:p>
        </w:tc>
        <w:tc>
          <w:tcPr>
            <w:tcW w:w="30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Linha nominal; harmonização com o INS</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D2.2</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Coeficiente de Gini</w:t>
            </w:r>
          </w:p>
        </w:tc>
        <w:tc>
          <w:tcPr>
            <w:tcW w:w="132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Excluído</w:t>
            </w:r>
          </w:p>
        </w:tc>
        <w:tc>
          <w:tcPr>
            <w:tcW w:w="30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Não calculável por setor com regularidade</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D2.3</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Desemprego ampliado</w:t>
            </w:r>
          </w:p>
        </w:tc>
        <w:tc>
          <w:tcPr>
            <w:tcW w:w="13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Excluído</w:t>
            </w:r>
          </w:p>
        </w:tc>
        <w:tc>
          <w:tcPr>
            <w:tcW w:w="30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Sem fonte regular por setor</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D2.4</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Domicílios sem coleta de lixo ou esgoto</w:t>
            </w:r>
          </w:p>
        </w:tc>
        <w:tc>
          <w:tcPr>
            <w:tcW w:w="132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Substituído por E1</w:t>
            </w:r>
          </w:p>
        </w:tc>
        <w:tc>
          <w:tcPr>
            <w:tcW w:w="30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Redefinido como média das três carências</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D2.5</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Déficit habitacional (FJP)</w:t>
            </w:r>
          </w:p>
        </w:tc>
        <w:tc>
          <w:tcPr>
            <w:tcW w:w="13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Substituído por E2</w:t>
            </w:r>
          </w:p>
        </w:tc>
        <w:tc>
          <w:tcPr>
            <w:tcW w:w="30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Metodologia com quebras; sem fonte regular por setor</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D2.6</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Escolaridade inferior a 4 anos</w:t>
            </w:r>
          </w:p>
        </w:tc>
        <w:tc>
          <w:tcPr>
            <w:tcW w:w="132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Excluído do IVT (consta do INS)</w:t>
            </w:r>
          </w:p>
        </w:tc>
        <w:tc>
          <w:tcPr>
            <w:tcW w:w="30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Decenal; mede estoque de coortes</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D2.7</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Cobertura do Bolsa Família</w:t>
            </w:r>
          </w:p>
        </w:tc>
        <w:tc>
          <w:tcPr>
            <w:tcW w:w="13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Excluído</w:t>
            </w:r>
          </w:p>
        </w:tc>
        <w:tc>
          <w:tcPr>
            <w:tcW w:w="30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Medida de oferta de proteção social</w:t>
            </w:r>
          </w:p>
        </w:tc>
      </w:tr>
      <w:tr>
        <w:trPr>
          <w:cantSplit/>
        </w:trPr>
        <w:tc>
          <w:tcPr>
            <w:tcW w:w="8844" w:type="dxa"/>
            <w:gridSpan w:val="4"/>
            <w:shd w:val="clear" w:color="auto" w:fill="E8EEF5"/>
          </w:tcPr>
          <w:p>
            <w:pPr>
              <w:spacing w:before="0" w:after="0" w:line="240" w:lineRule="auto"/>
              <w:jc w:val="left"/>
            </w:pPr>
            <w:r>
              <w:rPr>
                <w:rFonts w:ascii="Barlow Condensed SemiBold" w:hAnsi="Barlow Condensed SemiBold" w:cs="Barlow Condensed SemiBold" w:eastAsia="Barlow Condensed SemiBold"/>
                <w:color w:val="01366F"/>
                <w:sz w:val="16"/>
                <w:szCs w:val="16"/>
              </w:rPr>
              <w:t xml:space="preserve">Domínio 3 — Socioambiental</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D3.1</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População em área de risco (CEMADEN)</w:t>
            </w:r>
          </w:p>
        </w:tc>
        <w:tc>
          <w:tcPr>
            <w:tcW w:w="13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Substituído por E3</w:t>
            </w:r>
          </w:p>
        </w:tc>
        <w:tc>
          <w:tcPr>
            <w:tcW w:w="30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Base nacional de 2010 para 872 municípios; substituída por mapeamento local verificado</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D3.2</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Frequência de alertas do CEMADEN</w:t>
            </w:r>
          </w:p>
        </w:tc>
        <w:tc>
          <w:tcPr>
            <w:tcW w:w="132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Camada de contexto do PVI</w:t>
            </w:r>
          </w:p>
        </w:tc>
        <w:tc>
          <w:tcPr>
            <w:tcW w:w="30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Ameaça; dinâmica rápida</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D3.3</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Domicílios sem água tratada de rede</w:t>
            </w:r>
          </w:p>
        </w:tc>
        <w:tc>
          <w:tcPr>
            <w:tcW w:w="13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Incorporado a E1</w:t>
            </w:r>
          </w:p>
        </w:tc>
        <w:tc>
          <w:tcPr>
            <w:tcW w:w="30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Componente água</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D3.4</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Supressão de vegetação nativa (MapBiomas)</w:t>
            </w:r>
          </w:p>
        </w:tc>
        <w:tc>
          <w:tcPr>
            <w:tcW w:w="132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Excluído</w:t>
            </w:r>
          </w:p>
        </w:tc>
        <w:tc>
          <w:tcPr>
            <w:tcW w:w="30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Escala e pertinência inadequadas ao setor urbano</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D3.5</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Índice de Vulnerabilidade Climática (AdaptaBrasil)</w:t>
            </w:r>
          </w:p>
        </w:tc>
        <w:tc>
          <w:tcPr>
            <w:tcW w:w="13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Excluído</w:t>
            </w:r>
          </w:p>
        </w:tc>
        <w:tc>
          <w:tcPr>
            <w:tcW w:w="30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Índice composto: dupla contagem</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D3.6</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Passivos ambientais (IBAMA)</w:t>
            </w:r>
          </w:p>
        </w:tc>
        <w:tc>
          <w:tcPr>
            <w:tcW w:w="132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Excluído</w:t>
            </w:r>
          </w:p>
        </w:tc>
        <w:tc>
          <w:tcPr>
            <w:tcW w:w="30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Variável binária municipal; agenda de visibilização</w:t>
            </w:r>
          </w:p>
        </w:tc>
      </w:tr>
      <w:tr>
        <w:trPr>
          <w:cantSplit/>
        </w:trPr>
        <w:tc>
          <w:tcPr>
            <w:tcW w:w="8844" w:type="dxa"/>
            <w:gridSpan w:val="4"/>
            <w:shd w:val="clear" w:color="auto" w:fill="E8EEF5"/>
          </w:tcPr>
          <w:p>
            <w:pPr>
              <w:spacing w:before="0" w:after="0" w:line="240" w:lineRule="auto"/>
              <w:jc w:val="left"/>
            </w:pPr>
            <w:r>
              <w:rPr>
                <w:rFonts w:ascii="Barlow Condensed SemiBold" w:hAnsi="Barlow Condensed SemiBold" w:cs="Barlow Condensed SemiBold" w:eastAsia="Barlow Condensed SemiBold"/>
                <w:color w:val="01366F"/>
                <w:sz w:val="16"/>
                <w:szCs w:val="16"/>
              </w:rPr>
              <w:t xml:space="preserve">Domínio 4 — Agência comunitária</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D4.1</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Densidade de organizações da sociedade civil</w:t>
            </w:r>
          </w:p>
        </w:tc>
        <w:tc>
          <w:tcPr>
            <w:tcW w:w="13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Excluído</w:t>
            </w:r>
          </w:p>
        </w:tc>
        <w:tc>
          <w:tcPr>
            <w:tcW w:w="30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Municipal; capacidade</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D4.2</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Conselhos municipais de saúde com reuniões</w:t>
            </w:r>
          </w:p>
        </w:tc>
        <w:tc>
          <w:tcPr>
            <w:tcW w:w="132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Excluído</w:t>
            </w:r>
          </w:p>
        </w:tc>
        <w:tc>
          <w:tcPr>
            <w:tcW w:w="30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Variável sem variação dentro do município</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D4.3</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Cobertura de CRAS</w:t>
            </w:r>
          </w:p>
        </w:tc>
        <w:tc>
          <w:tcPr>
            <w:tcW w:w="13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Camada de oferta</w:t>
            </w:r>
          </w:p>
        </w:tc>
        <w:tc>
          <w:tcPr>
            <w:tcW w:w="30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Oferta</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D4.4</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Plano Municipal de Saúde aprovado</w:t>
            </w:r>
          </w:p>
        </w:tc>
        <w:tc>
          <w:tcPr>
            <w:tcW w:w="132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Excluído</w:t>
            </w:r>
          </w:p>
        </w:tc>
        <w:tc>
          <w:tcPr>
            <w:tcW w:w="30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Variável sem variação dentro do município</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D4.5</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Taxa de alertas sentinela</w:t>
            </w:r>
          </w:p>
        </w:tc>
        <w:tc>
          <w:tcPr>
            <w:tcW w:w="13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PVI (V1)</w:t>
            </w:r>
          </w:p>
        </w:tc>
        <w:tc>
          <w:tcPr>
            <w:tcW w:w="30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Produzido pela intervenção</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D4.6</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Taxa de confirmação dos alertas</w:t>
            </w:r>
          </w:p>
        </w:tc>
        <w:tc>
          <w:tcPr>
            <w:tcW w:w="132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PVI (V3)</w:t>
            </w:r>
          </w:p>
        </w:tc>
        <w:tc>
          <w:tcPr>
            <w:tcW w:w="30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Produzido pela intervenção</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D4.7</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Acesso à Plataforma Ágora</w:t>
            </w:r>
          </w:p>
        </w:tc>
        <w:tc>
          <w:tcPr>
            <w:tcW w:w="13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Excluído</w:t>
            </w:r>
          </w:p>
        </w:tc>
        <w:tc>
          <w:tcPr>
            <w:tcW w:w="30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Produzido pela intervenção; uso de plataforma não é capacidade</w:t>
            </w:r>
          </w:p>
        </w:tc>
      </w:tr>
      <w:tr>
        <w:trPr>
          <w:cantSplit/>
        </w:trPr>
        <w:tc>
          <w:tcPr>
            <w:tcW w:w="884"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D4.8</w:t>
            </w:r>
          </w:p>
        </w:tc>
        <w:tc>
          <w:tcPr>
            <w:tcW w:w="3536"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Índice de Resiliência Sociotécnica</w:t>
            </w:r>
          </w:p>
        </w:tc>
        <w:tc>
          <w:tcPr>
            <w:tcW w:w="1325"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Reflexividade (Protocolo)</w:t>
            </w:r>
          </w:p>
        </w:tc>
        <w:tc>
          <w:tcPr>
            <w:tcW w:w="3099"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Mede a rede da própria intervenção</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sectPr>
      <w:headerReference w:type="default" r:id="rId33"/>
      <w:headerReference w:type="even" r:id="rId17"/>
      <w:footerReference w:type="default" r:id="rId18"/>
      <w:footerReference w:type="even" r:id="rId19"/>
      <w:type w:val="nextPage"/>
      <w:pgSz w:w="11906" w:h="16838"/>
      <w:pgMar w:top="1474" w:right="1531" w:bottom="1814" w:left="1531" w:header="850" w:footer="33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rlow">
    <w:charset w:val="00"/>
    <w:family w:val="swiss"/>
    <w:pitch w:val="variable"/>
    <w:embedRegular r:id="rIdF1" w:fontKey="{E11E2784-DE61-41B1-9D02-FFB957C50984}"/>
    <w:embedBold r:id="rIdF3" w:fontKey="{08D161DA-7231-425B-8F6F-6BB6D968E9B6}"/>
    <w:embedItalic r:id="rIdF2" w:fontKey="{8FE01DB9-6890-44C0-A997-402DDAF978CF}"/>
  </w:font>
  <w:font w:name="Barlow Medium">
    <w:charset w:val="00"/>
    <w:family w:val="swiss"/>
    <w:pitch w:val="variable"/>
    <w:embedRegular r:id="rIdF4" w:fontKey="{7F5AB29D-F2AD-455B-9318-2D6D52CEC457}"/>
  </w:font>
  <w:font w:name="Barlow SemiBold">
    <w:charset w:val="00"/>
    <w:family w:val="swiss"/>
    <w:pitch w:val="variable"/>
    <w:embedRegular r:id="rIdF5" w:fontKey="{9DD1AFA1-4081-4B72-9866-F92FABEB8BFE}"/>
  </w:font>
  <w:font w:name="Barlow Condensed">
    <w:charset w:val="00"/>
    <w:family w:val="swiss"/>
    <w:pitch w:val="variable"/>
    <w:embedRegular r:id="rIdF6" w:fontKey="{40FE3F0F-962B-4B2F-A157-8360586C46A1}"/>
    <w:embedBold r:id="rIdF7" w:fontKey="{A79CF569-DDEC-4DAE-820D-CF50913D2296}"/>
  </w:font>
  <w:font w:name="Barlow Condensed Medium">
    <w:charset w:val="00"/>
    <w:family w:val="swiss"/>
    <w:pitch w:val="variable"/>
    <w:embedRegular r:id="rIdF8" w:fontKey="{0A21C469-390B-47B2-8C49-A947E74F4489}"/>
  </w:font>
  <w:font w:name="Barlow Condensed SemiBold">
    <w:charset w:val="00"/>
    <w:family w:val="swiss"/>
    <w:pitch w:val="variable"/>
    <w:embedRegular r:id="rIdF9" w:fontKey="{6A9BB3CF-9A62-4406-AD64-18C5B65E1537}"/>
  </w:font>
  <w:font w:name="Segoe UI Symbol">
    <w:charset w:val="00"/>
    <w:family w:val="swiss"/>
    <w:pitch w:val="variable"/>
  </w:font>
</w:fonts>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both"/>
    </w:pPr>
  </w:p>
</w:ftr>
</file>

<file path=word/footer6.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lio"/>
      <w:spacing w:before="0" w:after="0" w:line="240" w:lineRule="auto"/>
      <w:jc w:val="right"/>
      <w:rPr>
        <w:rFonts w:ascii="Barlow Condensed SemiBold" w:hAnsi="Barlow Condensed SemiBold" w:cs="Barlow Condensed SemiBold" w:eastAsia="Barlow Condensed SemiBold"/>
        <w:color w:val="FFFFFF"/>
        <w:sz w:val="21"/>
        <w:szCs w:val="21"/>
      </w:rPr>
    </w:pPr>
    <w:fldSimple w:instr=" PAGE ">
      <w:r>
        <w:rPr>
          <w:rFonts w:ascii="Barlow Condensed SemiBold" w:hAnsi="Barlow Condensed SemiBold" w:cs="Barlow Condensed SemiBold" w:eastAsia="Barlow Condensed SemiBold"/>
          <w:color w:val="FFFFFF"/>
          <w:sz w:val="21"/>
          <w:szCs w:val="21"/>
        </w:rPr>
        <w:t>1</w:t>
      </w:r>
    </w:fldSimple>
  </w:p>
</w:ftr>
</file>

<file path=word/footer7.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lio"/>
      <w:spacing w:before="0" w:after="0" w:line="240" w:lineRule="auto"/>
      <w:jc w:val="left"/>
      <w:rPr>
        <w:rFonts w:ascii="Barlow Condensed SemiBold" w:hAnsi="Barlow Condensed SemiBold" w:cs="Barlow Condensed SemiBold" w:eastAsia="Barlow Condensed SemiBold"/>
        <w:color w:val="FFFFFF"/>
        <w:sz w:val="21"/>
        <w:szCs w:val="21"/>
      </w:rPr>
    </w:pPr>
    <w:fldSimple w:instr=" PAGE ">
      <w:r>
        <w:rPr>
          <w:rFonts w:ascii="Barlow Condensed SemiBold" w:hAnsi="Barlow Condensed SemiBold" w:cs="Barlow Condensed SemiBold" w:eastAsia="Barlow Condensed SemiBold"/>
          <w:color w:val="FFFFFF"/>
          <w:sz w:val="21"/>
          <w:szCs w:val="21"/>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1" name="Fundo 1"/>
          <wp:cNvGraphicFramePr/>
          <a:graphic xmlns:a="http://schemas.openxmlformats.org/drawingml/2006/main">
            <a:graphicData uri="http://schemas.openxmlformats.org/drawingml/2006/picture">
              <pic:pic xmlns:pic="http://schemas.openxmlformats.org/drawingml/2006/picture">
                <pic:nvPicPr>
                  <pic:cNvPr id="5001" name="Fundo 1"/>
                  <pic:cNvPicPr/>
                </pic:nvPicPr>
                <pic:blipFill>
                  <a:blip r:embed="rIdB1"/>
                  <a:stretch>
                    <a:fillRect/>
                  </a:stretch>
                </pic:blipFill>
                <pic:spPr>
                  <a:xfrm>
                    <a:off x="0" y="0"/>
                    <a:ext cx="7560310" cy="10692130"/>
                  </a:xfrm>
                  <a:prstGeom prst="rect">
                    <a:avLst/>
                  </a:prstGeom>
                </pic:spPr>
              </pic:pic>
            </a:graphicData>
          </a:graphic>
        </wp:anchor>
      </w:drawing>
    </w:r>
  </w:p>
</w:hdr>
</file>

<file path=word/header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3" name="Fundo 3"/>
          <wp:cNvGraphicFramePr/>
          <a:graphic xmlns:a="http://schemas.openxmlformats.org/drawingml/2006/main">
            <a:graphicData uri="http://schemas.openxmlformats.org/drawingml/2006/picture">
              <pic:pic xmlns:pic="http://schemas.openxmlformats.org/drawingml/2006/picture">
                <pic:nvPicPr>
                  <pic:cNvPr id="5003" name="Fundo 3"/>
                  <pic:cNvPicPr/>
                </pic:nvPicPr>
                <pic:blipFill>
                  <a:blip r:embed="rIdB1"/>
                  <a:stretch>
                    <a:fillRect/>
                  </a:stretch>
                </pic:blipFill>
                <pic:spPr>
                  <a:xfrm>
                    <a:off x="0" y="0"/>
                    <a:ext cx="7560310" cy="10692130"/>
                  </a:xfrm>
                  <a:prstGeom prst="rect">
                    <a:avLst/>
                  </a:prstGeom>
                </pic:spPr>
              </pic:pic>
            </a:graphicData>
          </a:graphic>
        </wp:anchor>
      </w:drawing>
    </w:r>
  </w:p>
</w:hdr>
</file>

<file path=word/header4.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4" name="Fundo 4"/>
          <wp:cNvGraphicFramePr/>
          <a:graphic xmlns:a="http://schemas.openxmlformats.org/drawingml/2006/main">
            <a:graphicData uri="http://schemas.openxmlformats.org/drawingml/2006/picture">
              <pic:pic xmlns:pic="http://schemas.openxmlformats.org/drawingml/2006/picture">
                <pic:nvPicPr>
                  <pic:cNvPr id="5004" name="Fundo 4"/>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APRESENTAÇÃO  </w:t>
    </w:r>
  </w:p>
</w:hdr>
</file>

<file path=word/header5.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lef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5" name="Fundo 5"/>
          <wp:cNvGraphicFramePr/>
          <a:graphic xmlns:a="http://schemas.openxmlformats.org/drawingml/2006/main">
            <a:graphicData uri="http://schemas.openxmlformats.org/drawingml/2006/picture">
              <pic:pic xmlns:pic="http://schemas.openxmlformats.org/drawingml/2006/picture">
                <pic:nvPicPr>
                  <pic:cNvPr id="5005" name="Fundo 5"/>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ÍNDICE DE VULNERABILIDADE TERRITORIAL (IVT)  </w:t>
    </w:r>
  </w:p>
</w:hdr>
</file>

<file path=word/header8.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8" name="Fundo 8"/>
          <wp:cNvGraphicFramePr/>
          <a:graphic xmlns:a="http://schemas.openxmlformats.org/drawingml/2006/main">
            <a:graphicData uri="http://schemas.openxmlformats.org/drawingml/2006/picture">
              <pic:pic xmlns:pic="http://schemas.openxmlformats.org/drawingml/2006/picture">
                <pic:nvPicPr>
                  <pic:cNvPr id="5008" name="Fundo 8"/>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1 FUNDAMENTOS CONCEITUAIS  </w:t>
    </w:r>
  </w:p>
</w:hdr>
</file>

<file path=word/header9.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9" name="Fundo 9"/>
          <wp:cNvGraphicFramePr/>
          <a:graphic xmlns:a="http://schemas.openxmlformats.org/drawingml/2006/main">
            <a:graphicData uri="http://schemas.openxmlformats.org/drawingml/2006/picture">
              <pic:pic xmlns:pic="http://schemas.openxmlformats.org/drawingml/2006/picture">
                <pic:nvPicPr>
                  <pic:cNvPr id="5009" name="Fundo 9"/>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2 CRITÉRIOS DE QUALIDADE ADOTADOS  </w:t>
    </w:r>
  </w:p>
</w:hdr>
</file>

<file path=word/header10.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0" name="Fundo 10"/>
          <wp:cNvGraphicFramePr/>
          <a:graphic xmlns:a="http://schemas.openxmlformats.org/drawingml/2006/main">
            <a:graphicData uri="http://schemas.openxmlformats.org/drawingml/2006/picture">
              <pic:pic xmlns:pic="http://schemas.openxmlformats.org/drawingml/2006/picture">
                <pic:nvPicPr>
                  <pic:cNvPr id="5010" name="Fundo 10"/>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3 ARQUITETURA E CESTA DE INDICADORES  </w:t>
    </w:r>
  </w:p>
</w:hdr>
</file>

<file path=word/header1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1" name="Fundo 11"/>
          <wp:cNvGraphicFramePr/>
          <a:graphic xmlns:a="http://schemas.openxmlformats.org/drawingml/2006/main">
            <a:graphicData uri="http://schemas.openxmlformats.org/drawingml/2006/picture">
              <pic:pic xmlns:pic="http://schemas.openxmlformats.org/drawingml/2006/picture">
                <pic:nvPicPr>
                  <pic:cNvPr id="5011" name="Fundo 11"/>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4 FONTES E REGRA DE ENCADEAMENTO  </w:t>
    </w:r>
  </w:p>
</w:hdr>
</file>

<file path=word/header1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2" name="Fundo 12"/>
          <wp:cNvGraphicFramePr/>
          <a:graphic xmlns:a="http://schemas.openxmlformats.org/drawingml/2006/main">
            <a:graphicData uri="http://schemas.openxmlformats.org/drawingml/2006/picture">
              <pic:pic xmlns:pic="http://schemas.openxmlformats.org/drawingml/2006/picture">
                <pic:nvPicPr>
                  <pic:cNvPr id="5012" name="Fundo 12"/>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5 PROTOCOLO DE CÁLCULO  </w:t>
    </w:r>
  </w:p>
</w:hdr>
</file>

<file path=word/header1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3" name="Fundo 13"/>
          <wp:cNvGraphicFramePr/>
          <a:graphic xmlns:a="http://schemas.openxmlformats.org/drawingml/2006/main">
            <a:graphicData uri="http://schemas.openxmlformats.org/drawingml/2006/picture">
              <pic:pic xmlns:pic="http://schemas.openxmlformats.org/drawingml/2006/picture">
                <pic:nvPicPr>
                  <pic:cNvPr id="5013" name="Fundo 13"/>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6 PLANO DE VALIDAÇÃO  </w:t>
    </w:r>
  </w:p>
</w:hdr>
</file>

<file path=word/header14.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4" name="Fundo 14"/>
          <wp:cNvGraphicFramePr/>
          <a:graphic xmlns:a="http://schemas.openxmlformats.org/drawingml/2006/main">
            <a:graphicData uri="http://schemas.openxmlformats.org/drawingml/2006/picture">
              <pic:pic xmlns:pic="http://schemas.openxmlformats.org/drawingml/2006/picture">
                <pic:nvPicPr>
                  <pic:cNvPr id="5014" name="Fundo 14"/>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7 PARTICIPAÇÃO DO TERRITÓRIO: SEPARAR MEDIR…  </w:t>
    </w:r>
  </w:p>
</w:hdr>
</file>

<file path=word/header15.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5" name="Fundo 15"/>
          <wp:cNvGraphicFramePr/>
          <a:graphic xmlns:a="http://schemas.openxmlformats.org/drawingml/2006/main">
            <a:graphicData uri="http://schemas.openxmlformats.org/drawingml/2006/picture">
              <pic:pic xmlns:pic="http://schemas.openxmlformats.org/drawingml/2006/picture">
                <pic:nvPicPr>
                  <pic:cNvPr id="5015" name="Fundo 15"/>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8 USOS, VEDAÇÕES E LIMITES  </w:t>
    </w:r>
  </w:p>
</w:hdr>
</file>

<file path=word/header16.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6" name="Fundo 16"/>
          <wp:cNvGraphicFramePr/>
          <a:graphic xmlns:a="http://schemas.openxmlformats.org/drawingml/2006/main">
            <a:graphicData uri="http://schemas.openxmlformats.org/drawingml/2006/picture">
              <pic:pic xmlns:pic="http://schemas.openxmlformats.org/drawingml/2006/picture">
                <pic:nvPicPr>
                  <pic:cNvPr id="5016" name="Fundo 16"/>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9 IMPLEMENTAÇÃO COMPUTACIONAL  </w:t>
    </w:r>
  </w:p>
</w:hdr>
</file>

<file path=word/header17.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7" name="Fundo 17"/>
          <wp:cNvGraphicFramePr/>
          <a:graphic xmlns:a="http://schemas.openxmlformats.org/drawingml/2006/main">
            <a:graphicData uri="http://schemas.openxmlformats.org/drawingml/2006/picture">
              <pic:pic xmlns:pic="http://schemas.openxmlformats.org/drawingml/2006/picture">
                <pic:nvPicPr>
                  <pic:cNvPr id="5017" name="Fundo 17"/>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10 GOVERNANÇA DOS DADOS E PROTEÇÃO DE DADOS…  </w:t>
    </w:r>
  </w:p>
</w:hdr>
</file>

<file path=word/header18.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8" name="Fundo 18"/>
          <wp:cNvGraphicFramePr/>
          <a:graphic xmlns:a="http://schemas.openxmlformats.org/drawingml/2006/main">
            <a:graphicData uri="http://schemas.openxmlformats.org/drawingml/2006/picture">
              <pic:pic xmlns:pic="http://schemas.openxmlformats.org/drawingml/2006/picture">
                <pic:nvPicPr>
                  <pic:cNvPr id="5018" name="Fundo 18"/>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11 VERIFICAÇÕES PENDENTES ANTES DA PRIMEIRA…  </w:t>
    </w:r>
  </w:p>
</w:hdr>
</file>

<file path=word/header19.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9" name="Fundo 19"/>
          <wp:cNvGraphicFramePr/>
          <a:graphic xmlns:a="http://schemas.openxmlformats.org/drawingml/2006/main">
            <a:graphicData uri="http://schemas.openxmlformats.org/drawingml/2006/picture">
              <pic:pic xmlns:pic="http://schemas.openxmlformats.org/drawingml/2006/picture">
                <pic:nvPicPr>
                  <pic:cNvPr id="5019" name="Fundo 19"/>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REFERÊNCIAS  </w:t>
    </w:r>
  </w:p>
</w:hdr>
</file>

<file path=word/header20.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20" name="Fundo 20"/>
          <wp:cNvGraphicFramePr/>
          <a:graphic xmlns:a="http://schemas.openxmlformats.org/drawingml/2006/main">
            <a:graphicData uri="http://schemas.openxmlformats.org/drawingml/2006/picture">
              <pic:pic xmlns:pic="http://schemas.openxmlformats.org/drawingml/2006/picture">
                <pic:nvPicPr>
                  <pic:cNvPr id="5020" name="Fundo 20"/>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APÊNDICE A — FICHAS TÉCNICAS DOS INDICADORES  </w:t>
    </w:r>
  </w:p>
</w:hdr>
</file>

<file path=word/header2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21" name="Fundo 21"/>
          <wp:cNvGraphicFramePr/>
          <a:graphic xmlns:a="http://schemas.openxmlformats.org/drawingml/2006/main">
            <a:graphicData uri="http://schemas.openxmlformats.org/drawingml/2006/picture">
              <pic:pic xmlns:pic="http://schemas.openxmlformats.org/drawingml/2006/picture">
                <pic:nvPicPr>
                  <pic:cNvPr id="5021" name="Fundo 21"/>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APÊNDICE B  </w:t>
    </w:r>
  </w:p>
</w:hdr>
</file>

<file path=word/numbering.xml><?xml version="1.0" encoding="utf-8"?>
<w:numbering xmlns:w="http://schemas.openxmlformats.org/wordprocessingml/2006/main">
  <w:abstractNum w:abstractNumId="11">
    <w:multiLevelType w:val="singleLevel"/>
    <w:lvl w:ilvl="0">
      <w:start w:val="1"/>
      <w:numFmt w:val="bullet"/>
      <w:lvlText w:val="•"/>
      <w:lvlJc w:val="left"/>
      <w:pPr>
        <w:ind w:left="340" w:hanging="240"/>
      </w:pPr>
      <w:rPr>
        <w:rFonts w:ascii="Barlow" w:hAnsi="Barlow"/>
        <w:color w:val="007614"/>
        <w:sz w:val="24"/>
      </w:rPr>
    </w:lvl>
  </w:abstractNum>
  <w:abstractNum w:abstractNumId="12">
    <w:multiLevelType w:val="singleLevel"/>
    <w:lvl w:ilvl="0">
      <w:start w:val="1"/>
      <w:numFmt w:val="bullet"/>
      <w:lvlText w:val="•"/>
      <w:lvlJc w:val="left"/>
      <w:pPr>
        <w:ind w:left="340" w:hanging="240"/>
      </w:pPr>
      <w:rPr>
        <w:rFonts w:ascii="Barlow" w:hAnsi="Barlow"/>
        <w:color w:val="007614"/>
        <w:sz w:val="24"/>
      </w:rPr>
    </w:lvl>
  </w:abstractNum>
  <w:abstractNum w:abstractNumId="13">
    <w:multiLevelType w:val="singleLevel"/>
    <w:lvl w:ilvl="0">
      <w:start w:val="1"/>
      <w:numFmt w:val="decimal"/>
      <w:lvlText w:val="%1."/>
      <w:lvlJc w:val="left"/>
      <w:pPr>
        <w:ind w:left="380" w:hanging="300"/>
      </w:pPr>
      <w:rPr>
        <w:rFonts w:ascii="Barlow Condensed SemiBold" w:hAnsi="Barlow Condensed SemiBold"/>
        <w:color w:val="007614"/>
        <w:sz w:val="21"/>
      </w:rPr>
    </w:lvl>
  </w:abstractNum>
  <w:abstractNum w:abstractNumId="14">
    <w:multiLevelType w:val="singleLevel"/>
    <w:lvl w:ilvl="0">
      <w:start w:val="1"/>
      <w:numFmt w:val="bullet"/>
      <w:lvlText w:val="•"/>
      <w:lvlJc w:val="left"/>
      <w:pPr>
        <w:ind w:left="340" w:hanging="240"/>
      </w:pPr>
      <w:rPr>
        <w:rFonts w:ascii="Barlow" w:hAnsi="Barlow"/>
        <w:color w:val="007614"/>
        <w:sz w:val="24"/>
      </w:rPr>
    </w:lvl>
  </w:abstractNum>
  <w:abstractNum w:abstractNumId="15">
    <w:multiLevelType w:val="singleLevel"/>
    <w:lvl w:ilvl="0">
      <w:start w:val="1"/>
      <w:numFmt w:val="bullet"/>
      <w:lvlText w:val="•"/>
      <w:lvlJc w:val="left"/>
      <w:pPr>
        <w:ind w:left="340" w:hanging="240"/>
      </w:pPr>
      <w:rPr>
        <w:rFonts w:ascii="Barlow" w:hAnsi="Barlow"/>
        <w:color w:val="007614"/>
        <w:sz w:val="24"/>
      </w:rPr>
    </w:lvl>
  </w:abstractNum>
  <w:abstractNum w:abstractNumId="16">
    <w:multiLevelType w:val="singleLevel"/>
    <w:lvl w:ilvl="0">
      <w:start w:val="1"/>
      <w:numFmt w:val="bullet"/>
      <w:lvlText w:val="•"/>
      <w:lvlJc w:val="left"/>
      <w:pPr>
        <w:ind w:left="340" w:hanging="240"/>
      </w:pPr>
      <w:rPr>
        <w:rFonts w:ascii="Barlow" w:hAnsi="Barlow"/>
        <w:color w:val="007614"/>
        <w:sz w:val="24"/>
      </w:rPr>
    </w:lvl>
  </w:abstractNum>
  <w:abstractNum w:abstractNumId="17">
    <w:multiLevelType w:val="singleLevel"/>
    <w:lvl w:ilvl="0">
      <w:start w:val="1"/>
      <w:numFmt w:val="bullet"/>
      <w:lvlText w:val="•"/>
      <w:lvlJc w:val="left"/>
      <w:pPr>
        <w:ind w:left="340" w:hanging="240"/>
      </w:pPr>
      <w:rPr>
        <w:rFonts w:ascii="Barlow" w:hAnsi="Barlow"/>
        <w:color w:val="007614"/>
        <w:sz w:val="24"/>
      </w:rPr>
    </w:lvl>
  </w:abstract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embedTrueTypeFonts/>
  <w:defaultTabStop w:val="708"/>
  <w:hyphenationZone w:val="425"/>
  <w:evenAndOddHeaders/>
  <w:characterSpacingControl w:val="doNotCompress"/>
  <w:compat>
    <w:compatSetting w:name="compatibilityMode" w:uri="http://schemas.microsoft.com/office/word" w:val="15"/>
  </w:compat>
  <w:themeFontLang w:val="pt-BR"/>
</w:settings>
</file>

<file path=word/styles.xml><?xml version="1.0" encoding="utf-8"?>
<w:styles xmlns:w="http://schemas.openxmlformats.org/wordprocessingml/2006/main">
  <w:docDefaults>
    <w:rPrDefault>
      <w:rPr>
        <w:rFonts w:ascii="Barlow" w:hAnsi="Barlow" w:cs="Barlow" w:eastAsia="Barlow"/>
        <w:color w:val="0F2440"/>
        <w:sz w:val="20"/>
        <w:szCs w:val="20"/>
        <w:lang w:val="pt-BR" w:eastAsia="en-US" w:bidi="ar-SA"/>
      </w:rPr>
    </w:rPrDefault>
    <w:pPrDefault>
      <w:pPr>
        <w:spacing w:after="120" w:line="300" w:lineRule="auto"/>
      </w:pPr>
    </w:pPrDefault>
  </w:docDefaults>
  <w:style w:type="paragraph" w:default="1" w:styleId="Normal">
    <w:name w:val="Normal"/>
    <w:qFormat/>
    <w:pPr>
      <w:jc w:val="both"/>
    </w:pPr>
    <w:rPr/>
  </w:style>
  <w:style w:type="paragraph" w:styleId="Heading1">
    <w:name w:val="heading 1"/>
    <w:basedOn w:val="Normal"/>
    <w:next w:val="Normal"/>
    <w:qFormat/>
    <w:pPr>
      <w:keepNext/>
      <w:outlineLvl w:val="0"/>
    </w:pPr>
    <w:rPr>
      <w:rFonts w:ascii="Barlow Condensed" w:hAnsi="Barlow Condensed"/>
      <w:b/>
      <w:color w:val="01366F"/>
      <w:sz w:val="56"/>
    </w:rPr>
  </w:style>
  <w:style w:type="paragraph" w:styleId="Heading2">
    <w:name w:val="heading 2"/>
    <w:basedOn w:val="Normal"/>
    <w:next w:val="Normal"/>
    <w:qFormat/>
    <w:pPr>
      <w:keepNext/>
      <w:outlineLvl w:val="1"/>
    </w:pPr>
    <w:rPr>
      <w:rFonts w:ascii="Barlow Condensed SemiBold" w:hAnsi="Barlow Condensed SemiBold"/>
      <w:color w:val="007614"/>
      <w:sz w:val="32"/>
    </w:rPr>
  </w:style>
  <w:style w:type="paragraph" w:styleId="Heading3">
    <w:name w:val="heading 3"/>
    <w:basedOn w:val="Normal"/>
    <w:next w:val="Normal"/>
    <w:qFormat/>
    <w:pPr>
      <w:keepNext/>
      <w:outlineLvl w:val="2"/>
    </w:pPr>
    <w:rPr>
      <w:rFonts w:ascii="Barlow Condensed SemiBold" w:hAnsi="Barlow Condensed SemiBold"/>
      <w:color w:val="01366F"/>
      <w:sz w:val="25"/>
    </w:rPr>
  </w:style>
  <w:style w:type="paragraph" w:styleId="Heading4">
    <w:name w:val="heading 4"/>
    <w:basedOn w:val="Normal"/>
    <w:next w:val="Normal"/>
    <w:qFormat/>
    <w:pPr>
      <w:keepNext/>
      <w:outlineLvl w:val="3"/>
    </w:pPr>
    <w:rPr>
      <w:rFonts w:ascii="Barlow SemiBold" w:hAnsi="Barlow SemiBold"/>
      <w:color w:val="01366F"/>
    </w:rPr>
  </w:style>
  <w:style w:type="paragraph" w:styleId="Folio">
    <w:name w:val="Fólio"/>
    <w:basedOn w:val="Normal"/>
    <w:qFormat/>
    <w:pPr/>
    <w:rPr>
      <w:rFonts w:ascii="Barlow Condensed SemiBold" w:hAnsi="Barlow Condensed SemiBold"/>
      <w:color w:val="FFFFFF"/>
      <w:sz w:val="21"/>
    </w:rPr>
  </w:style>
  <w:style w:type="paragraph" w:styleId="ListParagraph">
    <w:name w:val="List Paragraph"/>
    <w:basedOn w:val="Normal"/>
    <w:qFormat/>
    <w:pPr>
      <w:ind w:left="340"/>
      <w:contextualSpacing/>
    </w:pPr>
    <w:rPr/>
  </w:style>
  <w:style w:type="paragraph" w:styleId="TOC1">
    <w:name w:val="toc 1"/>
    <w:basedOn w:val="Normal"/>
    <w:qFormat/>
    <w:pPr/>
    <w:rPr/>
  </w:style>
  <w:style w:type="paragraph" w:styleId="TOC2">
    <w:name w:val="toc 2"/>
    <w:basedOn w:val="Normal"/>
    <w:qFormat/>
    <w:pPr>
      <w:ind w:left="300"/>
    </w:pPr>
    <w:rPr/>
  </w:style>
  <w:style w:type="paragraph" w:styleId="TOC3">
    <w:name w:val="toc 3"/>
    <w:basedOn w:val="Normal"/>
    <w:qFormat/>
    <w:pPr>
      <w:ind w:left="600"/>
    </w:pPr>
    <w:rPr/>
  </w:style>
  <w:style w:type="character" w:styleId="Hyperlink">
    <w:name w:val="Hyperlink"/>
    <w:rPr/>
  </w:style>
  <w:style w:type="table" w:default="1" w:styleId="TableNormal">
    <w:name w:val="Normal Table"/>
    <w:tblPr>
      <w:tblInd w:w="0" w:type="dxa"/>
      <w:tblCellMar>
        <w:top w:w="0" w:type="dxa"/>
        <w:left w:w="108" w:type="dxa"/>
        <w:bottom w:w="0" w:type="dxa"/>
        <w:right w:w="108" w:type="dxa"/>
      </w:tblCellMar>
    </w:tblPr>
  </w:style>
  <w:style w:type="paragraph" w:styleId="TOC9">
    <w:name w:val="table of figures"/>
    <w:basedOn w:val="Normal"/>
    <w:qFormat/>
    <w:pPr/>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theme" Target="theme/theme1.xml"/><Relationship Id="rId10" Type="http://schemas.openxmlformats.org/officeDocument/2006/relationships/image" Target="media/img5.png"/><Relationship Id="rId11" Type="http://schemas.openxmlformats.org/officeDocument/2006/relationships/image" Target="media/img7.png"/><Relationship Id="rId12" Type="http://schemas.openxmlformats.org/officeDocument/2006/relationships/image" Target="media/img9.png"/><Relationship Id="rId13" Type="http://schemas.openxmlformats.org/officeDocument/2006/relationships/header" Target="header1.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header" Target="header14.xml"/><Relationship Id="rId27" Type="http://schemas.openxmlformats.org/officeDocument/2006/relationships/header" Target="header15.xml"/><Relationship Id="rId28" Type="http://schemas.openxmlformats.org/officeDocument/2006/relationships/header" Target="header16.xml"/><Relationship Id="rId29" Type="http://schemas.openxmlformats.org/officeDocument/2006/relationships/header" Target="header17.xml"/><Relationship Id="rId30" Type="http://schemas.openxmlformats.org/officeDocument/2006/relationships/header" Target="header18.xml"/><Relationship Id="rId31" Type="http://schemas.openxmlformats.org/officeDocument/2006/relationships/header" Target="header19.xml"/><Relationship Id="rId32" Type="http://schemas.openxmlformats.org/officeDocument/2006/relationships/header" Target="header20.xml"/><Relationship Id="rId33" Type="http://schemas.openxmlformats.org/officeDocument/2006/relationships/header" Target="header21.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 Id="rIdF6" Type="http://schemas.openxmlformats.org/officeDocument/2006/relationships/font" Target="fonts/font6.odttf"/><Relationship Id="rIdF7" Type="http://schemas.openxmlformats.org/officeDocument/2006/relationships/font" Target="fonts/font7.odttf"/><Relationship Id="rIdF8" Type="http://schemas.openxmlformats.org/officeDocument/2006/relationships/font" Target="fonts/font8.odttf"/><Relationship Id="rIdF9" Type="http://schemas.openxmlformats.org/officeDocument/2006/relationships/font" Target="fonts/font9.odttf"/></Relationships>
</file>

<file path=word/_rels/header1.xml.rels><?xml version="1.0" encoding="UTF-8" standalone="yes"?><Relationships xmlns="http://schemas.openxmlformats.org/package/2006/relationships"><Relationship Id="rIdB1" Type="http://schemas.openxmlformats.org/officeDocument/2006/relationships/image" Target="media/bg1.png"/></Relationships>
</file>

<file path=word/_rels/header3.xml.rels><?xml version="1.0" encoding="UTF-8" standalone="yes"?><Relationships xmlns="http://schemas.openxmlformats.org/package/2006/relationships"><Relationship Id="rIdB1" Type="http://schemas.openxmlformats.org/officeDocument/2006/relationships/image" Target="media/bg2.png"/></Relationships>
</file>

<file path=word/_rels/header4.xml.rels><?xml version="1.0" encoding="UTF-8" standalone="yes"?><Relationships xmlns="http://schemas.openxmlformats.org/package/2006/relationships"><Relationship Id="rIdB1" Type="http://schemas.openxmlformats.org/officeDocument/2006/relationships/image" Target="media/bg3.png"/></Relationships>
</file>

<file path=word/_rels/header5.xml.rels><?xml version="1.0" encoding="UTF-8" standalone="yes"?><Relationships xmlns="http://schemas.openxmlformats.org/package/2006/relationships"><Relationship Id="rIdB1" Type="http://schemas.openxmlformats.org/officeDocument/2006/relationships/image" Target="media/bg4.png"/></Relationships>
</file>

<file path=word/_rels/header8.xml.rels><?xml version="1.0" encoding="UTF-8" standalone="yes"?><Relationships xmlns="http://schemas.openxmlformats.org/package/2006/relationships"><Relationship Id="rIdB1" Type="http://schemas.openxmlformats.org/officeDocument/2006/relationships/image" Target="media/bg3.png"/></Relationships>
</file>

<file path=word/_rels/header9.xml.rels><?xml version="1.0" encoding="UTF-8" standalone="yes"?><Relationships xmlns="http://schemas.openxmlformats.org/package/2006/relationships"><Relationship Id="rIdB1" Type="http://schemas.openxmlformats.org/officeDocument/2006/relationships/image" Target="media/bg3.png"/></Relationships>
</file>

<file path=word/_rels/header10.xml.rels><?xml version="1.0" encoding="UTF-8" standalone="yes"?><Relationships xmlns="http://schemas.openxmlformats.org/package/2006/relationships"><Relationship Id="rIdB1" Type="http://schemas.openxmlformats.org/officeDocument/2006/relationships/image" Target="media/bg3.png"/></Relationships>
</file>

<file path=word/_rels/header11.xml.rels><?xml version="1.0" encoding="UTF-8" standalone="yes"?><Relationships xmlns="http://schemas.openxmlformats.org/package/2006/relationships"><Relationship Id="rIdB1" Type="http://schemas.openxmlformats.org/officeDocument/2006/relationships/image" Target="media/bg3.png"/></Relationships>
</file>

<file path=word/_rels/header12.xml.rels><?xml version="1.0" encoding="UTF-8" standalone="yes"?><Relationships xmlns="http://schemas.openxmlformats.org/package/2006/relationships"><Relationship Id="rIdB1" Type="http://schemas.openxmlformats.org/officeDocument/2006/relationships/image" Target="media/bg3.png"/></Relationships>
</file>

<file path=word/_rels/header13.xml.rels><?xml version="1.0" encoding="UTF-8" standalone="yes"?><Relationships xmlns="http://schemas.openxmlformats.org/package/2006/relationships"><Relationship Id="rIdB1" Type="http://schemas.openxmlformats.org/officeDocument/2006/relationships/image" Target="media/bg3.png"/></Relationships>
</file>

<file path=word/_rels/header14.xml.rels><?xml version="1.0" encoding="UTF-8" standalone="yes"?><Relationships xmlns="http://schemas.openxmlformats.org/package/2006/relationships"><Relationship Id="rIdB1" Type="http://schemas.openxmlformats.org/officeDocument/2006/relationships/image" Target="media/bg3.png"/></Relationships>
</file>

<file path=word/_rels/header15.xml.rels><?xml version="1.0" encoding="UTF-8" standalone="yes"?><Relationships xmlns="http://schemas.openxmlformats.org/package/2006/relationships"><Relationship Id="rIdB1" Type="http://schemas.openxmlformats.org/officeDocument/2006/relationships/image" Target="media/bg3.png"/></Relationships>
</file>

<file path=word/_rels/header16.xml.rels><?xml version="1.0" encoding="UTF-8" standalone="yes"?><Relationships xmlns="http://schemas.openxmlformats.org/package/2006/relationships"><Relationship Id="rIdB1" Type="http://schemas.openxmlformats.org/officeDocument/2006/relationships/image" Target="media/bg3.png"/></Relationships>
</file>

<file path=word/_rels/header17.xml.rels><?xml version="1.0" encoding="UTF-8" standalone="yes"?><Relationships xmlns="http://schemas.openxmlformats.org/package/2006/relationships"><Relationship Id="rIdB1" Type="http://schemas.openxmlformats.org/officeDocument/2006/relationships/image" Target="media/bg3.png"/></Relationships>
</file>

<file path=word/_rels/header18.xml.rels><?xml version="1.0" encoding="UTF-8" standalone="yes"?><Relationships xmlns="http://schemas.openxmlformats.org/package/2006/relationships"><Relationship Id="rIdB1" Type="http://schemas.openxmlformats.org/officeDocument/2006/relationships/image" Target="media/bg3.png"/></Relationships>
</file>

<file path=word/_rels/header19.xml.rels><?xml version="1.0" encoding="UTF-8" standalone="yes"?><Relationships xmlns="http://schemas.openxmlformats.org/package/2006/relationships"><Relationship Id="rIdB1" Type="http://schemas.openxmlformats.org/officeDocument/2006/relationships/image" Target="media/bg3.png"/></Relationships>
</file>

<file path=word/_rels/header20.xml.rels><?xml version="1.0" encoding="UTF-8" standalone="yes"?><Relationships xmlns="http://schemas.openxmlformats.org/package/2006/relationships"><Relationship Id="rIdB1" Type="http://schemas.openxmlformats.org/officeDocument/2006/relationships/image" Target="media/bg3.png"/></Relationships>
</file>

<file path=word/_rels/header21.xml.rels><?xml version="1.0" encoding="UTF-8" standalone="yes"?><Relationships xmlns="http://schemas.openxmlformats.org/package/2006/relationships"><Relationship Id="rIdB1" Type="http://schemas.openxmlformats.org/officeDocument/2006/relationships/image" Target="media/bg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Guia metodológico do Índice de Vulnerabilidade Territorial (IVT)</dc:title>
  <dc:creator>Fiocruz Brasília · CoLaboratório CTIS · PICAPS</dc:creator>
  <dc:language>pt-BR</dc:language>
</cp:coreProperties>
</file>