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500" w:lineRule="exact"/>
        <w:jc w:val="both"/>
      </w:pPr>
    </w:p>
    <w:p>
      <w:pPr>
        <w:spacing w:before="0" w:after="40" w:line="250" w:lineRule="auto"/>
        <w:jc w:val="left"/>
      </w:pPr>
      <w:r>
        <w:rPr>
          <w:rFonts w:ascii="Barlow Condensed SemiBold" w:hAnsi="Barlow Condensed SemiBold" w:cs="Barlow Condensed SemiBold" w:eastAsia="Barlow Condensed SemiBold"/>
          <w:color w:val="007614"/>
          <w:sz w:val="17"/>
          <w:szCs w:val="17"/>
        </w:rPr>
        <w:t xml:space="preserve">FUNDAÇÃO OSWALDO CRUZ</w:t>
      </w:r>
    </w:p>
    <w:p>
      <w:pPr>
        <w:spacing w:before="0" w:after="40" w:line="250" w:lineRule="auto"/>
        <w:jc w:val="left"/>
      </w:pPr>
      <w:r>
        <w:rPr>
          <w:rFonts w:ascii="Barlow Condensed SemiBold" w:hAnsi="Barlow Condensed SemiBold" w:cs="Barlow Condensed SemiBold" w:eastAsia="Barlow Condensed SemiBold"/>
          <w:color w:val="007614"/>
          <w:sz w:val="17"/>
          <w:szCs w:val="17"/>
        </w:rPr>
        <w:t xml:space="preserve">FIOCRUZ BRASÍLIA</w:t>
      </w:r>
    </w:p>
    <w:p>
      <w:pPr>
        <w:spacing w:before="0" w:after="40" w:line="250" w:lineRule="auto"/>
        <w:jc w:val="left"/>
      </w:pPr>
      <w:r>
        <w:rPr>
          <w:rFonts w:ascii="Barlow Condensed SemiBold" w:hAnsi="Barlow Condensed SemiBold" w:cs="Barlow Condensed SemiBold" w:eastAsia="Barlow Condensed SemiBold"/>
          <w:color w:val="01366F"/>
          <w:sz w:val="17"/>
          <w:szCs w:val="17"/>
        </w:rPr>
        <w:t xml:space="preserve">COLABORATÓRIO DE CIÊNCIA, TECNOLOGIA, INOVAÇÃO E SOCIEDADE (CTIS)</w:t>
      </w:r>
    </w:p>
    <w:p>
      <w:pPr>
        <w:pBdr>
          <w:top w:val="single" w:sz="12" w:space="1" w:color="007614"/>
        </w:pBdr>
        <w:spacing w:before="300" w:after="120" w:line="200" w:lineRule="exact"/>
        <w:ind w:right="7000"/>
        <w:jc w:val="left"/>
      </w:pPr>
    </w:p>
    <w:p>
      <w:pPr>
        <w:spacing w:before="0" w:after="20" w:line="270" w:lineRule="auto"/>
        <w:jc w:val="left"/>
      </w:pPr>
      <w:r>
        <w:rPr>
          <w:rFonts w:ascii="Barlow SemiBold" w:hAnsi="Barlow SemiBold" w:cs="Barlow SemiBold" w:eastAsia="Barlow SemiBold"/>
          <w:color w:val="01366F"/>
          <w:sz w:val="20"/>
          <w:szCs w:val="20"/>
        </w:rPr>
        <w:t xml:space="preserve">WAGNER DE JESUS MARTINS</w:t>
      </w:r>
    </w:p>
    <w:p>
      <w:pPr>
        <w:spacing w:before="0" w:after="20" w:line="270" w:lineRule="auto"/>
        <w:jc w:val="left"/>
      </w:pPr>
      <w:r>
        <w:rPr>
          <w:rFonts w:ascii="Barlow SemiBold" w:hAnsi="Barlow SemiBold" w:cs="Barlow SemiBold" w:eastAsia="Barlow SemiBold"/>
          <w:color w:val="01366F"/>
          <w:sz w:val="20"/>
          <w:szCs w:val="20"/>
        </w:rPr>
        <w:t xml:space="preserve">FERNANDA MACHINER</w:t>
      </w:r>
    </w:p>
    <w:p>
      <w:pPr>
        <w:spacing w:before="0" w:after="20" w:line="270" w:lineRule="auto"/>
        <w:jc w:val="left"/>
      </w:pPr>
      <w:r>
        <w:rPr>
          <w:rFonts w:ascii="Barlow SemiBold" w:hAnsi="Barlow SemiBold" w:cs="Barlow SemiBold" w:eastAsia="Barlow SemiBold"/>
          <w:color w:val="01366F"/>
          <w:sz w:val="20"/>
          <w:szCs w:val="20"/>
        </w:rPr>
        <w:t xml:space="preserve">MARIA EDUARDA SILVA</w:t>
      </w:r>
    </w:p>
    <w:p>
      <w:pPr>
        <w:spacing w:before="0" w:after="360" w:line="270" w:lineRule="auto"/>
        <w:jc w:val="left"/>
      </w:pPr>
      <w:r>
        <w:rPr>
          <w:rFonts w:ascii="Barlow SemiBold" w:hAnsi="Barlow SemiBold" w:cs="Barlow SemiBold" w:eastAsia="Barlow SemiBold"/>
          <w:color w:val="01366F"/>
          <w:sz w:val="20"/>
          <w:szCs w:val="20"/>
        </w:rPr>
        <w:t xml:space="preserve">JEFERSON MARTINS DE CASTRO</w:t>
      </w:r>
    </w:p>
    <w:p>
      <w:pPr>
        <w:spacing w:before="0" w:after="0" w:line="636" w:lineRule="exact"/>
        <w:jc w:val="left"/>
      </w:pPr>
      <w:r>
        <w:rPr>
          <w:rFonts w:ascii="Barlow Condensed" w:hAnsi="Barlow Condensed" w:cs="Barlow Condensed" w:eastAsia="Barlow Condensed"/>
          <w:b/>
          <w:bCs/>
          <w:color w:val="01366F"/>
          <w:sz w:val="60"/>
          <w:szCs w:val="60"/>
        </w:rPr>
        <w:t xml:space="preserve">DETERMINANTES SOCIAIS DA SAÚDE, VIGILÂNCIA POPULAR E GOVERNANÇA PARTICIPATIVA TERRITORIAL:</w:t>
      </w:r>
    </w:p>
    <w:p>
      <w:pPr>
        <w:pBdr>
          <w:left w:val="single" w:sz="24" w:space="0" w:color="007614"/>
        </w:pBdr>
        <w:spacing w:before="300" w:after="0" w:line="560" w:lineRule="exact"/>
        <w:ind w:left="40"/>
        <w:jc w:val="left"/>
      </w:pPr>
    </w:p>
    <w:p>
      <w:pPr>
        <w:spacing w:before="200" w:after="0" w:line="300" w:lineRule="auto"/>
        <w:ind w:right="2400"/>
        <w:jc w:val="left"/>
      </w:pPr>
      <w:r>
        <w:rPr>
          <w:rFonts w:ascii="Barlow" w:hAnsi="Barlow" w:cs="Barlow" w:eastAsia="Barlow"/>
          <w:color w:val="01366F"/>
          <w:sz w:val="22"/>
          <w:szCs w:val="22"/>
        </w:rPr>
        <w:t xml:space="preserve">estudo de caso de métodos mistos da implementação da metodologia PICAPS no Sol Nascente/Pôr do Sol, Distrito Federal</w:t>
      </w:r>
    </w:p>
    <w:p>
      <w:pPr>
        <w:framePr w:w="2800" w:h="1400" w:hRule="exact" w:wrap="around" w:hAnchor="page" w:vAnchor="page" w:x="8200" w:y="12500"/>
        <w:spacing w:before="0" w:after="0" w:line="640" w:lineRule="exact"/>
        <w:jc w:val="right"/>
      </w:pPr>
      <w:r>
        <w:rPr>
          <w:rFonts w:ascii="Barlow Condensed SemiBold" w:hAnsi="Barlow Condensed SemiBold" w:cs="Barlow Condensed SemiBold" w:eastAsia="Barlow Condensed SemiBold"/>
          <w:color w:val="FFFFFF"/>
          <w:sz w:val="20"/>
          <w:szCs w:val="20"/>
        </w:rPr>
        <w:t xml:space="preserve">BRASÍLIA</w:t>
      </w:r>
      <w:r>
        <w:br/>
      </w:r>
      <w:r>
        <w:rPr>
          <w:rFonts w:ascii="Barlow Condensed" w:hAnsi="Barlow Condensed" w:cs="Barlow Condensed" w:eastAsia="Barlow Condensed"/>
          <w:b/>
          <w:bCs/>
          <w:color w:val="FFFFFF"/>
          <w:sz w:val="60"/>
          <w:szCs w:val="60"/>
        </w:rPr>
        <w:t xml:space="preserve">2026</w:t>
      </w:r>
    </w:p>
    <w:p>
      <w:pPr>
        <w:spacing w:before="0" w:after="0" w:line="20" w:lineRule="exact"/>
        <w:jc w:val="both"/>
        <w:sectPr>
          <w:headerReference w:type="default" r:id="rId10"/>
          <w:headerReference w:type="even" r:id="rId10"/>
          <w:footerReference w:type="default" r:id="rId11"/>
          <w:footerReference w:type="even" r:id="rId11"/>
          <w:type w:val="nextPage"/>
          <w:pgSz w:w="11906" w:h="16838"/>
          <w:pgMar w:top="1300" w:right="1361" w:bottom="1000" w:left="1361" w:header="850" w:footer="330" w:gutter="0"/>
          <w:cols w:space="720"/>
          <w:docGrid w:linePitch="360"/>
        </w:sectPr>
      </w:pPr>
    </w:p>
    <w:p>
      <w:pPr>
        <w:spacing w:before="200" w:after="20" w:line="270" w:lineRule="auto"/>
        <w:jc w:val="center"/>
      </w:pPr>
      <w:r>
        <w:rPr>
          <w:rFonts w:ascii="Barlow SemiBold" w:hAnsi="Barlow SemiBold" w:cs="Barlow SemiBold" w:eastAsia="Barlow SemiBold"/>
          <w:color w:val="01366F"/>
          <w:sz w:val="20"/>
          <w:szCs w:val="20"/>
        </w:rPr>
        <w:t xml:space="preserve">WAGNER DE JESUS MARTINS</w:t>
      </w:r>
    </w:p>
    <w:p>
      <w:pPr>
        <w:spacing w:before="0" w:after="20" w:line="270" w:lineRule="auto"/>
        <w:jc w:val="center"/>
      </w:pPr>
      <w:r>
        <w:rPr>
          <w:rFonts w:ascii="Barlow SemiBold" w:hAnsi="Barlow SemiBold" w:cs="Barlow SemiBold" w:eastAsia="Barlow SemiBold"/>
          <w:color w:val="01366F"/>
          <w:sz w:val="20"/>
          <w:szCs w:val="20"/>
        </w:rPr>
        <w:t xml:space="preserve">FERNANDA MACHINER</w:t>
      </w:r>
    </w:p>
    <w:p>
      <w:pPr>
        <w:spacing w:before="0" w:after="20" w:line="270" w:lineRule="auto"/>
        <w:jc w:val="center"/>
      </w:pPr>
      <w:r>
        <w:rPr>
          <w:rFonts w:ascii="Barlow SemiBold" w:hAnsi="Barlow SemiBold" w:cs="Barlow SemiBold" w:eastAsia="Barlow SemiBold"/>
          <w:color w:val="01366F"/>
          <w:sz w:val="20"/>
          <w:szCs w:val="20"/>
        </w:rPr>
        <w:t xml:space="preserve">MARIA EDUARDA SILVA</w:t>
      </w:r>
    </w:p>
    <w:p>
      <w:pPr>
        <w:spacing w:before="0" w:after="20" w:line="270" w:lineRule="auto"/>
        <w:jc w:val="center"/>
      </w:pPr>
      <w:r>
        <w:rPr>
          <w:rFonts w:ascii="Barlow SemiBold" w:hAnsi="Barlow SemiBold" w:cs="Barlow SemiBold" w:eastAsia="Barlow SemiBold"/>
          <w:color w:val="01366F"/>
          <w:sz w:val="20"/>
          <w:szCs w:val="20"/>
        </w:rPr>
        <w:t xml:space="preserve">JEFERSON MARTINS DE CASTRO</w:t>
      </w:r>
    </w:p>
    <w:p>
      <w:pPr>
        <w:spacing w:before="0" w:after="0" w:line="1200" w:lineRule="exact"/>
        <w:jc w:val="both"/>
      </w:pPr>
    </w:p>
    <w:p>
      <w:pPr>
        <w:spacing w:before="0" w:after="0" w:line="560" w:lineRule="exact"/>
        <w:ind w:left="300" w:right="300"/>
        <w:jc w:val="center"/>
      </w:pPr>
      <w:r>
        <w:rPr>
          <w:rFonts w:ascii="Barlow Condensed" w:hAnsi="Barlow Condensed" w:cs="Barlow Condensed" w:eastAsia="Barlow Condensed"/>
          <w:b/>
          <w:bCs/>
          <w:color w:val="01366F"/>
          <w:sz w:val="50"/>
          <w:szCs w:val="50"/>
        </w:rPr>
        <w:t xml:space="preserve">DETERMINANTES SOCIAIS DA SAÚDE, VIGILÂNCIA POPULAR E GOVERNANÇA PARTICIPATIVA TERRITORIAL:</w:t>
      </w:r>
    </w:p>
    <w:p>
      <w:pPr>
        <w:spacing w:before="260" w:after="0" w:line="300" w:lineRule="auto"/>
        <w:ind w:left="600" w:right="600"/>
        <w:jc w:val="center"/>
      </w:pPr>
      <w:r>
        <w:rPr>
          <w:rFonts w:ascii="Barlow Condensed SemiBold" w:hAnsi="Barlow Condensed SemiBold" w:cs="Barlow Condensed SemiBold" w:eastAsia="Barlow Condensed SemiBold"/>
          <w:color w:val="007614"/>
          <w:sz w:val="22"/>
          <w:szCs w:val="22"/>
        </w:rPr>
        <w:t xml:space="preserve">estudo de caso de métodos mistos da implementação da metodologia PICAPS no Sol Nascente/Pôr do Sol, Distrito Federal</w:t>
      </w:r>
    </w:p>
    <w:p>
      <w:pPr>
        <w:spacing w:before="0" w:after="0" w:line="1500" w:lineRule="exact"/>
        <w:jc w:val="both"/>
      </w:pPr>
    </w:p>
    <w:p>
      <w:pPr>
        <w:pBdr>
          <w:left w:val="single" w:sz="18" w:space="10" w:color="007614"/>
        </w:pBdr>
        <w:spacing w:before="0" w:after="80" w:line="270" w:lineRule="auto"/>
        <w:ind w:left="4300"/>
        <w:jc w:val="both"/>
      </w:pPr>
      <w:r>
        <w:rPr>
          <w:rFonts w:ascii="Barlow" w:hAnsi="Barlow" w:cs="Barlow" w:eastAsia="Barlow"/>
          <w:color w:val="0F2440"/>
          <w:sz w:val="18"/>
          <w:szCs w:val="18"/>
        </w:rPr>
        <w:t xml:space="preserve">Projeto de pesquisa apresentado ao Comitê de Ética em Pesquisa da Fiocruz Brasília, por meio da Plataforma Brasil, e a [agência ou edital de financiamento], desenvolvido pelo CoLaboratório de Ciência, Tecnologia, Inovação e Sociedade (CTIS) da Fiocruz Brasília em parceria com a Universidade de Brasília e a Secretaria de Estado de Saúde do Distrito Federal.</w:t>
      </w:r>
    </w:p>
    <w:p>
      <w:pPr>
        <w:pBdr>
          <w:left w:val="single" w:sz="18" w:space="10" w:color="007614"/>
        </w:pBdr>
        <w:spacing w:before="0" w:after="0" w:line="270" w:lineRule="auto"/>
        <w:ind w:left="4300"/>
        <w:jc w:val="both"/>
      </w:pPr>
      <w:r>
        <w:rPr>
          <w:rFonts w:ascii="Barlow" w:hAnsi="Barlow" w:cs="Barlow" w:eastAsia="Barlow"/>
          <w:color w:val="0F2440"/>
          <w:sz w:val="18"/>
          <w:szCs w:val="18"/>
        </w:rPr>
        <w:t xml:space="preserve">Equipe: [nomes, instituições e funções; links do Currículo Lattes].</w:t>
      </w:r>
    </w:p>
    <w:p>
      <w:pPr>
        <w:spacing w:before="0" w:after="0" w:line="3000" w:lineRule="exact"/>
        <w:jc w:val="both"/>
      </w:pPr>
    </w:p>
    <w:p>
      <w:pPr>
        <w:spacing w:before="0" w:after="0" w:line="300" w:lineRule="auto"/>
        <w:jc w:val="center"/>
      </w:pPr>
      <w:r>
        <w:rPr>
          <w:rFonts w:ascii="Barlow Condensed SemiBold" w:hAnsi="Barlow Condensed SemiBold" w:cs="Barlow Condensed SemiBold" w:eastAsia="Barlow Condensed SemiBold"/>
          <w:color w:val="01366F"/>
          <w:sz w:val="20"/>
          <w:szCs w:val="20"/>
        </w:rPr>
        <w:t xml:space="preserve">BRASÍLIA</w:t>
      </w:r>
    </w:p>
    <w:p>
      <w:pPr>
        <w:spacing w:before="0" w:after="0" w:line="300" w:lineRule="auto"/>
        <w:jc w:val="center"/>
        <w:sectPr>
          <w:headerReference w:type="default" r:id="rId12"/>
          <w:headerReference w:type="even" r:id="rId12"/>
          <w:footerReference w:type="default" r:id="rId11"/>
          <w:footerReference w:type="even" r:id="rId11"/>
          <w:type w:val="nextPage"/>
          <w:pgSz w:w="11906" w:h="16838"/>
          <w:pgMar w:top="1700" w:right="1531" w:bottom="1700" w:left="1531" w:header="850" w:footer="330" w:gutter="0"/>
          <w:cols w:space="720"/>
          <w:docGrid w:linePitch="360"/>
        </w:sectPr>
      </w:pPr>
      <w:r>
        <w:rPr>
          <w:rFonts w:ascii="Barlow Condensed" w:hAnsi="Barlow Condensed" w:cs="Barlow Condensed" w:eastAsia="Barlow Condensed"/>
          <w:color w:val="01366F"/>
          <w:sz w:val="30"/>
          <w:szCs w:val="30"/>
        </w:rPr>
        <w:t xml:space="preserve">2026</w:t>
      </w:r>
    </w:p>
    <w:p>
      <w:pPr>
        <w:pBdr>
          <w:bottom w:val="single" w:sz="12" w:space="10" w:color="007614"/>
        </w:pBdr>
        <w:spacing w:before="0" w:after="480" w:line="300" w:lineRule="auto"/>
        <w:jc w:val="center"/>
      </w:pPr>
      <w:r>
        <w:rPr>
          <w:rFonts w:ascii="Barlow Condensed" w:hAnsi="Barlow Condensed" w:cs="Barlow Condensed" w:eastAsia="Barlow Condensed"/>
          <w:b/>
          <w:bCs/>
          <w:color w:val="01366F"/>
          <w:sz w:val="44"/>
          <w:szCs w:val="44"/>
        </w:rPr>
        <w:t xml:space="preserve">RESUMO</w:t>
      </w:r>
    </w:p>
    <w:p>
      <w:pPr>
        <w:spacing w:before="0" w:after="200" w:line="320" w:lineRule="auto"/>
        <w:jc w:val="both"/>
      </w:pPr>
      <w:r>
        <w:rPr>
          <w:rFonts w:ascii="Barlow" w:hAnsi="Barlow" w:cs="Barlow" w:eastAsia="Barlow"/>
          <w:color w:val="0F2440"/>
          <w:sz w:val="21"/>
          <w:szCs w:val="21"/>
        </w:rPr>
        <w:t xml:space="preserve">Metodologias participativas de vigilância em saúde são promovidas para aproximar o conhecimento produzido nos territórios das respostas dos serviços, mas pouco se sabe sobre o que acontece com esse conhecimento depois de registrado, nem se os problemas que se tornam visíveis correspondem às condições que mais afetam a saúde da população. Este projeto analisa como, para quem e em que condições a metodologia de governança participativa territorial da Plataforma de Inteligência Cooperativa com a Atenção Primária à Saúde (PICAPS) transforma conhecimentos produzidos no território em deliberação coletiva e em respostas dos serviços de Atenção Primária à Saúde e de Vigilância em Saúde, articulando essa análise ao dimensionamento dos determinantes sociais da saúde. Trata-se de estudo de caso de métodos mistos com predominância qualitativa, no Sol Nascente/Pôr do Sol, Distrito Federal. O componente qualitativo é longitudinal, tem os quatro setores do território como unidades incorporadas e é conduzido como avaliação de processo informada pela abordagem realista: em três ondas, serão realizadas cerca de 100 entrevistas com 44 participantes, observação de reuniões e oficinas, análise documental, rastreamento de 24 trajetórias de alertas e demandas e oito oficinas de interpretação. O componente quantitativo é um inquérito domiciliar transversal, em amostra probabilística por conglomerados de cerca de 840 domicílios, com questionário misto baseado no referencial da Organização Mundial da Saúde, que reúne itens de inquéritos oficiais e escalas validadas no Brasil, como a Escala Brasileira de Insegurança Alimentar, e seis questões abertas. A integração ocorrerá pela seleção de participantes, pela devolução dos resultados às redes ativadas e por joint displays por setor. Espera-se produzir o perfil dos determinantes por setor, uma teoria do programa sustentada empiricamente, uma tipologia das trajetórias entre comunidade e serviços e recomendações para a articulação entre Salas de Cooperação Social e serviços de saúde.</w:t>
      </w:r>
    </w:p>
    <w:p>
      <w:pPr>
        <w:spacing w:before="0" w:after="200" w:line="320" w:lineRule="auto"/>
        <w:jc w:val="both"/>
        <w:sectPr>
          <w:headerReference w:type="default" r:id="rId12"/>
          <w:headerReference w:type="even" r:id="rId12"/>
          <w:footerReference w:type="default" r:id="rId11"/>
          <w:footerReference w:type="even" r:id="rId11"/>
          <w:type w:val="nextPage"/>
          <w:pgSz w:w="11906" w:h="16838"/>
          <w:pgMar w:top="1700" w:right="1531" w:bottom="1700" w:left="1531" w:header="850" w:footer="330" w:gutter="0"/>
          <w:cols w:space="720"/>
          <w:docGrid w:linePitch="360"/>
        </w:sectPr>
      </w:pPr>
      <w:r>
        <w:rPr>
          <w:rFonts w:ascii="Barlow SemiBold" w:hAnsi="Barlow SemiBold" w:cs="Barlow SemiBold" w:eastAsia="Barlow SemiBold"/>
          <w:color w:val="01366F"/>
          <w:sz w:val="21"/>
          <w:szCs w:val="21"/>
        </w:rPr>
        <w:t xml:space="preserve">Palavras-chave</w:t>
      </w:r>
      <w:r>
        <w:rPr>
          <w:rFonts w:ascii="Barlow" w:hAnsi="Barlow" w:cs="Barlow" w:eastAsia="Barlow"/>
          <w:color w:val="0F2440"/>
          <w:sz w:val="21"/>
          <w:szCs w:val="21"/>
        </w:rPr>
        <w:t xml:space="preserve">: determinantes sociais da saúde; vigilância popular em saúde; participação social; Atenção Primária à Saúde; métodos mistos.</w:t>
      </w:r>
    </w:p>
    <w:p>
      <w:pPr>
        <w:pBdr>
          <w:bottom w:val="single" w:sz="12" w:space="10" w:color="007614"/>
        </w:pBdr>
        <w:spacing w:before="0" w:after="480" w:line="300" w:lineRule="auto"/>
        <w:jc w:val="center"/>
      </w:pPr>
      <w:r>
        <w:rPr>
          <w:rFonts w:ascii="Barlow Condensed" w:hAnsi="Barlow Condensed" w:cs="Barlow Condensed" w:eastAsia="Barlow Condensed"/>
          <w:b/>
          <w:bCs/>
          <w:color w:val="01366F"/>
          <w:sz w:val="44"/>
          <w:szCs w:val="44"/>
        </w:rPr>
        <w:t xml:space="preserve">LISTA DE QUADROS</w:t>
      </w:r>
    </w:p>
    <w:p>
      <w:pPr>
        <w:pStyle w:val="TOC9"/>
        <w:tabs>
          <w:tab w:val="left" w:pos="1150"/>
          <w:tab w:val="right" w:leader="dot" w:pos="8844"/>
        </w:tabs>
        <w:spacing w:before="0" w:after="70" w:line="260" w:lineRule="auto"/>
        <w:ind w:left="1150" w:right="500" w:hanging="1150"/>
        <w:jc w:val="left"/>
      </w:pPr>
      <w:hyperlink w:anchor="_q_1" w:history="1">
        <w:r>
          <w:rPr>
            <w:rFonts w:ascii="Barlow Condensed SemiBold" w:hAnsi="Barlow Condensed SemiBold" w:cs="Barlow Condensed SemiBold" w:eastAsia="Barlow Condensed SemiBold"/>
            <w:color w:val="007614"/>
            <w:sz w:val="18"/>
            <w:szCs w:val="18"/>
          </w:rPr>
          <w:t xml:space="preserve">Quadro 1 – </w:t>
        </w:r>
        <w:r>
          <w:rPr>
            <w:rFonts w:ascii="Barlow" w:hAnsi="Barlow" w:cs="Barlow" w:eastAsia="Barlow"/>
            <w:color w:val="0F2440"/>
            <w:sz w:val="18"/>
            <w:szCs w:val="18"/>
          </w:rPr>
          <w:t xml:space="preserve">Teoria inicial do programa: configurações contexto–mecanismo–resultado</w:t>
        </w:r>
        <w:r>
          <w:tab/>
        </w:r>
        <w:r>
          <w:rPr>
            <w:rFonts w:ascii="Barlow Condensed SemiBold" w:hAnsi="Barlow Condensed SemiBold" w:cs="Barlow Condensed SemiBold" w:eastAsia="Barlow Condensed SemiBold"/>
            <w:color w:val="007614"/>
            <w:sz w:val="18"/>
            <w:szCs w:val="18"/>
          </w:rPr>
          <w:t xml:space="preserve">15</w:t>
        </w:r>
      </w:hyperlink>
    </w:p>
    <w:p>
      <w:pPr>
        <w:pStyle w:val="TOC9"/>
        <w:tabs>
          <w:tab w:val="left" w:pos="1150"/>
          <w:tab w:val="right" w:leader="dot" w:pos="8844"/>
        </w:tabs>
        <w:spacing w:before="0" w:after="70" w:line="260" w:lineRule="auto"/>
        <w:ind w:left="1150" w:right="500" w:hanging="1150"/>
        <w:jc w:val="left"/>
      </w:pPr>
      <w:hyperlink w:anchor="_q_2" w:history="1">
        <w:r>
          <w:rPr>
            <w:rFonts w:ascii="Barlow Condensed SemiBold" w:hAnsi="Barlow Condensed SemiBold" w:cs="Barlow Condensed SemiBold" w:eastAsia="Barlow Condensed SemiBold"/>
            <w:color w:val="007614"/>
            <w:sz w:val="18"/>
            <w:szCs w:val="18"/>
          </w:rPr>
          <w:t xml:space="preserve">Quadro 2 – </w:t>
        </w:r>
        <w:r>
          <w:rPr>
            <w:rFonts w:ascii="Barlow" w:hAnsi="Barlow" w:cs="Barlow" w:eastAsia="Barlow"/>
            <w:color w:val="0F2440"/>
            <w:sz w:val="18"/>
            <w:szCs w:val="18"/>
          </w:rPr>
          <w:t xml:space="preserve">Participantes, critérios de inclusão e estimativas de entrevistas</w:t>
        </w:r>
        <w:r>
          <w:tab/>
        </w:r>
        <w:r>
          <w:rPr>
            <w:rFonts w:ascii="Barlow Condensed SemiBold" w:hAnsi="Barlow Condensed SemiBold" w:cs="Barlow Condensed SemiBold" w:eastAsia="Barlow Condensed SemiBold"/>
            <w:color w:val="007614"/>
            <w:sz w:val="18"/>
            <w:szCs w:val="18"/>
          </w:rPr>
          <w:t xml:space="preserve">18</w:t>
        </w:r>
      </w:hyperlink>
    </w:p>
    <w:p>
      <w:pPr>
        <w:pStyle w:val="TOC9"/>
        <w:tabs>
          <w:tab w:val="left" w:pos="1150"/>
          <w:tab w:val="right" w:leader="dot" w:pos="8844"/>
        </w:tabs>
        <w:spacing w:before="0" w:after="70" w:line="260" w:lineRule="auto"/>
        <w:ind w:left="1150" w:right="500" w:hanging="1150"/>
        <w:jc w:val="left"/>
      </w:pPr>
      <w:hyperlink w:anchor="_q_3" w:history="1">
        <w:r>
          <w:rPr>
            <w:rFonts w:ascii="Barlow Condensed SemiBold" w:hAnsi="Barlow Condensed SemiBold" w:cs="Barlow Condensed SemiBold" w:eastAsia="Barlow Condensed SemiBold"/>
            <w:color w:val="007614"/>
            <w:sz w:val="18"/>
            <w:szCs w:val="18"/>
          </w:rPr>
          <w:t xml:space="preserve">Quadro 3 – </w:t>
        </w:r>
        <w:r>
          <w:rPr>
            <w:rFonts w:ascii="Barlow" w:hAnsi="Barlow" w:cs="Barlow" w:eastAsia="Barlow"/>
            <w:color w:val="0F2440"/>
            <w:sz w:val="18"/>
            <w:szCs w:val="18"/>
          </w:rPr>
          <w:t xml:space="preserve">Ondas de produção de dados por setor (meses do projeto)</w:t>
        </w:r>
        <w:r>
          <w:tab/>
        </w:r>
        <w:r>
          <w:rPr>
            <w:rFonts w:ascii="Barlow Condensed SemiBold" w:hAnsi="Barlow Condensed SemiBold" w:cs="Barlow Condensed SemiBold" w:eastAsia="Barlow Condensed SemiBold"/>
            <w:color w:val="007614"/>
            <w:sz w:val="18"/>
            <w:szCs w:val="18"/>
          </w:rPr>
          <w:t xml:space="preserve">19</w:t>
        </w:r>
      </w:hyperlink>
    </w:p>
    <w:p>
      <w:pPr>
        <w:pStyle w:val="TOC9"/>
        <w:tabs>
          <w:tab w:val="left" w:pos="1150"/>
          <w:tab w:val="right" w:leader="dot" w:pos="8844"/>
        </w:tabs>
        <w:spacing w:before="0" w:after="70" w:line="260" w:lineRule="auto"/>
        <w:ind w:left="1150" w:right="500" w:hanging="1150"/>
        <w:jc w:val="left"/>
      </w:pPr>
      <w:hyperlink w:anchor="_q_4" w:history="1">
        <w:r>
          <w:rPr>
            <w:rFonts w:ascii="Barlow Condensed SemiBold" w:hAnsi="Barlow Condensed SemiBold" w:cs="Barlow Condensed SemiBold" w:eastAsia="Barlow Condensed SemiBold"/>
            <w:color w:val="007614"/>
            <w:sz w:val="18"/>
            <w:szCs w:val="18"/>
          </w:rPr>
          <w:t xml:space="preserve">Quadro 4 – </w:t>
        </w:r>
        <w:r>
          <w:rPr>
            <w:rFonts w:ascii="Barlow" w:hAnsi="Barlow" w:cs="Barlow" w:eastAsia="Barlow"/>
            <w:color w:val="0F2440"/>
            <w:sz w:val="18"/>
            <w:szCs w:val="18"/>
          </w:rPr>
          <w:t xml:space="preserve">Dimensões do questionário, níveis do referencial e instrumentos de origem</w:t>
        </w:r>
        <w:r>
          <w:tab/>
        </w:r>
        <w:r>
          <w:rPr>
            <w:rFonts w:ascii="Barlow Condensed SemiBold" w:hAnsi="Barlow Condensed SemiBold" w:cs="Barlow Condensed SemiBold" w:eastAsia="Barlow Condensed SemiBold"/>
            <w:color w:val="007614"/>
            <w:sz w:val="18"/>
            <w:szCs w:val="18"/>
          </w:rPr>
          <w:t xml:space="preserve">21</w:t>
        </w:r>
      </w:hyperlink>
    </w:p>
    <w:p>
      <w:pPr>
        <w:pStyle w:val="TOC9"/>
        <w:tabs>
          <w:tab w:val="left" w:pos="1150"/>
          <w:tab w:val="right" w:leader="dot" w:pos="8844"/>
        </w:tabs>
        <w:spacing w:before="0" w:after="70" w:line="260" w:lineRule="auto"/>
        <w:ind w:left="1150" w:right="500" w:hanging="1150"/>
        <w:jc w:val="left"/>
      </w:pPr>
      <w:hyperlink w:anchor="_q_5" w:history="1">
        <w:r>
          <w:rPr>
            <w:rFonts w:ascii="Barlow Condensed SemiBold" w:hAnsi="Barlow Condensed SemiBold" w:cs="Barlow Condensed SemiBold" w:eastAsia="Barlow Condensed SemiBold"/>
            <w:color w:val="007614"/>
            <w:sz w:val="18"/>
            <w:szCs w:val="18"/>
          </w:rPr>
          <w:t xml:space="preserve">Quadro 5 – </w:t>
        </w:r>
        <w:r>
          <w:rPr>
            <w:rFonts w:ascii="Barlow" w:hAnsi="Barlow" w:cs="Barlow" w:eastAsia="Barlow"/>
            <w:color w:val="0F2440"/>
            <w:sz w:val="18"/>
            <w:szCs w:val="18"/>
          </w:rPr>
          <w:t xml:space="preserve">Estratégias de integração entre o inquérito e o componente qualitativo</w:t>
        </w:r>
        <w:r>
          <w:tab/>
        </w:r>
        <w:r>
          <w:rPr>
            <w:rFonts w:ascii="Barlow Condensed SemiBold" w:hAnsi="Barlow Condensed SemiBold" w:cs="Barlow Condensed SemiBold" w:eastAsia="Barlow Condensed SemiBold"/>
            <w:color w:val="007614"/>
            <w:sz w:val="18"/>
            <w:szCs w:val="18"/>
          </w:rPr>
          <w:t xml:space="preserve">23</w:t>
        </w:r>
      </w:hyperlink>
    </w:p>
    <w:p>
      <w:pPr>
        <w:pStyle w:val="TOC9"/>
        <w:tabs>
          <w:tab w:val="left" w:pos="1150"/>
          <w:tab w:val="right" w:leader="dot" w:pos="8844"/>
        </w:tabs>
        <w:spacing w:before="0" w:after="70" w:line="260" w:lineRule="auto"/>
        <w:ind w:left="1150" w:right="500" w:hanging="1150"/>
        <w:jc w:val="left"/>
      </w:pPr>
      <w:hyperlink w:anchor="_q_6" w:history="1">
        <w:r>
          <w:rPr>
            <w:rFonts w:ascii="Barlow Condensed SemiBold" w:hAnsi="Barlow Condensed SemiBold" w:cs="Barlow Condensed SemiBold" w:eastAsia="Barlow Condensed SemiBold"/>
            <w:color w:val="007614"/>
            <w:sz w:val="18"/>
            <w:szCs w:val="18"/>
          </w:rPr>
          <w:t xml:space="preserve">Quadro 6 – </w:t>
        </w:r>
        <w:r>
          <w:rPr>
            <w:rFonts w:ascii="Barlow" w:hAnsi="Barlow" w:cs="Barlow" w:eastAsia="Barlow"/>
            <w:color w:val="0F2440"/>
            <w:sz w:val="18"/>
            <w:szCs w:val="18"/>
          </w:rPr>
          <w:t xml:space="preserve">Critérios de rigor e procedimentos correspondentes</w:t>
        </w:r>
        <w:r>
          <w:tab/>
        </w:r>
        <w:r>
          <w:rPr>
            <w:rFonts w:ascii="Barlow Condensed SemiBold" w:hAnsi="Barlow Condensed SemiBold" w:cs="Barlow Condensed SemiBold" w:eastAsia="Barlow Condensed SemiBold"/>
            <w:color w:val="007614"/>
            <w:sz w:val="18"/>
            <w:szCs w:val="18"/>
          </w:rPr>
          <w:t xml:space="preserve">24</w:t>
        </w:r>
      </w:hyperlink>
    </w:p>
    <w:p>
      <w:pPr>
        <w:pStyle w:val="TOC9"/>
        <w:tabs>
          <w:tab w:val="left" w:pos="1150"/>
          <w:tab w:val="right" w:leader="dot" w:pos="8844"/>
        </w:tabs>
        <w:spacing w:before="0" w:after="70" w:line="260" w:lineRule="auto"/>
        <w:ind w:left="1150" w:right="500" w:hanging="1150"/>
        <w:jc w:val="left"/>
      </w:pPr>
      <w:hyperlink w:anchor="_q_7" w:history="1">
        <w:r>
          <w:rPr>
            <w:rFonts w:ascii="Barlow Condensed SemiBold" w:hAnsi="Barlow Condensed SemiBold" w:cs="Barlow Condensed SemiBold" w:eastAsia="Barlow Condensed SemiBold"/>
            <w:color w:val="007614"/>
            <w:sz w:val="18"/>
            <w:szCs w:val="18"/>
          </w:rPr>
          <w:t xml:space="preserve">Quadro 7 – </w:t>
        </w:r>
        <w:r>
          <w:rPr>
            <w:rFonts w:ascii="Barlow" w:hAnsi="Barlow" w:cs="Barlow" w:eastAsia="Barlow"/>
            <w:color w:val="0F2440"/>
            <w:sz w:val="18"/>
            <w:szCs w:val="18"/>
          </w:rPr>
          <w:t xml:space="preserve">Matriz de consistência do estudo</w:t>
        </w:r>
        <w:r>
          <w:tab/>
        </w:r>
        <w:r>
          <w:rPr>
            <w:rFonts w:ascii="Barlow Condensed SemiBold" w:hAnsi="Barlow Condensed SemiBold" w:cs="Barlow Condensed SemiBold" w:eastAsia="Barlow Condensed SemiBold"/>
            <w:color w:val="007614"/>
            <w:sz w:val="18"/>
            <w:szCs w:val="18"/>
          </w:rPr>
          <w:t xml:space="preserve">25</w:t>
        </w:r>
      </w:hyperlink>
    </w:p>
    <w:p>
      <w:pPr>
        <w:pStyle w:val="TOC9"/>
        <w:tabs>
          <w:tab w:val="left" w:pos="1150"/>
          <w:tab w:val="right" w:leader="dot" w:pos="8844"/>
        </w:tabs>
        <w:spacing w:before="0" w:after="70" w:line="260" w:lineRule="auto"/>
        <w:ind w:left="1150" w:right="500" w:hanging="1150"/>
        <w:jc w:val="left"/>
      </w:pPr>
      <w:hyperlink w:anchor="_q_8" w:history="1">
        <w:r>
          <w:rPr>
            <w:rFonts w:ascii="Barlow Condensed SemiBold" w:hAnsi="Barlow Condensed SemiBold" w:cs="Barlow Condensed SemiBold" w:eastAsia="Barlow Condensed SemiBold"/>
            <w:color w:val="007614"/>
            <w:sz w:val="18"/>
            <w:szCs w:val="18"/>
          </w:rPr>
          <w:t xml:space="preserve">Quadro 8 – </w:t>
        </w:r>
        <w:r>
          <w:rPr>
            <w:rFonts w:ascii="Barlow" w:hAnsi="Barlow" w:cs="Barlow" w:eastAsia="Barlow"/>
            <w:color w:val="0F2440"/>
            <w:sz w:val="18"/>
            <w:szCs w:val="18"/>
          </w:rPr>
          <w:t xml:space="preserve">Cronograma de execução por semestre</w:t>
        </w:r>
        <w:r>
          <w:tab/>
        </w:r>
        <w:r>
          <w:rPr>
            <w:rFonts w:ascii="Barlow Condensed SemiBold" w:hAnsi="Barlow Condensed SemiBold" w:cs="Barlow Condensed SemiBold" w:eastAsia="Barlow Condensed SemiBold"/>
            <w:color w:val="007614"/>
            <w:sz w:val="18"/>
            <w:szCs w:val="18"/>
          </w:rPr>
          <w:t xml:space="preserve">30</w:t>
        </w:r>
      </w:hyperlink>
    </w:p>
    <w:p>
      <w:pPr>
        <w:pStyle w:val="TOC9"/>
        <w:tabs>
          <w:tab w:val="left" w:pos="1150"/>
          <w:tab w:val="right" w:leader="dot" w:pos="8844"/>
        </w:tabs>
        <w:spacing w:before="0" w:after="70" w:line="260" w:lineRule="auto"/>
        <w:ind w:left="1150" w:right="500" w:hanging="1150"/>
        <w:jc w:val="left"/>
      </w:pPr>
      <w:hyperlink w:anchor="_q_9" w:history="1">
        <w:r>
          <w:rPr>
            <w:rFonts w:ascii="Barlow Condensed SemiBold" w:hAnsi="Barlow Condensed SemiBold" w:cs="Barlow Condensed SemiBold" w:eastAsia="Barlow Condensed SemiBold"/>
            <w:color w:val="007614"/>
            <w:sz w:val="18"/>
            <w:szCs w:val="18"/>
          </w:rPr>
          <w:t xml:space="preserve">Quadro 9 – </w:t>
        </w:r>
        <w:r>
          <w:rPr>
            <w:rFonts w:ascii="Barlow" w:hAnsi="Barlow" w:cs="Barlow" w:eastAsia="Barlow"/>
            <w:color w:val="0F2440"/>
            <w:sz w:val="18"/>
            <w:szCs w:val="18"/>
          </w:rPr>
          <w:t xml:space="preserve">Orçamento estimado</w:t>
        </w:r>
        <w:r>
          <w:tab/>
        </w:r>
        <w:r>
          <w:rPr>
            <w:rFonts w:ascii="Barlow Condensed SemiBold" w:hAnsi="Barlow Condensed SemiBold" w:cs="Barlow Condensed SemiBold" w:eastAsia="Barlow Condensed SemiBold"/>
            <w:color w:val="007614"/>
            <w:sz w:val="18"/>
            <w:szCs w:val="18"/>
          </w:rPr>
          <w:t xml:space="preserve">31</w:t>
        </w:r>
      </w:hyperlink>
    </w:p>
    <w:p>
      <w:pPr>
        <w:sectPr>
          <w:headerReference w:type="default" r:id="rId12"/>
          <w:headerReference w:type="even" r:id="rId12"/>
          <w:footerReference w:type="default" r:id="rId11"/>
          <w:footerReference w:type="even" r:id="rId11"/>
          <w:type w:val="nextPage"/>
          <w:pgSz w:w="11906" w:h="16838"/>
          <w:pgMar w:top="1700" w:right="1531" w:bottom="1700" w:left="1531" w:header="850" w:footer="330" w:gutter="0"/>
          <w:cols w:space="720"/>
          <w:docGrid w:linePitch="360"/>
        </w:sectPr>
      </w:pPr>
    </w:p>
    <w:p>
      <w:pPr>
        <w:pBdr>
          <w:bottom w:val="single" w:sz="12" w:space="10" w:color="007614"/>
        </w:pBdr>
        <w:spacing w:before="0" w:after="480" w:line="300" w:lineRule="auto"/>
        <w:jc w:val="center"/>
      </w:pPr>
      <w:r>
        <w:rPr>
          <w:rFonts w:ascii="Barlow Condensed" w:hAnsi="Barlow Condensed" w:cs="Barlow Condensed" w:eastAsia="Barlow Condensed"/>
          <w:b/>
          <w:bCs/>
          <w:color w:val="01366F"/>
          <w:sz w:val="44"/>
          <w:szCs w:val="44"/>
        </w:rPr>
        <w:t xml:space="preserve">LISTA DE ABREVIATURAS E SIGLAS</w:t>
      </w:r>
    </w:p>
    <w:tbl>
      <w:tblPr>
        <w:tblW w:w="8844" w:type="dxa"/>
        <w:tblBorders>
          <w:top w:val="nil"/>
          <w:left w:val="nil"/>
          <w:bottom w:val="nil"/>
          <w:right w:val="nil"/>
          <w:insideH w:val="single" w:sz="4" w:space="0" w:color="D9DEE3"/>
          <w:insideV w:val="nil"/>
        </w:tblBorders>
        <w:tblLayout w:type="fixed"/>
        <w:tblCellMar>
          <w:top w:w="45" w:type="dxa"/>
          <w:left w:w="60" w:type="dxa"/>
          <w:bottom w:w="45" w:type="dxa"/>
          <w:right w:w="60" w:type="dxa"/>
        </w:tblCellMar>
        <w:tblLook w:val="0000"/>
      </w:tblPr>
      <w:tblGrid>
        <w:gridCol w:w="1700"/>
        <w:gridCol w:w="7144"/>
      </w:tblGrid>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ABEP</w:t>
            </w:r>
          </w:p>
        </w:tc>
        <w:tc>
          <w:tcPr>
            <w:tcW w:w="7144" w:type="dxa"/>
          </w:tcPr>
          <w:p>
            <w:pPr>
              <w:spacing w:before="0" w:after="0" w:line="260" w:lineRule="auto"/>
              <w:jc w:val="left"/>
            </w:pPr>
            <w:r>
              <w:rPr>
                <w:rFonts w:ascii="Barlow" w:hAnsi="Barlow" w:cs="Barlow" w:eastAsia="Barlow"/>
                <w:color w:val="0F2440"/>
                <w:sz w:val="19"/>
                <w:szCs w:val="19"/>
              </w:rPr>
              <w:t xml:space="preserve">Associação Brasileira de Empresas de Pesquisa</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ACS</w:t>
            </w:r>
          </w:p>
        </w:tc>
        <w:tc>
          <w:tcPr>
            <w:tcW w:w="7144" w:type="dxa"/>
          </w:tcPr>
          <w:p>
            <w:pPr>
              <w:spacing w:before="0" w:after="0" w:line="260" w:lineRule="auto"/>
              <w:jc w:val="left"/>
            </w:pPr>
            <w:r>
              <w:rPr>
                <w:rFonts w:ascii="Barlow" w:hAnsi="Barlow" w:cs="Barlow" w:eastAsia="Barlow"/>
                <w:color w:val="0F2440"/>
                <w:sz w:val="19"/>
                <w:szCs w:val="19"/>
              </w:rPr>
              <w:t xml:space="preserve">Agente Comunitário de Saúde</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APS</w:t>
            </w:r>
          </w:p>
        </w:tc>
        <w:tc>
          <w:tcPr>
            <w:tcW w:w="7144" w:type="dxa"/>
          </w:tcPr>
          <w:p>
            <w:pPr>
              <w:spacing w:before="0" w:after="0" w:line="260" w:lineRule="auto"/>
              <w:jc w:val="left"/>
            </w:pPr>
            <w:r>
              <w:rPr>
                <w:rFonts w:ascii="Barlow" w:hAnsi="Barlow" w:cs="Barlow" w:eastAsia="Barlow"/>
                <w:color w:val="0F2440"/>
                <w:sz w:val="19"/>
                <w:szCs w:val="19"/>
              </w:rPr>
              <w:t xml:space="preserve">Atenção Primária à Saúde</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CEP</w:t>
            </w:r>
          </w:p>
        </w:tc>
        <w:tc>
          <w:tcPr>
            <w:tcW w:w="7144" w:type="dxa"/>
          </w:tcPr>
          <w:p>
            <w:pPr>
              <w:spacing w:before="0" w:after="0" w:line="260" w:lineRule="auto"/>
              <w:jc w:val="left"/>
            </w:pPr>
            <w:r>
              <w:rPr>
                <w:rFonts w:ascii="Barlow" w:hAnsi="Barlow" w:cs="Barlow" w:eastAsia="Barlow"/>
                <w:color w:val="0F2440"/>
                <w:sz w:val="19"/>
                <w:szCs w:val="19"/>
              </w:rPr>
              <w:t xml:space="preserve">Comitê de Ética em Pesquisa</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CNS</w:t>
            </w:r>
          </w:p>
        </w:tc>
        <w:tc>
          <w:tcPr>
            <w:tcW w:w="7144" w:type="dxa"/>
          </w:tcPr>
          <w:p>
            <w:pPr>
              <w:spacing w:before="0" w:after="0" w:line="260" w:lineRule="auto"/>
              <w:jc w:val="left"/>
            </w:pPr>
            <w:r>
              <w:rPr>
                <w:rFonts w:ascii="Barlow" w:hAnsi="Barlow" w:cs="Barlow" w:eastAsia="Barlow"/>
                <w:color w:val="0F2440"/>
                <w:sz w:val="19"/>
                <w:szCs w:val="19"/>
              </w:rPr>
              <w:t xml:space="preserve">Conselho Nacional de Saúde</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CTIS</w:t>
            </w:r>
          </w:p>
        </w:tc>
        <w:tc>
          <w:tcPr>
            <w:tcW w:w="7144" w:type="dxa"/>
          </w:tcPr>
          <w:p>
            <w:pPr>
              <w:spacing w:before="0" w:after="0" w:line="260" w:lineRule="auto"/>
              <w:jc w:val="left"/>
            </w:pPr>
            <w:r>
              <w:rPr>
                <w:rFonts w:ascii="Barlow" w:hAnsi="Barlow" w:cs="Barlow" w:eastAsia="Barlow"/>
                <w:color w:val="0F2440"/>
                <w:sz w:val="19"/>
                <w:szCs w:val="19"/>
              </w:rPr>
              <w:t xml:space="preserve">CoLaboratório de Ciência, Tecnologia, Inovação e Sociedade</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DPT</w:t>
            </w:r>
          </w:p>
        </w:tc>
        <w:tc>
          <w:tcPr>
            <w:tcW w:w="7144" w:type="dxa"/>
          </w:tcPr>
          <w:p>
            <w:pPr>
              <w:spacing w:before="0" w:after="0" w:line="260" w:lineRule="auto"/>
              <w:jc w:val="left"/>
            </w:pPr>
            <w:r>
              <w:rPr>
                <w:rFonts w:ascii="Barlow" w:hAnsi="Barlow" w:cs="Barlow" w:eastAsia="Barlow"/>
                <w:color w:val="0F2440"/>
                <w:sz w:val="19"/>
                <w:szCs w:val="19"/>
              </w:rPr>
              <w:t xml:space="preserve">Diálogos Prospectivos Territoriais</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EBIA</w:t>
            </w:r>
          </w:p>
        </w:tc>
        <w:tc>
          <w:tcPr>
            <w:tcW w:w="7144" w:type="dxa"/>
          </w:tcPr>
          <w:p>
            <w:pPr>
              <w:spacing w:before="0" w:after="0" w:line="260" w:lineRule="auto"/>
              <w:jc w:val="left"/>
            </w:pPr>
            <w:r>
              <w:rPr>
                <w:rFonts w:ascii="Barlow" w:hAnsi="Barlow" w:cs="Barlow" w:eastAsia="Barlow"/>
                <w:color w:val="0F2440"/>
                <w:sz w:val="19"/>
                <w:szCs w:val="19"/>
              </w:rPr>
              <w:t xml:space="preserve">Escala Brasileira de Insegurança Alimentar</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EDE</w:t>
            </w:r>
          </w:p>
        </w:tc>
        <w:tc>
          <w:tcPr>
            <w:tcW w:w="7144" w:type="dxa"/>
          </w:tcPr>
          <w:p>
            <w:pPr>
              <w:spacing w:before="0" w:after="0" w:line="260" w:lineRule="auto"/>
              <w:jc w:val="left"/>
            </w:pPr>
            <w:r>
              <w:rPr>
                <w:rFonts w:ascii="Barlow" w:hAnsi="Barlow" w:cs="Barlow" w:eastAsia="Barlow"/>
                <w:color w:val="0F2440"/>
                <w:sz w:val="19"/>
                <w:szCs w:val="19"/>
              </w:rPr>
              <w:t xml:space="preserve">Escala de Discriminação Explícita</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ELSA-Brasil</w:t>
            </w:r>
          </w:p>
        </w:tc>
        <w:tc>
          <w:tcPr>
            <w:tcW w:w="7144" w:type="dxa"/>
          </w:tcPr>
          <w:p>
            <w:pPr>
              <w:spacing w:before="0" w:after="0" w:line="260" w:lineRule="auto"/>
              <w:jc w:val="left"/>
            </w:pPr>
            <w:r>
              <w:rPr>
                <w:rFonts w:ascii="Barlow" w:hAnsi="Barlow" w:cs="Barlow" w:eastAsia="Barlow"/>
                <w:color w:val="0F2440"/>
                <w:sz w:val="19"/>
                <w:szCs w:val="19"/>
              </w:rPr>
              <w:t xml:space="preserve">Estudo Longitudinal de Saúde do Adulto</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ESF</w:t>
            </w:r>
          </w:p>
        </w:tc>
        <w:tc>
          <w:tcPr>
            <w:tcW w:w="7144" w:type="dxa"/>
          </w:tcPr>
          <w:p>
            <w:pPr>
              <w:spacing w:before="0" w:after="0" w:line="260" w:lineRule="auto"/>
              <w:jc w:val="left"/>
            </w:pPr>
            <w:r>
              <w:rPr>
                <w:rFonts w:ascii="Barlow" w:hAnsi="Barlow" w:cs="Barlow" w:eastAsia="Barlow"/>
                <w:color w:val="0F2440"/>
                <w:sz w:val="19"/>
                <w:szCs w:val="19"/>
              </w:rPr>
              <w:t xml:space="preserve">Estratégia Saúde da Família</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Fiocruz</w:t>
            </w:r>
          </w:p>
        </w:tc>
        <w:tc>
          <w:tcPr>
            <w:tcW w:w="7144" w:type="dxa"/>
          </w:tcPr>
          <w:p>
            <w:pPr>
              <w:spacing w:before="0" w:after="0" w:line="260" w:lineRule="auto"/>
              <w:jc w:val="left"/>
            </w:pPr>
            <w:r>
              <w:rPr>
                <w:rFonts w:ascii="Barlow" w:hAnsi="Barlow" w:cs="Barlow" w:eastAsia="Barlow"/>
                <w:color w:val="0F2440"/>
                <w:sz w:val="19"/>
                <w:szCs w:val="19"/>
              </w:rPr>
              <w:t xml:space="preserve">Fundação Oswaldo Cruz</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HWISE</w:t>
            </w:r>
          </w:p>
        </w:tc>
        <w:tc>
          <w:tcPr>
            <w:tcW w:w="7144" w:type="dxa"/>
          </w:tcPr>
          <w:p>
            <w:pPr>
              <w:spacing w:before="0" w:after="0" w:line="260" w:lineRule="auto"/>
              <w:jc w:val="left"/>
            </w:pPr>
            <w:r>
              <w:rPr>
                <w:rFonts w:ascii="Barlow" w:hAnsi="Barlow" w:cs="Barlow" w:eastAsia="Barlow"/>
                <w:color w:val="0F2440"/>
                <w:sz w:val="19"/>
                <w:szCs w:val="19"/>
              </w:rPr>
              <w:t xml:space="preserve">Household Water Insecurity Experiences</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IBGE</w:t>
            </w:r>
          </w:p>
        </w:tc>
        <w:tc>
          <w:tcPr>
            <w:tcW w:w="7144" w:type="dxa"/>
          </w:tcPr>
          <w:p>
            <w:pPr>
              <w:spacing w:before="0" w:after="0" w:line="260" w:lineRule="auto"/>
              <w:jc w:val="left"/>
            </w:pPr>
            <w:r>
              <w:rPr>
                <w:rFonts w:ascii="Barlow" w:hAnsi="Barlow" w:cs="Barlow" w:eastAsia="Barlow"/>
                <w:color w:val="0F2440"/>
                <w:sz w:val="19"/>
                <w:szCs w:val="19"/>
              </w:rPr>
              <w:t xml:space="preserve">Instituto Brasileiro de Geografia e Estatística</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IPEDF</w:t>
            </w:r>
          </w:p>
        </w:tc>
        <w:tc>
          <w:tcPr>
            <w:tcW w:w="7144" w:type="dxa"/>
          </w:tcPr>
          <w:p>
            <w:pPr>
              <w:spacing w:before="0" w:after="0" w:line="260" w:lineRule="auto"/>
              <w:jc w:val="left"/>
            </w:pPr>
            <w:r>
              <w:rPr>
                <w:rFonts w:ascii="Barlow" w:hAnsi="Barlow" w:cs="Barlow" w:eastAsia="Barlow"/>
                <w:color w:val="0F2440"/>
                <w:sz w:val="19"/>
                <w:szCs w:val="19"/>
              </w:rPr>
              <w:t xml:space="preserve">Instituto de Pesquisa e Estatística do Distrito Federal</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IVT+A</w:t>
            </w:r>
          </w:p>
        </w:tc>
        <w:tc>
          <w:tcPr>
            <w:tcW w:w="7144" w:type="dxa"/>
          </w:tcPr>
          <w:p>
            <w:pPr>
              <w:spacing w:before="0" w:after="0" w:line="260" w:lineRule="auto"/>
              <w:jc w:val="left"/>
            </w:pPr>
            <w:r>
              <w:rPr>
                <w:rFonts w:ascii="Barlow" w:hAnsi="Barlow" w:cs="Barlow" w:eastAsia="Barlow"/>
                <w:color w:val="0F2440"/>
                <w:sz w:val="19"/>
                <w:szCs w:val="19"/>
              </w:rPr>
              <w:t xml:space="preserve">Índice de Vulnerabilidade Territorial Ampliado</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LGPD</w:t>
            </w:r>
          </w:p>
        </w:tc>
        <w:tc>
          <w:tcPr>
            <w:tcW w:w="7144" w:type="dxa"/>
          </w:tcPr>
          <w:p>
            <w:pPr>
              <w:spacing w:before="0" w:after="0" w:line="260" w:lineRule="auto"/>
              <w:jc w:val="left"/>
            </w:pPr>
            <w:r>
              <w:rPr>
                <w:rFonts w:ascii="Barlow" w:hAnsi="Barlow" w:cs="Barlow" w:eastAsia="Barlow"/>
                <w:color w:val="0F2440"/>
                <w:sz w:val="19"/>
                <w:szCs w:val="19"/>
              </w:rPr>
              <w:t xml:space="preserve">Lei Geral de Proteção de Dados Pessoais</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MTEI</w:t>
            </w:r>
          </w:p>
        </w:tc>
        <w:tc>
          <w:tcPr>
            <w:tcW w:w="7144" w:type="dxa"/>
          </w:tcPr>
          <w:p>
            <w:pPr>
              <w:spacing w:before="0" w:after="0" w:line="260" w:lineRule="auto"/>
              <w:jc w:val="left"/>
            </w:pPr>
            <w:r>
              <w:rPr>
                <w:rFonts w:ascii="Barlow" w:hAnsi="Barlow" w:cs="Barlow" w:eastAsia="Barlow"/>
                <w:color w:val="0F2440"/>
                <w:sz w:val="19"/>
                <w:szCs w:val="19"/>
              </w:rPr>
              <w:t xml:space="preserve">Matriz de Tradução Epistêmica Intercultural</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OMS</w:t>
            </w:r>
          </w:p>
        </w:tc>
        <w:tc>
          <w:tcPr>
            <w:tcW w:w="7144" w:type="dxa"/>
          </w:tcPr>
          <w:p>
            <w:pPr>
              <w:spacing w:before="0" w:after="0" w:line="260" w:lineRule="auto"/>
              <w:jc w:val="left"/>
            </w:pPr>
            <w:r>
              <w:rPr>
                <w:rFonts w:ascii="Barlow" w:hAnsi="Barlow" w:cs="Barlow" w:eastAsia="Barlow"/>
                <w:color w:val="0F2440"/>
                <w:sz w:val="19"/>
                <w:szCs w:val="19"/>
              </w:rPr>
              <w:t xml:space="preserve">Organização Mundial da Saúde</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PDAD-A</w:t>
            </w:r>
          </w:p>
        </w:tc>
        <w:tc>
          <w:tcPr>
            <w:tcW w:w="7144" w:type="dxa"/>
          </w:tcPr>
          <w:p>
            <w:pPr>
              <w:spacing w:before="0" w:after="0" w:line="260" w:lineRule="auto"/>
              <w:jc w:val="left"/>
            </w:pPr>
            <w:r>
              <w:rPr>
                <w:rFonts w:ascii="Barlow" w:hAnsi="Barlow" w:cs="Barlow" w:eastAsia="Barlow"/>
                <w:color w:val="0F2440"/>
                <w:sz w:val="19"/>
                <w:szCs w:val="19"/>
              </w:rPr>
              <w:t xml:space="preserve">Pesquisa Distrital por Amostra de Domicílios Ampliada</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PICAPS</w:t>
            </w:r>
          </w:p>
        </w:tc>
        <w:tc>
          <w:tcPr>
            <w:tcW w:w="7144" w:type="dxa"/>
          </w:tcPr>
          <w:p>
            <w:pPr>
              <w:spacing w:before="0" w:after="0" w:line="260" w:lineRule="auto"/>
              <w:jc w:val="left"/>
            </w:pPr>
            <w:r>
              <w:rPr>
                <w:rFonts w:ascii="Barlow" w:hAnsi="Barlow" w:cs="Barlow" w:eastAsia="Barlow"/>
                <w:color w:val="0F2440"/>
                <w:sz w:val="19"/>
                <w:szCs w:val="19"/>
              </w:rPr>
              <w:t xml:space="preserve">Plataforma de Inteligência Cooperativa com a Atenção Primária à Saúde</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PNS</w:t>
            </w:r>
          </w:p>
        </w:tc>
        <w:tc>
          <w:tcPr>
            <w:tcW w:w="7144" w:type="dxa"/>
          </w:tcPr>
          <w:p>
            <w:pPr>
              <w:spacing w:before="0" w:after="0" w:line="260" w:lineRule="auto"/>
              <w:jc w:val="left"/>
            </w:pPr>
            <w:r>
              <w:rPr>
                <w:rFonts w:ascii="Barlow" w:hAnsi="Barlow" w:cs="Barlow" w:eastAsia="Barlow"/>
                <w:color w:val="0F2440"/>
                <w:sz w:val="19"/>
                <w:szCs w:val="19"/>
              </w:rPr>
              <w:t xml:space="preserve">Pesquisa Nacional de Saúde</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SCS</w:t>
            </w:r>
          </w:p>
        </w:tc>
        <w:tc>
          <w:tcPr>
            <w:tcW w:w="7144" w:type="dxa"/>
          </w:tcPr>
          <w:p>
            <w:pPr>
              <w:spacing w:before="0" w:after="0" w:line="260" w:lineRule="auto"/>
              <w:jc w:val="left"/>
            </w:pPr>
            <w:r>
              <w:rPr>
                <w:rFonts w:ascii="Barlow" w:hAnsi="Barlow" w:cs="Barlow" w:eastAsia="Barlow"/>
                <w:color w:val="0F2440"/>
                <w:sz w:val="19"/>
                <w:szCs w:val="19"/>
              </w:rPr>
              <w:t xml:space="preserve">Sala de Cooperação Social</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SES-DF</w:t>
            </w:r>
          </w:p>
        </w:tc>
        <w:tc>
          <w:tcPr>
            <w:tcW w:w="7144" w:type="dxa"/>
          </w:tcPr>
          <w:p>
            <w:pPr>
              <w:spacing w:before="0" w:after="0" w:line="260" w:lineRule="auto"/>
              <w:jc w:val="left"/>
            </w:pPr>
            <w:r>
              <w:rPr>
                <w:rFonts w:ascii="Barlow" w:hAnsi="Barlow" w:cs="Barlow" w:eastAsia="Barlow"/>
                <w:color w:val="0F2440"/>
                <w:sz w:val="19"/>
                <w:szCs w:val="19"/>
              </w:rPr>
              <w:t xml:space="preserve">Secretaria de Estado de Saúde do Distrito Federal</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SUS</w:t>
            </w:r>
          </w:p>
        </w:tc>
        <w:tc>
          <w:tcPr>
            <w:tcW w:w="7144" w:type="dxa"/>
          </w:tcPr>
          <w:p>
            <w:pPr>
              <w:spacing w:before="0" w:after="0" w:line="260" w:lineRule="auto"/>
              <w:jc w:val="left"/>
            </w:pPr>
            <w:r>
              <w:rPr>
                <w:rFonts w:ascii="Barlow" w:hAnsi="Barlow" w:cs="Barlow" w:eastAsia="Barlow"/>
                <w:color w:val="0F2440"/>
                <w:sz w:val="19"/>
                <w:szCs w:val="19"/>
              </w:rPr>
              <w:t xml:space="preserve">Sistema Único de Saúde</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TIDieR</w:t>
            </w:r>
          </w:p>
        </w:tc>
        <w:tc>
          <w:tcPr>
            <w:tcW w:w="7144" w:type="dxa"/>
          </w:tcPr>
          <w:p>
            <w:pPr>
              <w:spacing w:before="0" w:after="0" w:line="260" w:lineRule="auto"/>
              <w:jc w:val="left"/>
            </w:pPr>
            <w:r>
              <w:rPr>
                <w:rFonts w:ascii="Barlow" w:hAnsi="Barlow" w:cs="Barlow" w:eastAsia="Barlow"/>
                <w:color w:val="0F2440"/>
                <w:sz w:val="19"/>
                <w:szCs w:val="19"/>
              </w:rPr>
              <w:t xml:space="preserve">Template for Intervention Description and Replication</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UBS</w:t>
            </w:r>
          </w:p>
        </w:tc>
        <w:tc>
          <w:tcPr>
            <w:tcW w:w="7144" w:type="dxa"/>
          </w:tcPr>
          <w:p>
            <w:pPr>
              <w:spacing w:before="0" w:after="0" w:line="260" w:lineRule="auto"/>
              <w:jc w:val="left"/>
            </w:pPr>
            <w:r>
              <w:rPr>
                <w:rFonts w:ascii="Barlow" w:hAnsi="Barlow" w:cs="Barlow" w:eastAsia="Barlow"/>
                <w:color w:val="0F2440"/>
                <w:sz w:val="19"/>
                <w:szCs w:val="19"/>
              </w:rPr>
              <w:t xml:space="preserve">Unidade Básica de Saúde</w:t>
            </w:r>
          </w:p>
        </w:tc>
      </w:tr>
      <w:tr>
        <w:tc>
          <w:tcPr>
            <w:tcW w:w="1700" w:type="dxa"/>
          </w:tcPr>
          <w:p>
            <w:pPr>
              <w:spacing w:before="0" w:after="0" w:line="260" w:lineRule="auto"/>
              <w:jc w:val="left"/>
            </w:pPr>
            <w:r>
              <w:rPr>
                <w:rFonts w:ascii="Barlow Condensed SemiBold" w:hAnsi="Barlow Condensed SemiBold" w:cs="Barlow Condensed SemiBold" w:eastAsia="Barlow Condensed SemiBold"/>
                <w:color w:val="007614"/>
                <w:sz w:val="19"/>
                <w:szCs w:val="19"/>
              </w:rPr>
              <w:t xml:space="preserve">UnB</w:t>
            </w:r>
          </w:p>
        </w:tc>
        <w:tc>
          <w:tcPr>
            <w:tcW w:w="7144" w:type="dxa"/>
          </w:tcPr>
          <w:p>
            <w:pPr>
              <w:spacing w:before="0" w:after="0" w:line="260" w:lineRule="auto"/>
              <w:jc w:val="left"/>
            </w:pPr>
            <w:r>
              <w:rPr>
                <w:rFonts w:ascii="Barlow" w:hAnsi="Barlow" w:cs="Barlow" w:eastAsia="Barlow"/>
                <w:color w:val="0F2440"/>
                <w:sz w:val="19"/>
                <w:szCs w:val="19"/>
              </w:rPr>
              <w:t xml:space="preserve">Universidade de Brasília</w:t>
            </w:r>
          </w:p>
        </w:tc>
      </w:tr>
    </w:tbl>
    <w:p>
      <w:pPr>
        <w:spacing w:before="0" w:after="0" w:line="20" w:lineRule="exact"/>
        <w:jc w:val="both"/>
        <w:sectPr>
          <w:headerReference w:type="default" r:id="rId12"/>
          <w:headerReference w:type="even" r:id="rId12"/>
          <w:footerReference w:type="default" r:id="rId11"/>
          <w:footerReference w:type="even" r:id="rId11"/>
          <w:type w:val="nextPage"/>
          <w:pgSz w:w="11906" w:h="16838"/>
          <w:pgMar w:top="1700" w:right="1531" w:bottom="1700" w:left="1531" w:header="850" w:footer="330" w:gutter="0"/>
          <w:cols w:space="720"/>
          <w:docGrid w:linePitch="360"/>
        </w:sectPr>
      </w:pPr>
    </w:p>
    <w:p>
      <w:pPr>
        <w:pBdr>
          <w:bottom w:val="single" w:sz="12" w:space="10" w:color="007614"/>
        </w:pBdr>
        <w:spacing w:before="0" w:after="480" w:line="300" w:lineRule="auto"/>
        <w:jc w:val="center"/>
      </w:pPr>
      <w:r>
        <w:rPr>
          <w:rFonts w:ascii="Barlow Condensed" w:hAnsi="Barlow Condensed" w:cs="Barlow Condensed" w:eastAsia="Barlow Condensed"/>
          <w:b/>
          <w:bCs/>
          <w:color w:val="01366F"/>
          <w:sz w:val="44"/>
          <w:szCs w:val="44"/>
        </w:rPr>
        <w:t xml:space="preserve">SUMÁRIO</w:t>
      </w:r>
    </w:p>
    <w:p>
      <w:pPr>
        <w:pStyle w:val="TOC1"/>
        <w:tabs>
          <w:tab w:val="right" w:leader="dot" w:pos="8844"/>
        </w:tabs>
        <w:spacing w:before="110" w:after="30" w:line="250" w:lineRule="auto"/>
        <w:ind w:right="400"/>
        <w:jc w:val="left"/>
      </w:pPr>
      <w:r>
        <w:fldChar w:fldCharType="begin"/>
      </w:r>
      <w:r>
        <w:instrText xml:space="preserve"> TOC \o "1-3" \h \z \u </w:instrText>
      </w:r>
      <w:r>
        <w:fldChar w:fldCharType="separate"/>
      </w:r>
      <w:hyperlink w:anchor="_h0" w:history="1">
        <w:r>
          <w:rPr>
            <w:rFonts w:ascii="Barlow Condensed SemiBold" w:hAnsi="Barlow Condensed SemiBold" w:cs="Barlow Condensed SemiBold" w:eastAsia="Barlow Condensed SemiBold"/>
            <w:color w:val="01366F"/>
            <w:sz w:val="19"/>
            <w:szCs w:val="19"/>
          </w:rPr>
          <w:t xml:space="preserve">1 INTRODUÇÃO</w:t>
        </w:r>
        <w:r>
          <w:tab/>
        </w:r>
        <w:r>
          <w:rPr>
            <w:rFonts w:ascii="Barlow Condensed SemiBold" w:hAnsi="Barlow Condensed SemiBold" w:cs="Barlow Condensed SemiBold" w:eastAsia="Barlow Condensed SemiBold"/>
            <w:color w:val="007614"/>
            <w:sz w:val="19"/>
            <w:szCs w:val="19"/>
          </w:rPr>
          <w:t xml:space="preserve">8</w:t>
        </w:r>
      </w:hyperlink>
    </w:p>
    <w:p>
      <w:pPr>
        <w:pStyle w:val="TOC1"/>
        <w:tabs>
          <w:tab w:val="right" w:leader="dot" w:pos="8844"/>
        </w:tabs>
        <w:spacing w:before="110" w:after="30" w:line="250" w:lineRule="auto"/>
        <w:ind w:right="400"/>
        <w:jc w:val="left"/>
      </w:pPr>
      <w:hyperlink w:anchor="_h1" w:history="1">
        <w:r>
          <w:rPr>
            <w:rFonts w:ascii="Barlow Condensed SemiBold" w:hAnsi="Barlow Condensed SemiBold" w:cs="Barlow Condensed SemiBold" w:eastAsia="Barlow Condensed SemiBold"/>
            <w:color w:val="01366F"/>
            <w:sz w:val="19"/>
            <w:szCs w:val="19"/>
          </w:rPr>
          <w:t xml:space="preserve">2 JUSTIFICATIVA</w:t>
        </w:r>
        <w:r>
          <w:tab/>
        </w:r>
        <w:r>
          <w:rPr>
            <w:rFonts w:ascii="Barlow Condensed SemiBold" w:hAnsi="Barlow Condensed SemiBold" w:cs="Barlow Condensed SemiBold" w:eastAsia="Barlow Condensed SemiBold"/>
            <w:color w:val="007614"/>
            <w:sz w:val="19"/>
            <w:szCs w:val="19"/>
          </w:rPr>
          <w:t xml:space="preserve">10</w:t>
        </w:r>
      </w:hyperlink>
    </w:p>
    <w:p>
      <w:pPr>
        <w:pStyle w:val="TOC1"/>
        <w:tabs>
          <w:tab w:val="right" w:leader="dot" w:pos="8844"/>
        </w:tabs>
        <w:spacing w:before="110" w:after="30" w:line="250" w:lineRule="auto"/>
        <w:ind w:right="400"/>
        <w:jc w:val="left"/>
      </w:pPr>
      <w:hyperlink w:anchor="_h2" w:history="1">
        <w:r>
          <w:rPr>
            <w:rFonts w:ascii="Barlow Condensed SemiBold" w:hAnsi="Barlow Condensed SemiBold" w:cs="Barlow Condensed SemiBold" w:eastAsia="Barlow Condensed SemiBold"/>
            <w:color w:val="01366F"/>
            <w:sz w:val="19"/>
            <w:szCs w:val="19"/>
          </w:rPr>
          <w:t xml:space="preserve">3 PROBLEMA, QUESTÕES E PRESSUPOSTOS</w:t>
        </w:r>
        <w:r>
          <w:tab/>
        </w:r>
        <w:r>
          <w:rPr>
            <w:rFonts w:ascii="Barlow Condensed SemiBold" w:hAnsi="Barlow Condensed SemiBold" w:cs="Barlow Condensed SemiBold" w:eastAsia="Barlow Condensed SemiBold"/>
            <w:color w:val="007614"/>
            <w:sz w:val="19"/>
            <w:szCs w:val="19"/>
          </w:rPr>
          <w:t xml:space="preserve">11</w:t>
        </w:r>
      </w:hyperlink>
    </w:p>
    <w:p>
      <w:pPr>
        <w:pStyle w:val="TOC2"/>
        <w:tabs>
          <w:tab w:val="right" w:leader="dot" w:pos="8844"/>
        </w:tabs>
        <w:spacing w:before="0" w:after="20" w:line="250" w:lineRule="auto"/>
        <w:ind w:left="300" w:right="400"/>
        <w:jc w:val="left"/>
      </w:pPr>
      <w:hyperlink w:anchor="_h3" w:history="1">
        <w:r>
          <w:rPr>
            <w:rFonts w:ascii="Barlow" w:hAnsi="Barlow" w:cs="Barlow" w:eastAsia="Barlow"/>
            <w:color w:val="0F2440"/>
            <w:sz w:val="19"/>
            <w:szCs w:val="19"/>
          </w:rPr>
          <w:t xml:space="preserve">3.1 PROBLEMA DE PESQUISA</w:t>
        </w:r>
        <w:r>
          <w:tab/>
        </w:r>
        <w:r>
          <w:rPr>
            <w:rFonts w:ascii="Barlow Condensed SemiBold" w:hAnsi="Barlow Condensed SemiBold" w:cs="Barlow Condensed SemiBold" w:eastAsia="Barlow Condensed SemiBold"/>
            <w:color w:val="007614"/>
            <w:sz w:val="19"/>
            <w:szCs w:val="19"/>
          </w:rPr>
          <w:t xml:space="preserve">11</w:t>
        </w:r>
      </w:hyperlink>
    </w:p>
    <w:p>
      <w:pPr>
        <w:pStyle w:val="TOC2"/>
        <w:tabs>
          <w:tab w:val="right" w:leader="dot" w:pos="8844"/>
        </w:tabs>
        <w:spacing w:before="0" w:after="20" w:line="250" w:lineRule="auto"/>
        <w:ind w:left="300" w:right="400"/>
        <w:jc w:val="left"/>
      </w:pPr>
      <w:hyperlink w:anchor="_h4" w:history="1">
        <w:r>
          <w:rPr>
            <w:rFonts w:ascii="Barlow" w:hAnsi="Barlow" w:cs="Barlow" w:eastAsia="Barlow"/>
            <w:color w:val="0F2440"/>
            <w:sz w:val="19"/>
            <w:szCs w:val="19"/>
          </w:rPr>
          <w:t xml:space="preserve">3.2 OBJETO</w:t>
        </w:r>
        <w:r>
          <w:tab/>
        </w:r>
        <w:r>
          <w:rPr>
            <w:rFonts w:ascii="Barlow Condensed SemiBold" w:hAnsi="Barlow Condensed SemiBold" w:cs="Barlow Condensed SemiBold" w:eastAsia="Barlow Condensed SemiBold"/>
            <w:color w:val="007614"/>
            <w:sz w:val="19"/>
            <w:szCs w:val="19"/>
          </w:rPr>
          <w:t xml:space="preserve">11</w:t>
        </w:r>
      </w:hyperlink>
    </w:p>
    <w:p>
      <w:pPr>
        <w:pStyle w:val="TOC2"/>
        <w:tabs>
          <w:tab w:val="right" w:leader="dot" w:pos="8844"/>
        </w:tabs>
        <w:spacing w:before="0" w:after="20" w:line="250" w:lineRule="auto"/>
        <w:ind w:left="300" w:right="400"/>
        <w:jc w:val="left"/>
      </w:pPr>
      <w:hyperlink w:anchor="_h5" w:history="1">
        <w:r>
          <w:rPr>
            <w:rFonts w:ascii="Barlow" w:hAnsi="Barlow" w:cs="Barlow" w:eastAsia="Barlow"/>
            <w:color w:val="0F2440"/>
            <w:sz w:val="19"/>
            <w:szCs w:val="19"/>
          </w:rPr>
          <w:t xml:space="preserve">3.3 PERGUNTA CENTRAL</w:t>
        </w:r>
        <w:r>
          <w:tab/>
        </w:r>
        <w:r>
          <w:rPr>
            <w:rFonts w:ascii="Barlow Condensed SemiBold" w:hAnsi="Barlow Condensed SemiBold" w:cs="Barlow Condensed SemiBold" w:eastAsia="Barlow Condensed SemiBold"/>
            <w:color w:val="007614"/>
            <w:sz w:val="19"/>
            <w:szCs w:val="19"/>
          </w:rPr>
          <w:t xml:space="preserve">11</w:t>
        </w:r>
      </w:hyperlink>
    </w:p>
    <w:p>
      <w:pPr>
        <w:pStyle w:val="TOC2"/>
        <w:tabs>
          <w:tab w:val="right" w:leader="dot" w:pos="8844"/>
        </w:tabs>
        <w:spacing w:before="0" w:after="20" w:line="250" w:lineRule="auto"/>
        <w:ind w:left="300" w:right="400"/>
        <w:jc w:val="left"/>
      </w:pPr>
      <w:hyperlink w:anchor="_h6" w:history="1">
        <w:r>
          <w:rPr>
            <w:rFonts w:ascii="Barlow" w:hAnsi="Barlow" w:cs="Barlow" w:eastAsia="Barlow"/>
            <w:color w:val="0F2440"/>
            <w:sz w:val="19"/>
            <w:szCs w:val="19"/>
          </w:rPr>
          <w:t xml:space="preserve">3.4 QUESTÕES ESPECÍFICAS</w:t>
        </w:r>
        <w:r>
          <w:tab/>
        </w:r>
        <w:r>
          <w:rPr>
            <w:rFonts w:ascii="Barlow Condensed SemiBold" w:hAnsi="Barlow Condensed SemiBold" w:cs="Barlow Condensed SemiBold" w:eastAsia="Barlow Condensed SemiBold"/>
            <w:color w:val="007614"/>
            <w:sz w:val="19"/>
            <w:szCs w:val="19"/>
          </w:rPr>
          <w:t xml:space="preserve">11</w:t>
        </w:r>
      </w:hyperlink>
    </w:p>
    <w:p>
      <w:pPr>
        <w:pStyle w:val="TOC2"/>
        <w:tabs>
          <w:tab w:val="right" w:leader="dot" w:pos="8844"/>
        </w:tabs>
        <w:spacing w:before="0" w:after="20" w:line="250" w:lineRule="auto"/>
        <w:ind w:left="300" w:right="400"/>
        <w:jc w:val="left"/>
      </w:pPr>
      <w:hyperlink w:anchor="_h7" w:history="1">
        <w:r>
          <w:rPr>
            <w:rFonts w:ascii="Barlow" w:hAnsi="Barlow" w:cs="Barlow" w:eastAsia="Barlow"/>
            <w:color w:val="0F2440"/>
            <w:sz w:val="19"/>
            <w:szCs w:val="19"/>
          </w:rPr>
          <w:t xml:space="preserve">3.5 PRESSUPOSTOS ORIENTADORES</w:t>
        </w:r>
        <w:r>
          <w:tab/>
        </w:r>
        <w:r>
          <w:rPr>
            <w:rFonts w:ascii="Barlow Condensed SemiBold" w:hAnsi="Barlow Condensed SemiBold" w:cs="Barlow Condensed SemiBold" w:eastAsia="Barlow Condensed SemiBold"/>
            <w:color w:val="007614"/>
            <w:sz w:val="19"/>
            <w:szCs w:val="19"/>
          </w:rPr>
          <w:t xml:space="preserve">12</w:t>
        </w:r>
      </w:hyperlink>
    </w:p>
    <w:p>
      <w:pPr>
        <w:pStyle w:val="TOC1"/>
        <w:tabs>
          <w:tab w:val="right" w:leader="dot" w:pos="8844"/>
        </w:tabs>
        <w:spacing w:before="110" w:after="30" w:line="250" w:lineRule="auto"/>
        <w:ind w:right="400"/>
        <w:jc w:val="left"/>
      </w:pPr>
      <w:hyperlink w:anchor="_h8" w:history="1">
        <w:r>
          <w:rPr>
            <w:rFonts w:ascii="Barlow Condensed SemiBold" w:hAnsi="Barlow Condensed SemiBold" w:cs="Barlow Condensed SemiBold" w:eastAsia="Barlow Condensed SemiBold"/>
            <w:color w:val="01366F"/>
            <w:sz w:val="19"/>
            <w:szCs w:val="19"/>
          </w:rPr>
          <w:t xml:space="preserve">4 OBJETIVOS</w:t>
        </w:r>
        <w:r>
          <w:tab/>
        </w:r>
        <w:r>
          <w:rPr>
            <w:rFonts w:ascii="Barlow Condensed SemiBold" w:hAnsi="Barlow Condensed SemiBold" w:cs="Barlow Condensed SemiBold" w:eastAsia="Barlow Condensed SemiBold"/>
            <w:color w:val="007614"/>
            <w:sz w:val="19"/>
            <w:szCs w:val="19"/>
          </w:rPr>
          <w:t xml:space="preserve">13</w:t>
        </w:r>
      </w:hyperlink>
    </w:p>
    <w:p>
      <w:pPr>
        <w:pStyle w:val="TOC2"/>
        <w:tabs>
          <w:tab w:val="right" w:leader="dot" w:pos="8844"/>
        </w:tabs>
        <w:spacing w:before="0" w:after="20" w:line="250" w:lineRule="auto"/>
        <w:ind w:left="300" w:right="400"/>
        <w:jc w:val="left"/>
      </w:pPr>
      <w:hyperlink w:anchor="_h9" w:history="1">
        <w:r>
          <w:rPr>
            <w:rFonts w:ascii="Barlow" w:hAnsi="Barlow" w:cs="Barlow" w:eastAsia="Barlow"/>
            <w:color w:val="0F2440"/>
            <w:sz w:val="19"/>
            <w:szCs w:val="19"/>
          </w:rPr>
          <w:t xml:space="preserve">4.1 OBJETIVO GERAL</w:t>
        </w:r>
        <w:r>
          <w:tab/>
        </w:r>
        <w:r>
          <w:rPr>
            <w:rFonts w:ascii="Barlow Condensed SemiBold" w:hAnsi="Barlow Condensed SemiBold" w:cs="Barlow Condensed SemiBold" w:eastAsia="Barlow Condensed SemiBold"/>
            <w:color w:val="007614"/>
            <w:sz w:val="19"/>
            <w:szCs w:val="19"/>
          </w:rPr>
          <w:t xml:space="preserve">13</w:t>
        </w:r>
      </w:hyperlink>
    </w:p>
    <w:p>
      <w:pPr>
        <w:pStyle w:val="TOC2"/>
        <w:tabs>
          <w:tab w:val="right" w:leader="dot" w:pos="8844"/>
        </w:tabs>
        <w:spacing w:before="0" w:after="20" w:line="250" w:lineRule="auto"/>
        <w:ind w:left="300" w:right="400"/>
        <w:jc w:val="left"/>
      </w:pPr>
      <w:hyperlink w:anchor="_h10" w:history="1">
        <w:r>
          <w:rPr>
            <w:rFonts w:ascii="Barlow" w:hAnsi="Barlow" w:cs="Barlow" w:eastAsia="Barlow"/>
            <w:color w:val="0F2440"/>
            <w:sz w:val="19"/>
            <w:szCs w:val="19"/>
          </w:rPr>
          <w:t xml:space="preserve">4.2 OBJETIVOS ESPECÍFICOS</w:t>
        </w:r>
        <w:r>
          <w:tab/>
        </w:r>
        <w:r>
          <w:rPr>
            <w:rFonts w:ascii="Barlow Condensed SemiBold" w:hAnsi="Barlow Condensed SemiBold" w:cs="Barlow Condensed SemiBold" w:eastAsia="Barlow Condensed SemiBold"/>
            <w:color w:val="007614"/>
            <w:sz w:val="19"/>
            <w:szCs w:val="19"/>
          </w:rPr>
          <w:t xml:space="preserve">13</w:t>
        </w:r>
      </w:hyperlink>
    </w:p>
    <w:p>
      <w:pPr>
        <w:pStyle w:val="TOC1"/>
        <w:tabs>
          <w:tab w:val="right" w:leader="dot" w:pos="8844"/>
        </w:tabs>
        <w:spacing w:before="110" w:after="30" w:line="250" w:lineRule="auto"/>
        <w:ind w:right="400"/>
        <w:jc w:val="left"/>
      </w:pPr>
      <w:hyperlink w:anchor="_h11" w:history="1">
        <w:r>
          <w:rPr>
            <w:rFonts w:ascii="Barlow Condensed SemiBold" w:hAnsi="Barlow Condensed SemiBold" w:cs="Barlow Condensed SemiBold" w:eastAsia="Barlow Condensed SemiBold"/>
            <w:color w:val="01366F"/>
            <w:sz w:val="19"/>
            <w:szCs w:val="19"/>
          </w:rPr>
          <w:t xml:space="preserve">5 REFERENCIAL TEÓRICO</w:t>
        </w:r>
        <w:r>
          <w:tab/>
        </w:r>
        <w:r>
          <w:rPr>
            <w:rFonts w:ascii="Barlow Condensed SemiBold" w:hAnsi="Barlow Condensed SemiBold" w:cs="Barlow Condensed SemiBold" w:eastAsia="Barlow Condensed SemiBold"/>
            <w:color w:val="007614"/>
            <w:sz w:val="19"/>
            <w:szCs w:val="19"/>
          </w:rPr>
          <w:t xml:space="preserve">14</w:t>
        </w:r>
      </w:hyperlink>
    </w:p>
    <w:p>
      <w:pPr>
        <w:pStyle w:val="TOC2"/>
        <w:tabs>
          <w:tab w:val="right" w:leader="dot" w:pos="8844"/>
        </w:tabs>
        <w:spacing w:before="0" w:after="20" w:line="250" w:lineRule="auto"/>
        <w:ind w:left="300" w:right="400"/>
        <w:jc w:val="left"/>
      </w:pPr>
      <w:hyperlink w:anchor="_h12" w:history="1">
        <w:r>
          <w:rPr>
            <w:rFonts w:ascii="Barlow" w:hAnsi="Barlow" w:cs="Barlow" w:eastAsia="Barlow"/>
            <w:color w:val="0F2440"/>
            <w:sz w:val="19"/>
            <w:szCs w:val="19"/>
          </w:rPr>
          <w:t xml:space="preserve">5.1 DETERMINAÇÃO SOCIAL DA SAÚDE E TERRITÓRIO USADO</w:t>
        </w:r>
        <w:r>
          <w:tab/>
        </w:r>
        <w:r>
          <w:rPr>
            <w:rFonts w:ascii="Barlow Condensed SemiBold" w:hAnsi="Barlow Condensed SemiBold" w:cs="Barlow Condensed SemiBold" w:eastAsia="Barlow Condensed SemiBold"/>
            <w:color w:val="007614"/>
            <w:sz w:val="19"/>
            <w:szCs w:val="19"/>
          </w:rPr>
          <w:t xml:space="preserve">14</w:t>
        </w:r>
      </w:hyperlink>
    </w:p>
    <w:p>
      <w:pPr>
        <w:pStyle w:val="TOC2"/>
        <w:tabs>
          <w:tab w:val="right" w:leader="dot" w:pos="8844"/>
        </w:tabs>
        <w:spacing w:before="0" w:after="20" w:line="250" w:lineRule="auto"/>
        <w:ind w:left="300" w:right="400"/>
        <w:jc w:val="left"/>
      </w:pPr>
      <w:hyperlink w:anchor="_h13" w:history="1">
        <w:r>
          <w:rPr>
            <w:rFonts w:ascii="Barlow" w:hAnsi="Barlow" w:cs="Barlow" w:eastAsia="Barlow"/>
            <w:color w:val="0F2440"/>
            <w:sz w:val="19"/>
            <w:szCs w:val="19"/>
          </w:rPr>
          <w:t xml:space="preserve">5.2 VIGILÂNCIA POPULAR, EDUCAÇÃO POPULAR E COPRODUÇÃO DO CONHECIMENTO</w:t>
        </w:r>
        <w:r>
          <w:tab/>
        </w:r>
        <w:r>
          <w:rPr>
            <w:rFonts w:ascii="Barlow Condensed SemiBold" w:hAnsi="Barlow Condensed SemiBold" w:cs="Barlow Condensed SemiBold" w:eastAsia="Barlow Condensed SemiBold"/>
            <w:color w:val="007614"/>
            <w:sz w:val="19"/>
            <w:szCs w:val="19"/>
          </w:rPr>
          <w:t xml:space="preserve">14</w:t>
        </w:r>
      </w:hyperlink>
    </w:p>
    <w:p>
      <w:pPr>
        <w:pStyle w:val="TOC2"/>
        <w:tabs>
          <w:tab w:val="right" w:leader="dot" w:pos="8844"/>
        </w:tabs>
        <w:spacing w:before="0" w:after="20" w:line="250" w:lineRule="auto"/>
        <w:ind w:left="300" w:right="400"/>
        <w:jc w:val="left"/>
      </w:pPr>
      <w:hyperlink w:anchor="_h14" w:history="1">
        <w:r>
          <w:rPr>
            <w:rFonts w:ascii="Barlow" w:hAnsi="Barlow" w:cs="Barlow" w:eastAsia="Barlow"/>
            <w:color w:val="0F2440"/>
            <w:sz w:val="19"/>
            <w:szCs w:val="19"/>
          </w:rPr>
          <w:t xml:space="preserve">5.3 REDES SOCIOTÉCNICAS, TRADUÇÃO E GOVERNANÇA PARTICIPATIVA</w:t>
        </w:r>
        <w:r>
          <w:tab/>
        </w:r>
        <w:r>
          <w:rPr>
            <w:rFonts w:ascii="Barlow Condensed SemiBold" w:hAnsi="Barlow Condensed SemiBold" w:cs="Barlow Condensed SemiBold" w:eastAsia="Barlow Condensed SemiBold"/>
            <w:color w:val="007614"/>
            <w:sz w:val="19"/>
            <w:szCs w:val="19"/>
          </w:rPr>
          <w:t xml:space="preserve">15</w:t>
        </w:r>
      </w:hyperlink>
    </w:p>
    <w:p>
      <w:pPr>
        <w:pStyle w:val="TOC2"/>
        <w:tabs>
          <w:tab w:val="right" w:leader="dot" w:pos="8844"/>
        </w:tabs>
        <w:spacing w:before="0" w:after="20" w:line="250" w:lineRule="auto"/>
        <w:ind w:left="300" w:right="400"/>
        <w:jc w:val="left"/>
      </w:pPr>
      <w:hyperlink w:anchor="_h15" w:history="1">
        <w:r>
          <w:rPr>
            <w:rFonts w:ascii="Barlow" w:hAnsi="Barlow" w:cs="Barlow" w:eastAsia="Barlow"/>
            <w:color w:val="0F2440"/>
            <w:sz w:val="19"/>
            <w:szCs w:val="19"/>
          </w:rPr>
          <w:t xml:space="preserve">5.4 AVALIAÇÃO DE PROCESSO E ABORDAGEM REALISTA</w:t>
        </w:r>
        <w:r>
          <w:tab/>
        </w:r>
        <w:r>
          <w:rPr>
            <w:rFonts w:ascii="Barlow Condensed SemiBold" w:hAnsi="Barlow Condensed SemiBold" w:cs="Barlow Condensed SemiBold" w:eastAsia="Barlow Condensed SemiBold"/>
            <w:color w:val="007614"/>
            <w:sz w:val="19"/>
            <w:szCs w:val="19"/>
          </w:rPr>
          <w:t xml:space="preserve">15</w:t>
        </w:r>
      </w:hyperlink>
    </w:p>
    <w:p>
      <w:pPr>
        <w:pStyle w:val="TOC1"/>
        <w:tabs>
          <w:tab w:val="right" w:leader="dot" w:pos="8844"/>
        </w:tabs>
        <w:spacing w:before="110" w:after="30" w:line="250" w:lineRule="auto"/>
        <w:ind w:right="400"/>
        <w:jc w:val="left"/>
      </w:pPr>
      <w:hyperlink w:anchor="_h16" w:history="1">
        <w:r>
          <w:rPr>
            <w:rFonts w:ascii="Barlow Condensed SemiBold" w:hAnsi="Barlow Condensed SemiBold" w:cs="Barlow Condensed SemiBold" w:eastAsia="Barlow Condensed SemiBold"/>
            <w:color w:val="01366F"/>
            <w:sz w:val="19"/>
            <w:szCs w:val="19"/>
          </w:rPr>
          <w:t xml:space="preserve">6 METODOLOGIA</w:t>
        </w:r>
        <w:r>
          <w:tab/>
        </w:r>
        <w:r>
          <w:rPr>
            <w:rFonts w:ascii="Barlow Condensed SemiBold" w:hAnsi="Barlow Condensed SemiBold" w:cs="Barlow Condensed SemiBold" w:eastAsia="Barlow Condensed SemiBold"/>
            <w:color w:val="007614"/>
            <w:sz w:val="19"/>
            <w:szCs w:val="19"/>
          </w:rPr>
          <w:t xml:space="preserve">17</w:t>
        </w:r>
      </w:hyperlink>
    </w:p>
    <w:p>
      <w:pPr>
        <w:pStyle w:val="TOC2"/>
        <w:tabs>
          <w:tab w:val="right" w:leader="dot" w:pos="8844"/>
        </w:tabs>
        <w:spacing w:before="0" w:after="20" w:line="250" w:lineRule="auto"/>
        <w:ind w:left="300" w:right="400"/>
        <w:jc w:val="left"/>
      </w:pPr>
      <w:hyperlink w:anchor="_h17" w:history="1">
        <w:r>
          <w:rPr>
            <w:rFonts w:ascii="Barlow" w:hAnsi="Barlow" w:cs="Barlow" w:eastAsia="Barlow"/>
            <w:color w:val="0F2440"/>
            <w:sz w:val="19"/>
            <w:szCs w:val="19"/>
          </w:rPr>
          <w:t xml:space="preserve">6.1 TIPO DE ESTUDO E DESENHO</w:t>
        </w:r>
        <w:r>
          <w:tab/>
        </w:r>
        <w:r>
          <w:rPr>
            <w:rFonts w:ascii="Barlow Condensed SemiBold" w:hAnsi="Barlow Condensed SemiBold" w:cs="Barlow Condensed SemiBold" w:eastAsia="Barlow Condensed SemiBold"/>
            <w:color w:val="007614"/>
            <w:sz w:val="19"/>
            <w:szCs w:val="19"/>
          </w:rPr>
          <w:t xml:space="preserve">17</w:t>
        </w:r>
      </w:hyperlink>
    </w:p>
    <w:p>
      <w:pPr>
        <w:pStyle w:val="TOC2"/>
        <w:tabs>
          <w:tab w:val="right" w:leader="dot" w:pos="8844"/>
        </w:tabs>
        <w:spacing w:before="0" w:after="20" w:line="250" w:lineRule="auto"/>
        <w:ind w:left="300" w:right="400"/>
        <w:jc w:val="left"/>
      </w:pPr>
      <w:hyperlink w:anchor="_h18" w:history="1">
        <w:r>
          <w:rPr>
            <w:rFonts w:ascii="Barlow" w:hAnsi="Barlow" w:cs="Barlow" w:eastAsia="Barlow"/>
            <w:color w:val="0F2440"/>
            <w:sz w:val="19"/>
            <w:szCs w:val="19"/>
          </w:rPr>
          <w:t xml:space="preserve">6.2 A INTERVENÇÃO ESTUDADA</w:t>
        </w:r>
        <w:r>
          <w:tab/>
        </w:r>
        <w:r>
          <w:rPr>
            <w:rFonts w:ascii="Barlow Condensed SemiBold" w:hAnsi="Barlow Condensed SemiBold" w:cs="Barlow Condensed SemiBold" w:eastAsia="Barlow Condensed SemiBold"/>
            <w:color w:val="007614"/>
            <w:sz w:val="19"/>
            <w:szCs w:val="19"/>
          </w:rPr>
          <w:t xml:space="preserve">17</w:t>
        </w:r>
      </w:hyperlink>
    </w:p>
    <w:p>
      <w:pPr>
        <w:pStyle w:val="TOC2"/>
        <w:tabs>
          <w:tab w:val="right" w:leader="dot" w:pos="8844"/>
        </w:tabs>
        <w:spacing w:before="0" w:after="20" w:line="250" w:lineRule="auto"/>
        <w:ind w:left="300" w:right="400"/>
        <w:jc w:val="left"/>
      </w:pPr>
      <w:hyperlink w:anchor="_h19" w:history="1">
        <w:r>
          <w:rPr>
            <w:rFonts w:ascii="Barlow" w:hAnsi="Barlow" w:cs="Barlow" w:eastAsia="Barlow"/>
            <w:color w:val="0F2440"/>
            <w:sz w:val="19"/>
            <w:szCs w:val="19"/>
          </w:rPr>
          <w:t xml:space="preserve">6.3 CENÁRIO, CASO E UNIDADES DE ANÁLISE</w:t>
        </w:r>
        <w:r>
          <w:tab/>
        </w:r>
        <w:r>
          <w:rPr>
            <w:rFonts w:ascii="Barlow Condensed SemiBold" w:hAnsi="Barlow Condensed SemiBold" w:cs="Barlow Condensed SemiBold" w:eastAsia="Barlow Condensed SemiBold"/>
            <w:color w:val="007614"/>
            <w:sz w:val="19"/>
            <w:szCs w:val="19"/>
          </w:rPr>
          <w:t xml:space="preserve">18</w:t>
        </w:r>
      </w:hyperlink>
    </w:p>
    <w:p>
      <w:pPr>
        <w:pStyle w:val="TOC2"/>
        <w:tabs>
          <w:tab w:val="right" w:leader="dot" w:pos="8844"/>
        </w:tabs>
        <w:spacing w:before="0" w:after="20" w:line="250" w:lineRule="auto"/>
        <w:ind w:left="300" w:right="400"/>
        <w:jc w:val="left"/>
      </w:pPr>
      <w:hyperlink w:anchor="_h20" w:history="1">
        <w:r>
          <w:rPr>
            <w:rFonts w:ascii="Barlow" w:hAnsi="Barlow" w:cs="Barlow" w:eastAsia="Barlow"/>
            <w:color w:val="0F2440"/>
            <w:sz w:val="19"/>
            <w:szCs w:val="19"/>
          </w:rPr>
          <w:t xml:space="preserve">6.4 PARTICIPANTES E AMOSTRAGEM</w:t>
        </w:r>
        <w:r>
          <w:tab/>
        </w:r>
        <w:r>
          <w:rPr>
            <w:rFonts w:ascii="Barlow Condensed SemiBold" w:hAnsi="Barlow Condensed SemiBold" w:cs="Barlow Condensed SemiBold" w:eastAsia="Barlow Condensed SemiBold"/>
            <w:color w:val="007614"/>
            <w:sz w:val="19"/>
            <w:szCs w:val="19"/>
          </w:rPr>
          <w:t xml:space="preserve">18</w:t>
        </w:r>
      </w:hyperlink>
    </w:p>
    <w:p>
      <w:pPr>
        <w:pStyle w:val="TOC2"/>
        <w:tabs>
          <w:tab w:val="right" w:leader="dot" w:pos="8844"/>
        </w:tabs>
        <w:spacing w:before="0" w:after="20" w:line="250" w:lineRule="auto"/>
        <w:ind w:left="300" w:right="400"/>
        <w:jc w:val="left"/>
      </w:pPr>
      <w:hyperlink w:anchor="_h21" w:history="1">
        <w:r>
          <w:rPr>
            <w:rFonts w:ascii="Barlow" w:hAnsi="Barlow" w:cs="Barlow" w:eastAsia="Barlow"/>
            <w:color w:val="0F2440"/>
            <w:sz w:val="19"/>
            <w:szCs w:val="19"/>
          </w:rPr>
          <w:t xml:space="preserve">6.5 ONDAS LONGITUDINAIS E PRODUÇÃO DE DADOS QUALITATIVOS</w:t>
        </w:r>
        <w:r>
          <w:tab/>
        </w:r>
        <w:r>
          <w:rPr>
            <w:rFonts w:ascii="Barlow Condensed SemiBold" w:hAnsi="Barlow Condensed SemiBold" w:cs="Barlow Condensed SemiBold" w:eastAsia="Barlow Condensed SemiBold"/>
            <w:color w:val="007614"/>
            <w:sz w:val="19"/>
            <w:szCs w:val="19"/>
          </w:rPr>
          <w:t xml:space="preserve">19</w:t>
        </w:r>
      </w:hyperlink>
    </w:p>
    <w:p>
      <w:pPr>
        <w:pStyle w:val="TOC2"/>
        <w:tabs>
          <w:tab w:val="right" w:leader="dot" w:pos="8844"/>
        </w:tabs>
        <w:spacing w:before="0" w:after="20" w:line="250" w:lineRule="auto"/>
        <w:ind w:left="300" w:right="400"/>
        <w:jc w:val="left"/>
      </w:pPr>
      <w:hyperlink w:anchor="_h22" w:history="1">
        <w:r>
          <w:rPr>
            <w:rFonts w:ascii="Barlow" w:hAnsi="Barlow" w:cs="Barlow" w:eastAsia="Barlow"/>
            <w:color w:val="0F2440"/>
            <w:sz w:val="19"/>
            <w:szCs w:val="19"/>
          </w:rPr>
          <w:t xml:space="preserve">6.6 INQUÉRITO DOMICILIAR SOBRE DETERMINANTES SOCIAIS DA SAÚDE</w:t>
        </w:r>
        <w:r>
          <w:tab/>
        </w:r>
        <w:r>
          <w:rPr>
            <w:rFonts w:ascii="Barlow Condensed SemiBold" w:hAnsi="Barlow Condensed SemiBold" w:cs="Barlow Condensed SemiBold" w:eastAsia="Barlow Condensed SemiBold"/>
            <w:color w:val="007614"/>
            <w:sz w:val="19"/>
            <w:szCs w:val="19"/>
          </w:rPr>
          <w:t xml:space="preserve">20</w:t>
        </w:r>
      </w:hyperlink>
    </w:p>
    <w:p>
      <w:pPr>
        <w:pStyle w:val="TOC3"/>
        <w:tabs>
          <w:tab w:val="right" w:leader="dot" w:pos="8844"/>
        </w:tabs>
        <w:spacing w:before="0" w:after="20" w:line="250" w:lineRule="auto"/>
        <w:ind w:left="600" w:right="400"/>
        <w:jc w:val="left"/>
      </w:pPr>
      <w:hyperlink w:anchor="_h23" w:history="1">
        <w:r>
          <w:rPr>
            <w:rFonts w:ascii="Barlow" w:hAnsi="Barlow" w:cs="Barlow" w:eastAsia="Barlow"/>
            <w:color w:val="5F6B76"/>
            <w:sz w:val="18"/>
            <w:szCs w:val="18"/>
          </w:rPr>
          <w:t xml:space="preserve">6.6.1 Desenho, população e amostra</w:t>
        </w:r>
        <w:r>
          <w:tab/>
        </w:r>
        <w:r>
          <w:rPr>
            <w:rFonts w:ascii="Barlow Condensed SemiBold" w:hAnsi="Barlow Condensed SemiBold" w:cs="Barlow Condensed SemiBold" w:eastAsia="Barlow Condensed SemiBold"/>
            <w:color w:val="007614"/>
            <w:sz w:val="18"/>
            <w:szCs w:val="18"/>
          </w:rPr>
          <w:t xml:space="preserve">20</w:t>
        </w:r>
      </w:hyperlink>
    </w:p>
    <w:p>
      <w:pPr>
        <w:pStyle w:val="TOC3"/>
        <w:tabs>
          <w:tab w:val="right" w:leader="dot" w:pos="8844"/>
        </w:tabs>
        <w:spacing w:before="0" w:after="20" w:line="250" w:lineRule="auto"/>
        <w:ind w:left="600" w:right="400"/>
        <w:jc w:val="left"/>
      </w:pPr>
      <w:hyperlink w:anchor="_h24" w:history="1">
        <w:r>
          <w:rPr>
            <w:rFonts w:ascii="Barlow" w:hAnsi="Barlow" w:cs="Barlow" w:eastAsia="Barlow"/>
            <w:color w:val="5F6B76"/>
            <w:sz w:val="18"/>
            <w:szCs w:val="18"/>
          </w:rPr>
          <w:t xml:space="preserve">6.6.2 Questionário</w:t>
        </w:r>
        <w:r>
          <w:tab/>
        </w:r>
        <w:r>
          <w:rPr>
            <w:rFonts w:ascii="Barlow Condensed SemiBold" w:hAnsi="Barlow Condensed SemiBold" w:cs="Barlow Condensed SemiBold" w:eastAsia="Barlow Condensed SemiBold"/>
            <w:color w:val="007614"/>
            <w:sz w:val="18"/>
            <w:szCs w:val="18"/>
          </w:rPr>
          <w:t xml:space="preserve">20</w:t>
        </w:r>
      </w:hyperlink>
    </w:p>
    <w:p>
      <w:pPr>
        <w:pStyle w:val="TOC3"/>
        <w:tabs>
          <w:tab w:val="right" w:leader="dot" w:pos="8844"/>
        </w:tabs>
        <w:spacing w:before="0" w:after="20" w:line="250" w:lineRule="auto"/>
        <w:ind w:left="600" w:right="400"/>
        <w:jc w:val="left"/>
      </w:pPr>
      <w:hyperlink w:anchor="_h25" w:history="1">
        <w:r>
          <w:rPr>
            <w:rFonts w:ascii="Barlow" w:hAnsi="Barlow" w:cs="Barlow" w:eastAsia="Barlow"/>
            <w:color w:val="5F6B76"/>
            <w:sz w:val="18"/>
            <w:szCs w:val="18"/>
          </w:rPr>
          <w:t xml:space="preserve">6.6.3 Adaptação, pré-teste e coleta</w:t>
        </w:r>
        <w:r>
          <w:tab/>
        </w:r>
        <w:r>
          <w:rPr>
            <w:rFonts w:ascii="Barlow Condensed SemiBold" w:hAnsi="Barlow Condensed SemiBold" w:cs="Barlow Condensed SemiBold" w:eastAsia="Barlow Condensed SemiBold"/>
            <w:color w:val="007614"/>
            <w:sz w:val="18"/>
            <w:szCs w:val="18"/>
          </w:rPr>
          <w:t xml:space="preserve">22</w:t>
        </w:r>
      </w:hyperlink>
    </w:p>
    <w:p>
      <w:pPr>
        <w:pStyle w:val="TOC3"/>
        <w:tabs>
          <w:tab w:val="right" w:leader="dot" w:pos="8844"/>
        </w:tabs>
        <w:spacing w:before="0" w:after="20" w:line="250" w:lineRule="auto"/>
        <w:ind w:left="600" w:right="400"/>
        <w:jc w:val="left"/>
      </w:pPr>
      <w:hyperlink w:anchor="_h26" w:history="1">
        <w:r>
          <w:rPr>
            <w:rFonts w:ascii="Barlow" w:hAnsi="Barlow" w:cs="Barlow" w:eastAsia="Barlow"/>
            <w:color w:val="5F6B76"/>
            <w:sz w:val="18"/>
            <w:szCs w:val="18"/>
          </w:rPr>
          <w:t xml:space="preserve">6.6.4 Análise do inquérito</w:t>
        </w:r>
        <w:r>
          <w:tab/>
        </w:r>
        <w:r>
          <w:rPr>
            <w:rFonts w:ascii="Barlow Condensed SemiBold" w:hAnsi="Barlow Condensed SemiBold" w:cs="Barlow Condensed SemiBold" w:eastAsia="Barlow Condensed SemiBold"/>
            <w:color w:val="007614"/>
            <w:sz w:val="18"/>
            <w:szCs w:val="18"/>
          </w:rPr>
          <w:t xml:space="preserve">22</w:t>
        </w:r>
      </w:hyperlink>
    </w:p>
    <w:p>
      <w:pPr>
        <w:pStyle w:val="TOC2"/>
        <w:tabs>
          <w:tab w:val="right" w:leader="dot" w:pos="8844"/>
        </w:tabs>
        <w:spacing w:before="0" w:after="20" w:line="250" w:lineRule="auto"/>
        <w:ind w:left="300" w:right="400"/>
        <w:jc w:val="left"/>
      </w:pPr>
      <w:hyperlink w:anchor="_h27" w:history="1">
        <w:r>
          <w:rPr>
            <w:rFonts w:ascii="Barlow" w:hAnsi="Barlow" w:cs="Barlow" w:eastAsia="Barlow"/>
            <w:color w:val="0F2440"/>
            <w:sz w:val="19"/>
            <w:szCs w:val="19"/>
          </w:rPr>
          <w:t xml:space="preserve">6.7 INTEGRAÇÃO ENTRE OS COMPONENTES</w:t>
        </w:r>
        <w:r>
          <w:tab/>
        </w:r>
        <w:r>
          <w:rPr>
            <w:rFonts w:ascii="Barlow Condensed SemiBold" w:hAnsi="Barlow Condensed SemiBold" w:cs="Barlow Condensed SemiBold" w:eastAsia="Barlow Condensed SemiBold"/>
            <w:color w:val="007614"/>
            <w:sz w:val="19"/>
            <w:szCs w:val="19"/>
          </w:rPr>
          <w:t xml:space="preserve">23</w:t>
        </w:r>
      </w:hyperlink>
    </w:p>
    <w:p>
      <w:pPr>
        <w:pStyle w:val="TOC2"/>
        <w:tabs>
          <w:tab w:val="right" w:leader="dot" w:pos="8844"/>
        </w:tabs>
        <w:spacing w:before="0" w:after="20" w:line="250" w:lineRule="auto"/>
        <w:ind w:left="300" w:right="400"/>
        <w:jc w:val="left"/>
      </w:pPr>
      <w:hyperlink w:anchor="_h28" w:history="1">
        <w:r>
          <w:rPr>
            <w:rFonts w:ascii="Barlow" w:hAnsi="Barlow" w:cs="Barlow" w:eastAsia="Barlow"/>
            <w:color w:val="0F2440"/>
            <w:sz w:val="19"/>
            <w:szCs w:val="19"/>
          </w:rPr>
          <w:t xml:space="preserve">6.8 ANÁLISE DOS DADOS QUALITATIVOS</w:t>
        </w:r>
        <w:r>
          <w:tab/>
        </w:r>
        <w:r>
          <w:rPr>
            <w:rFonts w:ascii="Barlow Condensed SemiBold" w:hAnsi="Barlow Condensed SemiBold" w:cs="Barlow Condensed SemiBold" w:eastAsia="Barlow Condensed SemiBold"/>
            <w:color w:val="007614"/>
            <w:sz w:val="19"/>
            <w:szCs w:val="19"/>
          </w:rPr>
          <w:t xml:space="preserve">23</w:t>
        </w:r>
      </w:hyperlink>
    </w:p>
    <w:p>
      <w:pPr>
        <w:pStyle w:val="TOC2"/>
        <w:tabs>
          <w:tab w:val="right" w:leader="dot" w:pos="8844"/>
        </w:tabs>
        <w:spacing w:before="0" w:after="20" w:line="250" w:lineRule="auto"/>
        <w:ind w:left="300" w:right="400"/>
        <w:jc w:val="left"/>
      </w:pPr>
      <w:hyperlink w:anchor="_h29" w:history="1">
        <w:r>
          <w:rPr>
            <w:rFonts w:ascii="Barlow" w:hAnsi="Barlow" w:cs="Barlow" w:eastAsia="Barlow"/>
            <w:color w:val="0F2440"/>
            <w:sz w:val="19"/>
            <w:szCs w:val="19"/>
          </w:rPr>
          <w:t xml:space="preserve">6.9 RIGOR, REFLEXIVIDADE E INDEPENDÊNCIA ANALÍTICA</w:t>
        </w:r>
        <w:r>
          <w:tab/>
        </w:r>
        <w:r>
          <w:rPr>
            <w:rFonts w:ascii="Barlow Condensed SemiBold" w:hAnsi="Barlow Condensed SemiBold" w:cs="Barlow Condensed SemiBold" w:eastAsia="Barlow Condensed SemiBold"/>
            <w:color w:val="007614"/>
            <w:sz w:val="19"/>
            <w:szCs w:val="19"/>
          </w:rPr>
          <w:t xml:space="preserve">24</w:t>
        </w:r>
      </w:hyperlink>
    </w:p>
    <w:p>
      <w:pPr>
        <w:pStyle w:val="TOC2"/>
        <w:tabs>
          <w:tab w:val="right" w:leader="dot" w:pos="8844"/>
        </w:tabs>
        <w:spacing w:before="0" w:after="20" w:line="250" w:lineRule="auto"/>
        <w:ind w:left="300" w:right="400"/>
        <w:jc w:val="left"/>
      </w:pPr>
      <w:hyperlink w:anchor="_h30" w:history="1">
        <w:r>
          <w:rPr>
            <w:rFonts w:ascii="Barlow" w:hAnsi="Barlow" w:cs="Barlow" w:eastAsia="Barlow"/>
            <w:color w:val="0F2440"/>
            <w:sz w:val="19"/>
            <w:szCs w:val="19"/>
          </w:rPr>
          <w:t xml:space="preserve">6.10 MATRIZ DE CONSISTÊNCIA</w:t>
        </w:r>
        <w:r>
          <w:tab/>
        </w:r>
        <w:r>
          <w:rPr>
            <w:rFonts w:ascii="Barlow Condensed SemiBold" w:hAnsi="Barlow Condensed SemiBold" w:cs="Barlow Condensed SemiBold" w:eastAsia="Barlow Condensed SemiBold"/>
            <w:color w:val="007614"/>
            <w:sz w:val="19"/>
            <w:szCs w:val="19"/>
          </w:rPr>
          <w:t xml:space="preserve">24</w:t>
        </w:r>
      </w:hyperlink>
    </w:p>
    <w:p>
      <w:pPr>
        <w:pStyle w:val="TOC2"/>
        <w:tabs>
          <w:tab w:val="right" w:leader="dot" w:pos="8844"/>
        </w:tabs>
        <w:spacing w:before="0" w:after="20" w:line="250" w:lineRule="auto"/>
        <w:ind w:left="300" w:right="400"/>
        <w:jc w:val="left"/>
      </w:pPr>
      <w:hyperlink w:anchor="_h31" w:history="1">
        <w:r>
          <w:rPr>
            <w:rFonts w:ascii="Barlow" w:hAnsi="Barlow" w:cs="Barlow" w:eastAsia="Barlow"/>
            <w:color w:val="0F2440"/>
            <w:sz w:val="19"/>
            <w:szCs w:val="19"/>
          </w:rPr>
          <w:t xml:space="preserve">6.11 DADOS SECUNDÁRIOS DE CONTEXTO</w:t>
        </w:r>
        <w:r>
          <w:tab/>
        </w:r>
        <w:r>
          <w:rPr>
            <w:rFonts w:ascii="Barlow Condensed SemiBold" w:hAnsi="Barlow Condensed SemiBold" w:cs="Barlow Condensed SemiBold" w:eastAsia="Barlow Condensed SemiBold"/>
            <w:color w:val="007614"/>
            <w:sz w:val="19"/>
            <w:szCs w:val="19"/>
          </w:rPr>
          <w:t xml:space="preserve">25</w:t>
        </w:r>
      </w:hyperlink>
    </w:p>
    <w:p>
      <w:pPr>
        <w:pStyle w:val="TOC1"/>
        <w:tabs>
          <w:tab w:val="right" w:leader="dot" w:pos="8844"/>
        </w:tabs>
        <w:spacing w:before="110" w:after="30" w:line="250" w:lineRule="auto"/>
        <w:ind w:right="400"/>
        <w:jc w:val="left"/>
      </w:pPr>
      <w:hyperlink w:anchor="_h32" w:history="1">
        <w:r>
          <w:rPr>
            <w:rFonts w:ascii="Barlow Condensed SemiBold" w:hAnsi="Barlow Condensed SemiBold" w:cs="Barlow Condensed SemiBold" w:eastAsia="Barlow Condensed SemiBold"/>
            <w:color w:val="01366F"/>
            <w:sz w:val="19"/>
            <w:szCs w:val="19"/>
          </w:rPr>
          <w:t xml:space="preserve">7 ASPECTOS ÉTICOS</w:t>
        </w:r>
        <w:r>
          <w:tab/>
        </w:r>
        <w:r>
          <w:rPr>
            <w:rFonts w:ascii="Barlow Condensed SemiBold" w:hAnsi="Barlow Condensed SemiBold" w:cs="Barlow Condensed SemiBold" w:eastAsia="Barlow Condensed SemiBold"/>
            <w:color w:val="007614"/>
            <w:sz w:val="19"/>
            <w:szCs w:val="19"/>
          </w:rPr>
          <w:t xml:space="preserve">26</w:t>
        </w:r>
      </w:hyperlink>
    </w:p>
    <w:p>
      <w:pPr>
        <w:pStyle w:val="TOC2"/>
        <w:tabs>
          <w:tab w:val="right" w:leader="dot" w:pos="8844"/>
        </w:tabs>
        <w:spacing w:before="0" w:after="20" w:line="250" w:lineRule="auto"/>
        <w:ind w:left="300" w:right="400"/>
        <w:jc w:val="left"/>
      </w:pPr>
      <w:hyperlink w:anchor="_h33" w:history="1">
        <w:r>
          <w:rPr>
            <w:rFonts w:ascii="Barlow" w:hAnsi="Barlow" w:cs="Barlow" w:eastAsia="Barlow"/>
            <w:color w:val="0F2440"/>
            <w:sz w:val="19"/>
            <w:szCs w:val="19"/>
          </w:rPr>
          <w:t xml:space="preserve">7.1 MARCO NORMATIVO E TRAMITAÇÃO</w:t>
        </w:r>
        <w:r>
          <w:tab/>
        </w:r>
        <w:r>
          <w:rPr>
            <w:rFonts w:ascii="Barlow Condensed SemiBold" w:hAnsi="Barlow Condensed SemiBold" w:cs="Barlow Condensed SemiBold" w:eastAsia="Barlow Condensed SemiBold"/>
            <w:color w:val="007614"/>
            <w:sz w:val="19"/>
            <w:szCs w:val="19"/>
          </w:rPr>
          <w:t xml:space="preserve">26</w:t>
        </w:r>
      </w:hyperlink>
    </w:p>
    <w:p>
      <w:pPr>
        <w:pStyle w:val="TOC2"/>
        <w:tabs>
          <w:tab w:val="right" w:leader="dot" w:pos="8844"/>
        </w:tabs>
        <w:spacing w:before="0" w:after="20" w:line="250" w:lineRule="auto"/>
        <w:ind w:left="300" w:right="400"/>
        <w:jc w:val="left"/>
      </w:pPr>
      <w:hyperlink w:anchor="_h34" w:history="1">
        <w:r>
          <w:rPr>
            <w:rFonts w:ascii="Barlow" w:hAnsi="Barlow" w:cs="Barlow" w:eastAsia="Barlow"/>
            <w:color w:val="0F2440"/>
            <w:sz w:val="19"/>
            <w:szCs w:val="19"/>
          </w:rPr>
          <w:t xml:space="preserve">7.2 CONSENTIMENTO</w:t>
        </w:r>
        <w:r>
          <w:tab/>
        </w:r>
        <w:r>
          <w:rPr>
            <w:rFonts w:ascii="Barlow Condensed SemiBold" w:hAnsi="Barlow Condensed SemiBold" w:cs="Barlow Condensed SemiBold" w:eastAsia="Barlow Condensed SemiBold"/>
            <w:color w:val="007614"/>
            <w:sz w:val="19"/>
            <w:szCs w:val="19"/>
          </w:rPr>
          <w:t xml:space="preserve">26</w:t>
        </w:r>
      </w:hyperlink>
    </w:p>
    <w:p>
      <w:pPr>
        <w:pStyle w:val="TOC2"/>
        <w:tabs>
          <w:tab w:val="right" w:leader="dot" w:pos="8844"/>
        </w:tabs>
        <w:spacing w:before="0" w:after="20" w:line="250" w:lineRule="auto"/>
        <w:ind w:left="300" w:right="400"/>
        <w:jc w:val="left"/>
      </w:pPr>
      <w:hyperlink w:anchor="_h35" w:history="1">
        <w:r>
          <w:rPr>
            <w:rFonts w:ascii="Barlow" w:hAnsi="Barlow" w:cs="Barlow" w:eastAsia="Barlow"/>
            <w:color w:val="0F2440"/>
            <w:sz w:val="19"/>
            <w:szCs w:val="19"/>
          </w:rPr>
          <w:t xml:space="preserve">7.3 RISCOS E BENEFÍCIOS</w:t>
        </w:r>
        <w:r>
          <w:tab/>
        </w:r>
        <w:r>
          <w:rPr>
            <w:rFonts w:ascii="Barlow Condensed SemiBold" w:hAnsi="Barlow Condensed SemiBold" w:cs="Barlow Condensed SemiBold" w:eastAsia="Barlow Condensed SemiBold"/>
            <w:color w:val="007614"/>
            <w:sz w:val="19"/>
            <w:szCs w:val="19"/>
          </w:rPr>
          <w:t xml:space="preserve">26</w:t>
        </w:r>
      </w:hyperlink>
    </w:p>
    <w:p>
      <w:pPr>
        <w:pStyle w:val="TOC2"/>
        <w:tabs>
          <w:tab w:val="right" w:leader="dot" w:pos="8844"/>
        </w:tabs>
        <w:spacing w:before="0" w:after="20" w:line="250" w:lineRule="auto"/>
        <w:ind w:left="300" w:right="400"/>
        <w:jc w:val="left"/>
      </w:pPr>
      <w:hyperlink w:anchor="_h36" w:history="1">
        <w:r>
          <w:rPr>
            <w:rFonts w:ascii="Barlow" w:hAnsi="Barlow" w:cs="Barlow" w:eastAsia="Barlow"/>
            <w:color w:val="0F2440"/>
            <w:sz w:val="19"/>
            <w:szCs w:val="19"/>
          </w:rPr>
          <w:t xml:space="preserve">7.4 PROTEÇÃO DE DADOS</w:t>
        </w:r>
        <w:r>
          <w:tab/>
        </w:r>
        <w:r>
          <w:rPr>
            <w:rFonts w:ascii="Barlow Condensed SemiBold" w:hAnsi="Barlow Condensed SemiBold" w:cs="Barlow Condensed SemiBold" w:eastAsia="Barlow Condensed SemiBold"/>
            <w:color w:val="007614"/>
            <w:sz w:val="19"/>
            <w:szCs w:val="19"/>
          </w:rPr>
          <w:t xml:space="preserve">27</w:t>
        </w:r>
      </w:hyperlink>
    </w:p>
    <w:p>
      <w:pPr>
        <w:pStyle w:val="TOC2"/>
        <w:tabs>
          <w:tab w:val="right" w:leader="dot" w:pos="8844"/>
        </w:tabs>
        <w:spacing w:before="0" w:after="20" w:line="250" w:lineRule="auto"/>
        <w:ind w:left="300" w:right="400"/>
        <w:jc w:val="left"/>
      </w:pPr>
      <w:hyperlink w:anchor="_h37" w:history="1">
        <w:r>
          <w:rPr>
            <w:rFonts w:ascii="Barlow" w:hAnsi="Barlow" w:cs="Barlow" w:eastAsia="Barlow"/>
            <w:color w:val="0F2440"/>
            <w:sz w:val="19"/>
            <w:szCs w:val="19"/>
          </w:rPr>
          <w:t xml:space="preserve">7.5 DEVOLUTIVA E GOVERNANÇA COMUNITÁRIA</w:t>
        </w:r>
        <w:r>
          <w:tab/>
        </w:r>
        <w:r>
          <w:rPr>
            <w:rFonts w:ascii="Barlow Condensed SemiBold" w:hAnsi="Barlow Condensed SemiBold" w:cs="Barlow Condensed SemiBold" w:eastAsia="Barlow Condensed SemiBold"/>
            <w:color w:val="007614"/>
            <w:sz w:val="19"/>
            <w:szCs w:val="19"/>
          </w:rPr>
          <w:t xml:space="preserve">27</w:t>
        </w:r>
      </w:hyperlink>
    </w:p>
    <w:p>
      <w:pPr>
        <w:pStyle w:val="TOC1"/>
        <w:tabs>
          <w:tab w:val="right" w:leader="dot" w:pos="8844"/>
        </w:tabs>
        <w:spacing w:before="110" w:after="30" w:line="250" w:lineRule="auto"/>
        <w:ind w:right="400"/>
        <w:jc w:val="left"/>
      </w:pPr>
      <w:hyperlink w:anchor="_h38" w:history="1">
        <w:r>
          <w:rPr>
            <w:rFonts w:ascii="Barlow Condensed SemiBold" w:hAnsi="Barlow Condensed SemiBold" w:cs="Barlow Condensed SemiBold" w:eastAsia="Barlow Condensed SemiBold"/>
            <w:color w:val="01366F"/>
            <w:sz w:val="19"/>
            <w:szCs w:val="19"/>
          </w:rPr>
          <w:t xml:space="preserve">8 LIMITAÇÕES</w:t>
        </w:r>
        <w:r>
          <w:tab/>
        </w:r>
        <w:r>
          <w:rPr>
            <w:rFonts w:ascii="Barlow Condensed SemiBold" w:hAnsi="Barlow Condensed SemiBold" w:cs="Barlow Condensed SemiBold" w:eastAsia="Barlow Condensed SemiBold"/>
            <w:color w:val="007614"/>
            <w:sz w:val="19"/>
            <w:szCs w:val="19"/>
          </w:rPr>
          <w:t xml:space="preserve">28</w:t>
        </w:r>
      </w:hyperlink>
    </w:p>
    <w:p>
      <w:pPr>
        <w:pStyle w:val="TOC1"/>
        <w:tabs>
          <w:tab w:val="right" w:leader="dot" w:pos="8844"/>
        </w:tabs>
        <w:spacing w:before="110" w:after="30" w:line="250" w:lineRule="auto"/>
        <w:ind w:right="400"/>
        <w:jc w:val="left"/>
      </w:pPr>
      <w:hyperlink w:anchor="_h39" w:history="1">
        <w:r>
          <w:rPr>
            <w:rFonts w:ascii="Barlow Condensed SemiBold" w:hAnsi="Barlow Condensed SemiBold" w:cs="Barlow Condensed SemiBold" w:eastAsia="Barlow Condensed SemiBold"/>
            <w:color w:val="01366F"/>
            <w:sz w:val="19"/>
            <w:szCs w:val="19"/>
          </w:rPr>
          <w:t xml:space="preserve">9 RESULTADOS ESPERADOS E PRODUTOS</w:t>
        </w:r>
        <w:r>
          <w:tab/>
        </w:r>
        <w:r>
          <w:rPr>
            <w:rFonts w:ascii="Barlow Condensed SemiBold" w:hAnsi="Barlow Condensed SemiBold" w:cs="Barlow Condensed SemiBold" w:eastAsia="Barlow Condensed SemiBold"/>
            <w:color w:val="007614"/>
            <w:sz w:val="19"/>
            <w:szCs w:val="19"/>
          </w:rPr>
          <w:t xml:space="preserve">29</w:t>
        </w:r>
      </w:hyperlink>
    </w:p>
    <w:p>
      <w:pPr>
        <w:pStyle w:val="TOC1"/>
        <w:tabs>
          <w:tab w:val="right" w:leader="dot" w:pos="8844"/>
        </w:tabs>
        <w:spacing w:before="110" w:after="30" w:line="250" w:lineRule="auto"/>
        <w:ind w:right="400"/>
        <w:jc w:val="left"/>
      </w:pPr>
      <w:hyperlink w:anchor="_h40" w:history="1">
        <w:r>
          <w:rPr>
            <w:rFonts w:ascii="Barlow Condensed SemiBold" w:hAnsi="Barlow Condensed SemiBold" w:cs="Barlow Condensed SemiBold" w:eastAsia="Barlow Condensed SemiBold"/>
            <w:color w:val="01366F"/>
            <w:sz w:val="19"/>
            <w:szCs w:val="19"/>
          </w:rPr>
          <w:t xml:space="preserve">10 CRONOGRAMA</w:t>
        </w:r>
        <w:r>
          <w:tab/>
        </w:r>
        <w:r>
          <w:rPr>
            <w:rFonts w:ascii="Barlow Condensed SemiBold" w:hAnsi="Barlow Condensed SemiBold" w:cs="Barlow Condensed SemiBold" w:eastAsia="Barlow Condensed SemiBold"/>
            <w:color w:val="007614"/>
            <w:sz w:val="19"/>
            <w:szCs w:val="19"/>
          </w:rPr>
          <w:t xml:space="preserve">30</w:t>
        </w:r>
      </w:hyperlink>
    </w:p>
    <w:p>
      <w:pPr>
        <w:pStyle w:val="TOC1"/>
        <w:tabs>
          <w:tab w:val="right" w:leader="dot" w:pos="8844"/>
        </w:tabs>
        <w:spacing w:before="110" w:after="30" w:line="250" w:lineRule="auto"/>
        <w:ind w:right="400"/>
        <w:jc w:val="left"/>
      </w:pPr>
      <w:hyperlink w:anchor="_h41" w:history="1">
        <w:r>
          <w:rPr>
            <w:rFonts w:ascii="Barlow Condensed SemiBold" w:hAnsi="Barlow Condensed SemiBold" w:cs="Barlow Condensed SemiBold" w:eastAsia="Barlow Condensed SemiBold"/>
            <w:color w:val="01366F"/>
            <w:sz w:val="19"/>
            <w:szCs w:val="19"/>
          </w:rPr>
          <w:t xml:space="preserve">11 RECURSOS E ORÇAMENTO</w:t>
        </w:r>
        <w:r>
          <w:tab/>
        </w:r>
        <w:r>
          <w:rPr>
            <w:rFonts w:ascii="Barlow Condensed SemiBold" w:hAnsi="Barlow Condensed SemiBold" w:cs="Barlow Condensed SemiBold" w:eastAsia="Barlow Condensed SemiBold"/>
            <w:color w:val="007614"/>
            <w:sz w:val="19"/>
            <w:szCs w:val="19"/>
          </w:rPr>
          <w:t xml:space="preserve">31</w:t>
        </w:r>
      </w:hyperlink>
    </w:p>
    <w:p>
      <w:pPr>
        <w:pStyle w:val="TOC1"/>
        <w:tabs>
          <w:tab w:val="right" w:leader="dot" w:pos="8844"/>
        </w:tabs>
        <w:spacing w:before="110" w:after="30" w:line="250" w:lineRule="auto"/>
        <w:ind w:right="400"/>
        <w:jc w:val="left"/>
      </w:pPr>
      <w:hyperlink w:anchor="_h42" w:history="1">
        <w:r>
          <w:rPr>
            <w:rFonts w:ascii="Barlow Condensed SemiBold" w:hAnsi="Barlow Condensed SemiBold" w:cs="Barlow Condensed SemiBold" w:eastAsia="Barlow Condensed SemiBold"/>
            <w:color w:val="01366F"/>
            <w:sz w:val="19"/>
            <w:szCs w:val="19"/>
          </w:rPr>
          <w:t xml:space="preserve">REFERÊNCIAS</w:t>
        </w:r>
        <w:r>
          <w:tab/>
        </w:r>
        <w:r>
          <w:rPr>
            <w:rFonts w:ascii="Barlow Condensed SemiBold" w:hAnsi="Barlow Condensed SemiBold" w:cs="Barlow Condensed SemiBold" w:eastAsia="Barlow Condensed SemiBold"/>
            <w:color w:val="007614"/>
            <w:sz w:val="19"/>
            <w:szCs w:val="19"/>
          </w:rPr>
          <w:t xml:space="preserve">32</w:t>
        </w:r>
      </w:hyperlink>
    </w:p>
    <w:p>
      <w:pPr>
        <w:pStyle w:val="TOC1"/>
        <w:tabs>
          <w:tab w:val="right" w:leader="dot" w:pos="8844"/>
        </w:tabs>
        <w:spacing w:before="110" w:after="30" w:line="250" w:lineRule="auto"/>
        <w:ind w:right="400"/>
        <w:jc w:val="left"/>
      </w:pPr>
      <w:hyperlink w:anchor="_h43" w:history="1">
        <w:r>
          <w:rPr>
            <w:rFonts w:ascii="Barlow Condensed SemiBold" w:hAnsi="Barlow Condensed SemiBold" w:cs="Barlow Condensed SemiBold" w:eastAsia="Barlow Condensed SemiBold"/>
            <w:color w:val="01366F"/>
            <w:sz w:val="19"/>
            <w:szCs w:val="19"/>
          </w:rPr>
          <w:t xml:space="preserve">APÊNDICE A – ROTEIRO-BASE DE ENTREVISTA COM PESQUISADORES POPULARES</w:t>
        </w:r>
        <w:r>
          <w:tab/>
        </w:r>
        <w:r>
          <w:rPr>
            <w:rFonts w:ascii="Barlow Condensed SemiBold" w:hAnsi="Barlow Condensed SemiBold" w:cs="Barlow Condensed SemiBold" w:eastAsia="Barlow Condensed SemiBold"/>
            <w:color w:val="007614"/>
            <w:sz w:val="19"/>
            <w:szCs w:val="19"/>
          </w:rPr>
          <w:t xml:space="preserve">36</w:t>
        </w:r>
      </w:hyperlink>
    </w:p>
    <w:p>
      <w:pPr>
        <w:pStyle w:val="TOC1"/>
        <w:tabs>
          <w:tab w:val="right" w:leader="dot" w:pos="8844"/>
        </w:tabs>
        <w:spacing w:before="110" w:after="30" w:line="250" w:lineRule="auto"/>
        <w:ind w:right="400"/>
        <w:jc w:val="left"/>
      </w:pPr>
      <w:hyperlink w:anchor="_h47" w:history="1">
        <w:r>
          <w:rPr>
            <w:rFonts w:ascii="Barlow Condensed SemiBold" w:hAnsi="Barlow Condensed SemiBold" w:cs="Barlow Condensed SemiBold" w:eastAsia="Barlow Condensed SemiBold"/>
            <w:color w:val="01366F"/>
            <w:sz w:val="19"/>
            <w:szCs w:val="19"/>
          </w:rPr>
          <w:t xml:space="preserve">APÊNDICE B – GUIA DE OBSERVAÇÃO DAS REUNIÕES DAS SALAS DE COOPERAÇÃO SOCIAL</w:t>
        </w:r>
        <w:r>
          <w:tab/>
        </w:r>
        <w:r>
          <w:rPr>
            <w:rFonts w:ascii="Barlow Condensed SemiBold" w:hAnsi="Barlow Condensed SemiBold" w:cs="Barlow Condensed SemiBold" w:eastAsia="Barlow Condensed SemiBold"/>
            <w:color w:val="007614"/>
            <w:sz w:val="19"/>
            <w:szCs w:val="19"/>
          </w:rPr>
          <w:t xml:space="preserve">37</w:t>
        </w:r>
      </w:hyperlink>
    </w:p>
    <w:p>
      <w:pPr>
        <w:pStyle w:val="TOC1"/>
        <w:tabs>
          <w:tab w:val="right" w:leader="dot" w:pos="8844"/>
        </w:tabs>
        <w:spacing w:before="110" w:after="30" w:line="250" w:lineRule="auto"/>
        <w:ind w:right="400"/>
        <w:jc w:val="left"/>
      </w:pPr>
      <w:hyperlink w:anchor="_h48" w:history="1">
        <w:r>
          <w:rPr>
            <w:rFonts w:ascii="Barlow Condensed SemiBold" w:hAnsi="Barlow Condensed SemiBold" w:cs="Barlow Condensed SemiBold" w:eastAsia="Barlow Condensed SemiBold"/>
            <w:color w:val="01366F"/>
            <w:sz w:val="19"/>
            <w:szCs w:val="19"/>
          </w:rPr>
          <w:t xml:space="preserve">APÊNDICE C – FICHA DE RASTREAMENTO DE TRAJETÓRIA</w:t>
        </w:r>
        <w:r>
          <w:tab/>
        </w:r>
        <w:r>
          <w:rPr>
            <w:rFonts w:ascii="Barlow Condensed SemiBold" w:hAnsi="Barlow Condensed SemiBold" w:cs="Barlow Condensed SemiBold" w:eastAsia="Barlow Condensed SemiBold"/>
            <w:color w:val="007614"/>
            <w:sz w:val="19"/>
            <w:szCs w:val="19"/>
          </w:rPr>
          <w:t xml:space="preserve">38</w:t>
        </w:r>
      </w:hyperlink>
    </w:p>
    <w:p>
      <w:pPr>
        <w:pStyle w:val="TOC1"/>
        <w:tabs>
          <w:tab w:val="right" w:leader="dot" w:pos="8844"/>
        </w:tabs>
        <w:spacing w:before="110" w:after="30" w:line="250" w:lineRule="auto"/>
        <w:ind w:right="400"/>
        <w:jc w:val="left"/>
      </w:pPr>
      <w:hyperlink w:anchor="_h49" w:history="1">
        <w:r>
          <w:rPr>
            <w:rFonts w:ascii="Barlow Condensed SemiBold" w:hAnsi="Barlow Condensed SemiBold" w:cs="Barlow Condensed SemiBold" w:eastAsia="Barlow Condensed SemiBold"/>
            <w:color w:val="01366F"/>
            <w:sz w:val="19"/>
            <w:szCs w:val="19"/>
          </w:rPr>
          <w:t xml:space="preserve">APÊNDICE D – QUESTIONÁRIO MISTO SOBRE DETERMINANTES SOCIAIS DA SAÚDE</w:t>
        </w:r>
        <w:r>
          <w:tab/>
        </w:r>
        <w:r>
          <w:rPr>
            <w:rFonts w:ascii="Barlow Condensed SemiBold" w:hAnsi="Barlow Condensed SemiBold" w:cs="Barlow Condensed SemiBold" w:eastAsia="Barlow Condensed SemiBold"/>
            <w:color w:val="007614"/>
            <w:sz w:val="19"/>
            <w:szCs w:val="19"/>
          </w:rPr>
          <w:t xml:space="preserve">39</w:t>
        </w:r>
      </w:hyperlink>
    </w:p>
    <w:p>
      <w:pPr>
        <w:pStyle w:val="TOC1"/>
        <w:tabs>
          <w:tab w:val="right" w:leader="dot" w:pos="8844"/>
        </w:tabs>
        <w:spacing w:before="110" w:after="30" w:line="250" w:lineRule="auto"/>
        <w:ind w:right="400"/>
        <w:jc w:val="left"/>
      </w:pPr>
      <w:hyperlink w:anchor="_h50" w:history="1">
        <w:r>
          <w:rPr>
            <w:rFonts w:ascii="Barlow Condensed SemiBold" w:hAnsi="Barlow Condensed SemiBold" w:cs="Barlow Condensed SemiBold" w:eastAsia="Barlow Condensed SemiBold"/>
            <w:color w:val="01366F"/>
            <w:sz w:val="19"/>
            <w:szCs w:val="19"/>
          </w:rPr>
          <w:t xml:space="preserve">ANEXO A – ESCALA BRASILEIRA DE INSEGURANÇA ALIMENTAR (EBIA)</w:t>
        </w:r>
        <w:r>
          <w:tab/>
        </w:r>
        <w:r>
          <w:rPr>
            <w:rFonts w:ascii="Barlow Condensed SemiBold" w:hAnsi="Barlow Condensed SemiBold" w:cs="Barlow Condensed SemiBold" w:eastAsia="Barlow Condensed SemiBold"/>
            <w:color w:val="007614"/>
            <w:sz w:val="19"/>
            <w:szCs w:val="19"/>
          </w:rPr>
          <w:t xml:space="preserve">46</w:t>
        </w:r>
      </w:hyperlink>
    </w:p>
    <w:p>
      <w:pPr>
        <w:pStyle w:val="TOC1"/>
        <w:tabs>
          <w:tab w:val="right" w:leader="dot" w:pos="8844"/>
        </w:tabs>
        <w:spacing w:before="110" w:after="30" w:line="250" w:lineRule="auto"/>
        <w:ind w:right="400"/>
        <w:jc w:val="left"/>
      </w:pPr>
      <w:hyperlink w:anchor="_h51" w:history="1">
        <w:r>
          <w:rPr>
            <w:rFonts w:ascii="Barlow Condensed SemiBold" w:hAnsi="Barlow Condensed SemiBold" w:cs="Barlow Condensed SemiBold" w:eastAsia="Barlow Condensed SemiBold"/>
            <w:color w:val="01366F"/>
            <w:sz w:val="19"/>
            <w:szCs w:val="19"/>
          </w:rPr>
          <w:t xml:space="preserve">ANEXO B – CRITÉRIO DE CLASSIFICAÇÃO ECONÔMICA BRASIL 2026</w:t>
        </w:r>
        <w:r>
          <w:tab/>
        </w:r>
        <w:r>
          <w:rPr>
            <w:rFonts w:ascii="Barlow Condensed SemiBold" w:hAnsi="Barlow Condensed SemiBold" w:cs="Barlow Condensed SemiBold" w:eastAsia="Barlow Condensed SemiBold"/>
            <w:color w:val="007614"/>
            <w:sz w:val="19"/>
            <w:szCs w:val="19"/>
          </w:rPr>
          <w:t xml:space="preserve">48</w:t>
        </w:r>
      </w:hyperlink>
      <w:r>
        <w:fldChar w:fldCharType="end"/>
      </w:r>
    </w:p>
    <w:p>
      <w:pPr>
        <w:sectPr>
          <w:headerReference w:type="default" r:id="rId12"/>
          <w:headerReference w:type="even" r:id="rId12"/>
          <w:footerReference w:type="default" r:id="rId11"/>
          <w:footerReference w:type="even" r:id="rId11"/>
          <w:type w:val="nextPage"/>
          <w:pgSz w:w="11906" w:h="16838"/>
          <w:pgMar w:top="1700" w:right="1531" w:bottom="1700" w:left="1531" w:header="850" w:footer="330" w:gutter="0"/>
          <w:cols w:space="720"/>
          <w:docGrid w:linePitch="360"/>
        </w:sectPr>
      </w:pPr>
    </w:p>
    <w:p>
      <w:pPr>
        <w:pStyle w:val="Heading1"/>
        <w:pBdr>
          <w:bottom w:val="single" w:sz="12" w:space="10" w:color="007614"/>
        </w:pBdr>
        <w:spacing w:before="120" w:after="380" w:line="600" w:lineRule="exact"/>
        <w:jc w:val="left"/>
      </w:pPr>
      <w:bookmarkStart w:id="1" w:name="_h0"/>
      <w:r>
        <w:rPr>
          <w:rFonts w:ascii="Barlow Condensed" w:hAnsi="Barlow Condensed" w:cs="Barlow Condensed" w:eastAsia="Barlow Condensed"/>
          <w:b/>
          <w:bCs/>
          <w:color w:val="007614"/>
          <w:sz w:val="52"/>
          <w:szCs w:val="52"/>
        </w:rPr>
        <w:t xml:space="preserve">1 </w:t>
      </w:r>
      <w:r>
        <w:rPr>
          <w:rFonts w:ascii="Barlow Condensed" w:hAnsi="Barlow Condensed" w:cs="Barlow Condensed" w:eastAsia="Barlow Condensed"/>
          <w:b/>
          <w:bCs/>
          <w:color w:val="01366F"/>
          <w:sz w:val="52"/>
          <w:szCs w:val="52"/>
        </w:rPr>
        <w:t xml:space="preserve">INTRODUÇÃO</w:t>
      </w:r>
      <w:bookmarkEnd w:id="1"/>
    </w:p>
    <w:p>
      <w:pPr>
        <w:spacing w:before="0" w:after="140" w:line="300" w:lineRule="auto"/>
        <w:jc w:val="both"/>
      </w:pPr>
      <w:r>
        <w:rPr>
          <w:rFonts w:ascii="Barlow" w:hAnsi="Barlow" w:cs="Barlow" w:eastAsia="Barlow"/>
          <w:color w:val="0F2440"/>
          <w:sz w:val="20"/>
          <w:szCs w:val="20"/>
        </w:rPr>
        <w:t xml:space="preserve">A saúde de uma população é produzida pelas condições materiais e pelas relações sociais que se inscrevem no território, e não se distribui ao acaso no espaço urbano (LAURELL, 1982; BREILH, 2006; BUSS; PELLEGRINI FILHO, 2007). O Sistema Único de Saúde (SUS) incorporou essa concepção ampliada em seu marco constitucional e legal (BRASIL, 1988; 1990) e organizou a Atenção Primária à Saúde (APS) com base territorial. Ainda assim, os sistemas de informação e as rotinas dos serviços nem sempre reconhecem, com oportunidade e granularidade suficientes, os problemas que os moradores percebem no cotidiano, sobretudo nas periferias urbanas, onde a distância entre o território vivido e o território registrado tende a ser maior (PAIM, 2018).</w:t>
      </w:r>
    </w:p>
    <w:p>
      <w:pPr>
        <w:spacing w:before="0" w:after="140" w:line="300" w:lineRule="auto"/>
        <w:jc w:val="both"/>
      </w:pPr>
      <w:r>
        <w:rPr>
          <w:rFonts w:ascii="Barlow" w:hAnsi="Barlow" w:cs="Barlow" w:eastAsia="Barlow"/>
          <w:color w:val="0F2440"/>
          <w:sz w:val="20"/>
          <w:szCs w:val="20"/>
        </w:rPr>
        <w:t xml:space="preserve">A vigilância popular em saúde tem sido proposta como forma de aproximar essas duas realidades, ao reconhecer moradores e organizações comunitárias como produtores legítimos de conhecimento sobre o próprio território (MACHADO et al., 2024; OLIVEIRA et al., 2024). Sua contribuição, contudo, não pode ser presumida. Ela depende da qualidade dos registros, da segurança de quem observa, da disposição e da capacidade dos serviços de responder e das condições que permitem sustentar a participação ao longo do tempo. Experiências participativas também podem reproduzir assimetrias de voz, sobrecarregar lideranças e gerar expectativas que as instituições não atendem (TRAD; ESPERIDIÃO, 2009).</w:t>
      </w:r>
    </w:p>
    <w:p>
      <w:pPr>
        <w:spacing w:before="0" w:after="140" w:line="300" w:lineRule="auto"/>
        <w:jc w:val="both"/>
      </w:pPr>
      <w:r>
        <w:rPr>
          <w:rFonts w:ascii="Barlow" w:hAnsi="Barlow" w:cs="Barlow" w:eastAsia="Barlow"/>
          <w:color w:val="0F2440"/>
          <w:sz w:val="20"/>
          <w:szCs w:val="20"/>
        </w:rPr>
        <w:t xml:space="preserve">A Plataforma de Inteligência Cooperativa com a Atenção Primária à Saúde (PICAPS), desenvolvida pelo CoLaboratório de Ciência, Tecnologia, Inovação e Sociedade (CTIS) da Fiocruz Brasília em parceria com a Universidade de Brasília (UnB) e a Secretaria de Estado de Saúde do Distrito Federal (SES-DF), opera desde 2020 em territórios do Distrito Federal (MARTINS et al., 2024; SELLERA et al., 2019). Sua metodologia de governança participativa territorial organiza-se em seis etapas encadeadas: a ativação das redes sociotécnicas do território; o diagnóstico multidimensional e a cartografia social realizados com essa rede, segundo os Diálogos Prospectivos Territoriais (DPT); a elaboração do Plano Popular; a formação de pesquisadores populares entre os participantes da cartografia; e a instalação das Salas de Cooperação Social (SCS), nas quais esses pesquisadores atuam na vigilância popular em saúde e na defesa, promoção e articulação para a efetivação do Plano Popular (FIOCRUZ BRASÍLIA, 2026a; 2026b).</w:t>
      </w:r>
    </w:p>
    <w:p>
      <w:pPr>
        <w:spacing w:before="0" w:after="140" w:line="300" w:lineRule="auto"/>
        <w:jc w:val="both"/>
      </w:pPr>
      <w:r>
        <w:rPr>
          <w:rFonts w:ascii="Barlow" w:hAnsi="Barlow" w:cs="Barlow" w:eastAsia="Barlow"/>
          <w:color w:val="0F2440"/>
          <w:sz w:val="20"/>
          <w:szCs w:val="20"/>
        </w:rPr>
        <w:t xml:space="preserve">Este projeto propõe um estudo de caso de métodos mistos da implementação dessa metodologia no Sol Nascente/Pôr do Sol (Região Administrativa XXXII), durante o seu primeiro ciclo de implantação. Um componente qualitativo longitudinal acompanha a metodologia em ação; um inquérito domiciliar, com questionário que combina questões estruturadas e abertas, dimensiona os determinantes sociais da saúde nos quatro setores do território. O foco não é estimar o efeito da intervenção sobre indicadores de saúde, objetivo para o qual o desenho de um único território e o horizonte de 36 meses seriam insuficientes. O foco é compreender </w:t>
      </w:r>
      <w:r>
        <w:rPr>
          <w:rFonts w:ascii="Barlow SemiBold" w:hAnsi="Barlow SemiBold" w:cs="Barlow SemiBold" w:eastAsia="Barlow SemiBold"/>
          <w:color w:val="01366F"/>
          <w:sz w:val="20"/>
          <w:szCs w:val="20"/>
        </w:rPr>
        <w:t xml:space="preserve">como, para quem e em que condições</w:t>
      </w:r>
      <w:r>
        <w:rPr>
          <w:rFonts w:ascii="Barlow" w:hAnsi="Barlow" w:cs="Barlow" w:eastAsia="Barlow"/>
          <w:color w:val="0F2440"/>
          <w:sz w:val="20"/>
          <w:szCs w:val="20"/>
        </w:rPr>
        <w:t xml:space="preserve"> a metodologia transforma conhecimentos produzidos no território em deliberação coletiva e em respostas dos serviços de saúde, e se os problemas que ela torna visíveis correspondem às condições que mais pesam sobre a saúde dos moradores.</w:t>
      </w:r>
    </w:p>
    <w:p>
      <w:pPr>
        <w:spacing w:before="0" w:after="140" w:line="300" w:lineRule="auto"/>
        <w:jc w:val="both"/>
        <w:sectPr>
          <w:headerReference w:type="default" r:id="rId13"/>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O documento está organizado em onze seções. Após esta introdução, apresentam-se a justificativa (seção 2), o problema, as questões e os pressupostos (seção 3), os objetivos (seção 4) e o referencial teórico, que culmina na teoria inicial do programa (seção 5). A seção 6 detalha a metodologia; a seção 7, os aspectos éticos; a seção 8, as limitações; a seção 9, os resultados esperados; e as seções 10 e 11, o cronograma e os recursos.</w:t>
      </w:r>
    </w:p>
    <w:p>
      <w:pPr>
        <w:pStyle w:val="Heading1"/>
        <w:pBdr>
          <w:bottom w:val="single" w:sz="12" w:space="10" w:color="007614"/>
        </w:pBdr>
        <w:spacing w:before="120" w:after="380" w:line="600" w:lineRule="exact"/>
        <w:jc w:val="left"/>
      </w:pPr>
      <w:bookmarkStart w:id="2" w:name="_h1"/>
      <w:r>
        <w:rPr>
          <w:rFonts w:ascii="Barlow Condensed" w:hAnsi="Barlow Condensed" w:cs="Barlow Condensed" w:eastAsia="Barlow Condensed"/>
          <w:b/>
          <w:bCs/>
          <w:color w:val="007614"/>
          <w:sz w:val="52"/>
          <w:szCs w:val="52"/>
        </w:rPr>
        <w:t xml:space="preserve">2 </w:t>
      </w:r>
      <w:r>
        <w:rPr>
          <w:rFonts w:ascii="Barlow Condensed" w:hAnsi="Barlow Condensed" w:cs="Barlow Condensed" w:eastAsia="Barlow Condensed"/>
          <w:b/>
          <w:bCs/>
          <w:color w:val="01366F"/>
          <w:sz w:val="52"/>
          <w:szCs w:val="52"/>
        </w:rPr>
        <w:t xml:space="preserve">JUSTIFICATIVA</w:t>
      </w:r>
      <w:bookmarkEnd w:id="2"/>
    </w:p>
    <w:p>
      <w:pPr>
        <w:spacing w:before="0" w:after="140" w:line="300" w:lineRule="auto"/>
        <w:jc w:val="both"/>
      </w:pPr>
      <w:r>
        <w:rPr>
          <w:rFonts w:ascii="Barlow" w:hAnsi="Barlow" w:cs="Barlow" w:eastAsia="Barlow"/>
          <w:color w:val="0F2440"/>
          <w:sz w:val="20"/>
          <w:szCs w:val="20"/>
        </w:rPr>
        <w:t xml:space="preserve">A justificativa do estudo assenta-se em quatro argumentos: uma lacuna de conhecimento, uma necessidade avaliativa da própria intervenção, uma demanda de gestão e a ausência de dados domiciliares sobre os determinantes sociais da saúde no território.</w:t>
      </w:r>
    </w:p>
    <w:p>
      <w:pPr>
        <w:spacing w:before="0" w:after="140" w:line="300" w:lineRule="auto"/>
        <w:jc w:val="both"/>
      </w:pPr>
      <w:r>
        <w:rPr>
          <w:rFonts w:ascii="Barlow" w:hAnsi="Barlow" w:cs="Barlow" w:eastAsia="Barlow"/>
          <w:color w:val="0F2440"/>
          <w:sz w:val="20"/>
          <w:szCs w:val="20"/>
        </w:rPr>
        <w:t xml:space="preserve">O primeiro argumento é a </w:t>
      </w:r>
      <w:r>
        <w:rPr>
          <w:rFonts w:ascii="Barlow SemiBold" w:hAnsi="Barlow SemiBold" w:cs="Barlow SemiBold" w:eastAsia="Barlow SemiBold"/>
          <w:color w:val="01366F"/>
          <w:sz w:val="20"/>
          <w:szCs w:val="20"/>
        </w:rPr>
        <w:t xml:space="preserve">lacuna de conhecimento</w:t>
      </w:r>
      <w:r>
        <w:rPr>
          <w:rFonts w:ascii="Barlow" w:hAnsi="Barlow" w:cs="Barlow" w:eastAsia="Barlow"/>
          <w:color w:val="0F2440"/>
          <w:sz w:val="20"/>
          <w:szCs w:val="20"/>
        </w:rPr>
        <w:t xml:space="preserve">. A literatura brasileira sobre vigilância popular descreve experiências e fundamenta o conceito (MACHADO et al., 2024; OLIVEIRA et al., 2024), mas são escassos os estudos que acompanham longitudinalmente o que acontece com a informação produzida pela comunidade depois que ela é registrada: por onde circula, como é traduzida para a linguagem dos serviços, quem a valida, quando produz resposta e quando se perde. Essa trajetória é justamente o elo do qual depende qualquer efeito sobre a saúde, e é o elo menos estudado.</w:t>
      </w:r>
    </w:p>
    <w:p>
      <w:pPr>
        <w:spacing w:before="0" w:after="140" w:line="300" w:lineRule="auto"/>
        <w:jc w:val="both"/>
      </w:pPr>
      <w:r>
        <w:rPr>
          <w:rFonts w:ascii="Barlow" w:hAnsi="Barlow" w:cs="Barlow" w:eastAsia="Barlow"/>
          <w:color w:val="0F2440"/>
          <w:sz w:val="20"/>
          <w:szCs w:val="20"/>
        </w:rPr>
        <w:t xml:space="preserve">O segundo argumento é </w:t>
      </w:r>
      <w:r>
        <w:rPr>
          <w:rFonts w:ascii="Barlow SemiBold" w:hAnsi="Barlow SemiBold" w:cs="Barlow SemiBold" w:eastAsia="Barlow SemiBold"/>
          <w:color w:val="01366F"/>
          <w:sz w:val="20"/>
          <w:szCs w:val="20"/>
        </w:rPr>
        <w:t xml:space="preserve">avaliativo</w:t>
      </w:r>
      <w:r>
        <w:rPr>
          <w:rFonts w:ascii="Barlow" w:hAnsi="Barlow" w:cs="Barlow" w:eastAsia="Barlow"/>
          <w:color w:val="0F2440"/>
          <w:sz w:val="20"/>
          <w:szCs w:val="20"/>
        </w:rPr>
        <w:t xml:space="preserve">. O referencial do Medical Research Council para intervenções complexas recomenda que a estimação de efeitos seja precedida, ou acompanhada, por uma avaliação de processo capaz de descrever a implementação, os mecanismos e o contexto (MOORE et al., 2015; SKIVINGTON et al., 2021). Sem esse conhecimento, um eventual estudo de efeito não saberia o que está avaliando, nem por que a intervenção funciona ou falha. A PICAPS acumula seis anos de operação, mas sua teoria do programa ainda não foi explicitada nem confrontada sistematicamente com dados empíricos.</w:t>
      </w:r>
    </w:p>
    <w:p>
      <w:pPr>
        <w:spacing w:before="0" w:after="140" w:line="300" w:lineRule="auto"/>
        <w:jc w:val="both"/>
      </w:pPr>
      <w:r>
        <w:rPr>
          <w:rFonts w:ascii="Barlow" w:hAnsi="Barlow" w:cs="Barlow" w:eastAsia="Barlow"/>
          <w:color w:val="0F2440"/>
          <w:sz w:val="20"/>
          <w:szCs w:val="20"/>
        </w:rPr>
        <w:t xml:space="preserve">O terceiro argumento é a </w:t>
      </w:r>
      <w:r>
        <w:rPr>
          <w:rFonts w:ascii="Barlow SemiBold" w:hAnsi="Barlow SemiBold" w:cs="Barlow SemiBold" w:eastAsia="Barlow SemiBold"/>
          <w:color w:val="01366F"/>
          <w:sz w:val="20"/>
          <w:szCs w:val="20"/>
        </w:rPr>
        <w:t xml:space="preserve">demanda de gestão</w:t>
      </w:r>
      <w:r>
        <w:rPr>
          <w:rFonts w:ascii="Barlow" w:hAnsi="Barlow" w:cs="Barlow" w:eastAsia="Barlow"/>
          <w:color w:val="0F2440"/>
          <w:sz w:val="20"/>
          <w:szCs w:val="20"/>
        </w:rPr>
        <w:t xml:space="preserve">. A SES-DF e as equipes de APS precisam saber em que condições os alertas e as demandas oriundos das Salas de Cooperação Social podem ser incorporados às rotinas sem sobrecarregar os serviços, e que arranjos institucionais tornam essa articulação sustentável. O estudo produzirá recomendações diretamente aplicáveis a esse problema.</w:t>
      </w:r>
    </w:p>
    <w:p>
      <w:pPr>
        <w:spacing w:before="0" w:after="140" w:line="300" w:lineRule="auto"/>
        <w:jc w:val="both"/>
      </w:pPr>
      <w:r>
        <w:rPr>
          <w:rFonts w:ascii="Barlow" w:hAnsi="Barlow" w:cs="Barlow" w:eastAsia="Barlow"/>
          <w:color w:val="0F2440"/>
          <w:sz w:val="20"/>
          <w:szCs w:val="20"/>
        </w:rPr>
        <w:t xml:space="preserve">O quarto argumento é a </w:t>
      </w:r>
      <w:r>
        <w:rPr>
          <w:rFonts w:ascii="Barlow SemiBold" w:hAnsi="Barlow SemiBold" w:cs="Barlow SemiBold" w:eastAsia="Barlow SemiBold"/>
          <w:color w:val="01366F"/>
          <w:sz w:val="20"/>
          <w:szCs w:val="20"/>
        </w:rPr>
        <w:t xml:space="preserve">ausência de dados domiciliares sobre determinantes sociais da saúde</w:t>
      </w:r>
      <w:r>
        <w:rPr>
          <w:rFonts w:ascii="Barlow" w:hAnsi="Barlow" w:cs="Barlow" w:eastAsia="Barlow"/>
          <w:color w:val="0F2440"/>
          <w:sz w:val="20"/>
          <w:szCs w:val="20"/>
        </w:rPr>
        <w:t xml:space="preserve"> no território. As fontes disponíveis, como a PDAD-A, produzem estimativas para a Região Administrativa como um todo e não permitem comparar os setores entre si nem descrever grupos internos ao território (IPEDF, 2023). Sem esse dimensionamento, não há como saber se os problemas priorizados nos processos participativos correspondem às condições mais prevalentes ou apenas às mais visíveis para quem participa. O inquérito proposto preenche essa lacuna e oferece às Salas de Cooperação Social uma base de comparação própria.</w:t>
      </w:r>
    </w:p>
    <w:p>
      <w:pPr>
        <w:spacing w:before="0" w:after="140" w:line="300" w:lineRule="auto"/>
        <w:jc w:val="both"/>
        <w:sectPr>
          <w:headerReference w:type="default" r:id="rId17"/>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O Sol Nascente/Pôr do Sol foi escolhido por combinar alta vulnerabilidade e escala compatível com a implantação faseada da metodologia. Segundo o diagnóstico situacional elaborado pela PICAPS a partir da Pesquisa Distrital por Amostra de Domicílios Ampliada (PDAD-A 2024), o território tem cerca de 108,7 mil habitantes, a segunda menor renda domiciliar per capita do Distrito Federal (R$ 846) e a maior proporção de domicílios em ruas que alagam (66%) (FIOCRUZ BRASÍLIA, 2026c). Esses números serão conferidos nas fontes primárias antes da submissão, com ano, recorte territorial e método explicitados. Sua função aqui é apenas situar o caso, não fundamentar inferências.</w:t>
      </w:r>
    </w:p>
    <w:p>
      <w:pPr>
        <w:pStyle w:val="Heading1"/>
        <w:pBdr>
          <w:bottom w:val="single" w:sz="12" w:space="10" w:color="007614"/>
        </w:pBdr>
        <w:spacing w:before="120" w:after="380" w:line="600" w:lineRule="exact"/>
        <w:jc w:val="left"/>
      </w:pPr>
      <w:bookmarkStart w:id="3" w:name="_h2"/>
      <w:r>
        <w:rPr>
          <w:rFonts w:ascii="Barlow Condensed" w:hAnsi="Barlow Condensed" w:cs="Barlow Condensed" w:eastAsia="Barlow Condensed"/>
          <w:b/>
          <w:bCs/>
          <w:color w:val="007614"/>
          <w:sz w:val="52"/>
          <w:szCs w:val="52"/>
        </w:rPr>
        <w:t xml:space="preserve">3 </w:t>
      </w:r>
      <w:r>
        <w:rPr>
          <w:rFonts w:ascii="Barlow Condensed" w:hAnsi="Barlow Condensed" w:cs="Barlow Condensed" w:eastAsia="Barlow Condensed"/>
          <w:b/>
          <w:bCs/>
          <w:color w:val="01366F"/>
          <w:sz w:val="52"/>
          <w:szCs w:val="52"/>
        </w:rPr>
        <w:t xml:space="preserve">PROBLEMA, QUESTÕES E PRESSUPOSTOS</w:t>
      </w:r>
      <w:bookmarkEnd w:id="3"/>
    </w:p>
    <w:p>
      <w:pPr>
        <w:pStyle w:val="Heading2"/>
        <w:keepNext/>
        <w:spacing w:before="340" w:after="120" w:line="264" w:lineRule="auto"/>
        <w:jc w:val="left"/>
      </w:pPr>
      <w:bookmarkStart w:id="4" w:name="_h3"/>
      <w:r>
        <w:rPr>
          <w:rFonts w:ascii="Barlow Condensed SemiBold" w:hAnsi="Barlow Condensed SemiBold" w:cs="Barlow Condensed SemiBold" w:eastAsia="Barlow Condensed SemiBold"/>
          <w:color w:val="007614"/>
          <w:sz w:val="30"/>
          <w:szCs w:val="30"/>
        </w:rPr>
        <w:t xml:space="preserve">3.1 PROBLEMA DE PESQUISA</w:t>
      </w:r>
      <w:bookmarkEnd w:id="4"/>
    </w:p>
    <w:p>
      <w:pPr>
        <w:spacing w:before="0" w:after="140" w:line="300" w:lineRule="auto"/>
        <w:jc w:val="both"/>
      </w:pPr>
      <w:r>
        <w:rPr>
          <w:rFonts w:ascii="Barlow" w:hAnsi="Barlow" w:cs="Barlow" w:eastAsia="Barlow"/>
          <w:color w:val="0F2440"/>
          <w:sz w:val="20"/>
          <w:szCs w:val="20"/>
        </w:rPr>
        <w:t xml:space="preserve">Não se sabe como, para quem e em que condições uma metodologia de governança participativa territorial consegue transformar conhecimentos produzidos pela comunidade em deliberação coletiva legítima e em respostas efetivas dos serviços de APS e de Vigilância em Saúde, nem quais mecanismos explicam os casos em que essa transformação ocorre e aqueles em que fracassa.</w:t>
      </w:r>
    </w:p>
    <w:p>
      <w:pPr>
        <w:pStyle w:val="Heading2"/>
        <w:keepNext/>
        <w:spacing w:before="340" w:after="120" w:line="264" w:lineRule="auto"/>
        <w:jc w:val="left"/>
      </w:pPr>
      <w:bookmarkStart w:id="5" w:name="_h4"/>
      <w:r>
        <w:rPr>
          <w:rFonts w:ascii="Barlow Condensed SemiBold" w:hAnsi="Barlow Condensed SemiBold" w:cs="Barlow Condensed SemiBold" w:eastAsia="Barlow Condensed SemiBold"/>
          <w:color w:val="007614"/>
          <w:sz w:val="30"/>
          <w:szCs w:val="30"/>
        </w:rPr>
        <w:t xml:space="preserve">3.2 OBJETO</w:t>
      </w:r>
      <w:bookmarkEnd w:id="5"/>
    </w:p>
    <w:p>
      <w:pPr>
        <w:spacing w:before="0" w:after="140" w:line="300" w:lineRule="auto"/>
        <w:jc w:val="both"/>
      </w:pPr>
      <w:r>
        <w:rPr>
          <w:rFonts w:ascii="Barlow" w:hAnsi="Barlow" w:cs="Barlow" w:eastAsia="Barlow"/>
          <w:color w:val="0F2440"/>
          <w:sz w:val="20"/>
          <w:szCs w:val="20"/>
        </w:rPr>
        <w:t xml:space="preserve">O objeto é o processo de implementação da metodologia de governança participativa territorial da PICAPS no Sol Nascente/Pôr do Sol, observado em seus quatro setores (Trechos 1, 2 e 3 e Pôr do Sol), da ativação das redes sociotécnicas à operação das Salas de Cooperação Social, com ênfase nas trajetórias que ligam o conhecimento comunitário à resposta institucional, e a distribuição dos determinantes sociais da saúde nesses setores, tomada como contexto e contraponto dos processos participativos.</w:t>
      </w:r>
    </w:p>
    <w:p>
      <w:pPr>
        <w:pStyle w:val="Heading2"/>
        <w:keepNext/>
        <w:spacing w:before="340" w:after="120" w:line="264" w:lineRule="auto"/>
        <w:jc w:val="left"/>
      </w:pPr>
      <w:bookmarkStart w:id="6" w:name="_h5"/>
      <w:r>
        <w:rPr>
          <w:rFonts w:ascii="Barlow Condensed SemiBold" w:hAnsi="Barlow Condensed SemiBold" w:cs="Barlow Condensed SemiBold" w:eastAsia="Barlow Condensed SemiBold"/>
          <w:color w:val="007614"/>
          <w:sz w:val="30"/>
          <w:szCs w:val="30"/>
        </w:rPr>
        <w:t xml:space="preserve">3.3 PERGUNTA CENTRAL</w:t>
      </w:r>
      <w:bookmarkEnd w:id="6"/>
    </w:p>
    <w:p>
      <w:pPr>
        <w:spacing w:before="0" w:after="140" w:line="300" w:lineRule="auto"/>
        <w:jc w:val="both"/>
      </w:pPr>
      <w:r>
        <w:rPr>
          <w:rFonts w:ascii="Barlow" w:hAnsi="Barlow" w:cs="Barlow" w:eastAsia="Barlow"/>
          <w:color w:val="0F2440"/>
          <w:sz w:val="20"/>
          <w:szCs w:val="20"/>
        </w:rPr>
        <w:t xml:space="preserve">Como, para quem e em que condições a metodologia de governança participativa territorial da PICAPS transforma conhecimentos produzidos no território em deliberação coletiva e em respostas dos serviços de saúde no Sol Nascente/Pôr do Sol?</w:t>
      </w:r>
    </w:p>
    <w:p>
      <w:pPr>
        <w:pStyle w:val="Heading2"/>
        <w:keepNext/>
        <w:spacing w:before="340" w:after="120" w:line="264" w:lineRule="auto"/>
        <w:jc w:val="left"/>
      </w:pPr>
      <w:bookmarkStart w:id="7" w:name="_h6"/>
      <w:r>
        <w:rPr>
          <w:rFonts w:ascii="Barlow Condensed SemiBold" w:hAnsi="Barlow Condensed SemiBold" w:cs="Barlow Condensed SemiBold" w:eastAsia="Barlow Condensed SemiBold"/>
          <w:color w:val="007614"/>
          <w:sz w:val="30"/>
          <w:szCs w:val="30"/>
        </w:rPr>
        <w:t xml:space="preserve">3.4 QUESTÕES ESPECÍFICAS</w:t>
      </w:r>
      <w:bookmarkEnd w:id="7"/>
    </w:p>
    <w:p>
      <w:pPr>
        <w:spacing w:before="0" w:after="140" w:line="300" w:lineRule="auto"/>
        <w:jc w:val="both"/>
      </w:pPr>
      <w:r>
        <w:rPr>
          <w:rFonts w:ascii="Barlow" w:hAnsi="Barlow" w:cs="Barlow" w:eastAsia="Barlow"/>
          <w:color w:val="0F2440"/>
          <w:sz w:val="20"/>
          <w:szCs w:val="20"/>
        </w:rPr>
        <w:t xml:space="preserve">A pergunta central desdobra-se em seis questões, cada uma correspondente a um objetivo específico (seção 4) e articulada a fontes e procedimentos analíticos na matriz de consistência (Quadro 7):</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Q1 – como se distribuem os determinantes sociais da saúde entre os setores e os grupos sociais do território, e como os moradores percebem os problemas que afetam sua saúde;</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Q2 – como as redes sociotécnicas são ativadas e quem delas participa, permanece, se afasta ou fica de fora do processo, inclusive da formação de pesquisadores populares;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Q3 – como problemas de saúde são identificados, registrados, validados e priorizados na cartografia social, no Plano Popular e na vigilância popular, e onde os saberes comunitários e institucionais convergem ou divergem;</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Q4 – que trajetórias percorrem os alertas da vigilância popular e as demandas do Plano Popular até a resposta, a recusa ou a ausência de resposta dos serviços e da gestão, e o que explica essas diferenças;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e)</w:t>
      </w:r>
      <w:r>
        <w:rPr>
          <w:rFonts w:ascii="Barlow" w:hAnsi="Barlow" w:cs="Barlow" w:eastAsia="Barlow"/>
          <w:color w:val="0F2440"/>
          <w:sz w:val="20"/>
          <w:szCs w:val="20"/>
        </w:rPr>
        <w:t xml:space="preserve"> Q5 – como as Salas de Cooperação Social se constituem como espaços de governança participativa, quem delibera, com que legitimidade e com que relações de poder, e como isso muda ao longo do tempo;</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f)</w:t>
      </w:r>
      <w:r>
        <w:rPr>
          <w:rFonts w:ascii="Barlow" w:hAnsi="Barlow" w:cs="Barlow" w:eastAsia="Barlow"/>
          <w:color w:val="0F2440"/>
          <w:sz w:val="20"/>
          <w:szCs w:val="20"/>
        </w:rPr>
        <w:t xml:space="preserve"> Q6 – em que contextos e por quais mecanismos a metodologia produz, ou deixa de produzir, os resultados esperados, e que efeitos não previstos ou adversos emergem.</w:t>
      </w:r>
    </w:p>
    <w:p>
      <w:pPr>
        <w:pStyle w:val="Heading2"/>
        <w:keepNext/>
        <w:spacing w:before="340" w:after="120" w:line="264" w:lineRule="auto"/>
        <w:jc w:val="left"/>
      </w:pPr>
      <w:bookmarkStart w:id="8" w:name="_h7"/>
      <w:r>
        <w:rPr>
          <w:rFonts w:ascii="Barlow Condensed SemiBold" w:hAnsi="Barlow Condensed SemiBold" w:cs="Barlow Condensed SemiBold" w:eastAsia="Barlow Condensed SemiBold"/>
          <w:color w:val="007614"/>
          <w:sz w:val="30"/>
          <w:szCs w:val="30"/>
        </w:rPr>
        <w:t xml:space="preserve">3.5 PRESSUPOSTOS ORIENTADORES</w:t>
      </w:r>
      <w:bookmarkEnd w:id="8"/>
    </w:p>
    <w:p>
      <w:pPr>
        <w:spacing w:before="0" w:after="140" w:line="300" w:lineRule="auto"/>
        <w:jc w:val="both"/>
      </w:pPr>
      <w:r>
        <w:rPr>
          <w:rFonts w:ascii="Barlow" w:hAnsi="Barlow" w:cs="Barlow" w:eastAsia="Barlow"/>
          <w:color w:val="0F2440"/>
          <w:sz w:val="20"/>
          <w:szCs w:val="20"/>
        </w:rPr>
        <w:t xml:space="preserve">Em lugar de hipóteses a testar, o estudo adota pressupostos sensibilizadores, que orientam a atenção do campo sem predeterminar os achados e serão ativamente confrontados com casos divergentes: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P1 – </w:t>
      </w:r>
      <w:r>
        <w:rPr>
          <w:rFonts w:ascii="Barlow SemiBold" w:hAnsi="Barlow SemiBold" w:cs="Barlow SemiBold" w:eastAsia="Barlow SemiBold"/>
          <w:color w:val="01366F"/>
          <w:sz w:val="20"/>
          <w:szCs w:val="20"/>
        </w:rPr>
        <w:t xml:space="preserve">pluralidade epistêmica</w:t>
      </w:r>
      <w:r>
        <w:rPr>
          <w:rFonts w:ascii="Barlow" w:hAnsi="Barlow" w:cs="Barlow" w:eastAsia="Barlow"/>
          <w:color w:val="0F2440"/>
          <w:sz w:val="20"/>
          <w:szCs w:val="20"/>
        </w:rPr>
        <w:t xml:space="preserve">: registros comunitários e institucionais expressam formas distintas de observar, classificar e priorizar problemas, e nenhuma delas será tratada a priori como padrão de verdade (FUNTOWICZ; RAVETZ, 1993);</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P2 – </w:t>
      </w:r>
      <w:r>
        <w:rPr>
          <w:rFonts w:ascii="Barlow SemiBold" w:hAnsi="Barlow SemiBold" w:cs="Barlow SemiBold" w:eastAsia="Barlow SemiBold"/>
          <w:color w:val="01366F"/>
          <w:sz w:val="20"/>
          <w:szCs w:val="20"/>
        </w:rPr>
        <w:t xml:space="preserve">tradução</w:t>
      </w:r>
      <w:r>
        <w:rPr>
          <w:rFonts w:ascii="Barlow" w:hAnsi="Barlow" w:cs="Barlow" w:eastAsia="Barlow"/>
          <w:color w:val="0F2440"/>
          <w:sz w:val="20"/>
          <w:szCs w:val="20"/>
        </w:rPr>
        <w:t xml:space="preserve">: a informação comunitária só produz resposta quando é traduzida para categorias, canais e atribuições que os serviços reconhecem, e essa tradução depende de mediadores e de objetos-fronteira (CALLON, 1986; STAR; GRIESEMER, 1989);</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P3 – </w:t>
      </w:r>
      <w:r>
        <w:rPr>
          <w:rFonts w:ascii="Barlow SemiBold" w:hAnsi="Barlow SemiBold" w:cs="Barlow SemiBold" w:eastAsia="Barlow SemiBold"/>
          <w:color w:val="01366F"/>
          <w:sz w:val="20"/>
          <w:szCs w:val="20"/>
        </w:rPr>
        <w:t xml:space="preserve">participação desigual</w:t>
      </w:r>
      <w:r>
        <w:rPr>
          <w:rFonts w:ascii="Barlow" w:hAnsi="Barlow" w:cs="Barlow" w:eastAsia="Barlow"/>
          <w:color w:val="0F2440"/>
          <w:sz w:val="20"/>
          <w:szCs w:val="20"/>
        </w:rPr>
        <w:t xml:space="preserve">: espaços participativos podem ampliar vozes antes ausentes e, ao mesmo tempo, reproduzir assimetrias de representação e influência (TRAD; ESPERIDIÃO, 2009);</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P4 – </w:t>
      </w:r>
      <w:r>
        <w:rPr>
          <w:rFonts w:ascii="Barlow SemiBold" w:hAnsi="Barlow SemiBold" w:cs="Barlow SemiBold" w:eastAsia="Barlow SemiBold"/>
          <w:color w:val="01366F"/>
          <w:sz w:val="20"/>
          <w:szCs w:val="20"/>
        </w:rPr>
        <w:t xml:space="preserve">contingência</w:t>
      </w:r>
      <w:r>
        <w:rPr>
          <w:rFonts w:ascii="Barlow" w:hAnsi="Barlow" w:cs="Barlow" w:eastAsia="Barlow"/>
          <w:color w:val="0F2440"/>
          <w:sz w:val="20"/>
          <w:szCs w:val="20"/>
        </w:rPr>
        <w:t xml:space="preserve">: os resultados dependem do contexto, da continuidade das equipes, dos recursos e de acontecimentos externos, e incluem efeitos nulos, contraditórios e adversos, como demandas registradas que nunca recebem resposta;</w:t>
      </w:r>
    </w:p>
    <w:p>
      <w:pPr>
        <w:spacing w:before="0" w:after="90" w:line="300" w:lineRule="auto"/>
        <w:ind w:left="420" w:hanging="300"/>
        <w:jc w:val="both"/>
        <w:sectPr>
          <w:headerReference w:type="default" r:id="rId18"/>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Condensed SemiBold" w:hAnsi="Barlow Condensed SemiBold" w:cs="Barlow Condensed SemiBold" w:eastAsia="Barlow Condensed SemiBold"/>
          <w:color w:val="007614"/>
          <w:sz w:val="20"/>
          <w:szCs w:val="20"/>
        </w:rPr>
        <w:t xml:space="preserve">e)</w:t>
      </w:r>
      <w:r>
        <w:rPr>
          <w:rFonts w:ascii="Barlow" w:hAnsi="Barlow" w:cs="Barlow" w:eastAsia="Barlow"/>
          <w:color w:val="0F2440"/>
          <w:sz w:val="20"/>
          <w:szCs w:val="20"/>
        </w:rPr>
        <w:t xml:space="preserve"> P5 – </w:t>
      </w:r>
      <w:r>
        <w:rPr>
          <w:rFonts w:ascii="Barlow SemiBold" w:hAnsi="Barlow SemiBold" w:cs="Barlow SemiBold" w:eastAsia="Barlow SemiBold"/>
          <w:color w:val="01366F"/>
          <w:sz w:val="20"/>
          <w:szCs w:val="20"/>
        </w:rPr>
        <w:t xml:space="preserve">medida e narrativa</w:t>
      </w:r>
      <w:r>
        <w:rPr>
          <w:rFonts w:ascii="Barlow" w:hAnsi="Barlow" w:cs="Barlow" w:eastAsia="Barlow"/>
          <w:color w:val="0F2440"/>
          <w:sz w:val="20"/>
          <w:szCs w:val="20"/>
        </w:rPr>
        <w:t xml:space="preserve">: o dimensionamento dos determinantes por inquérito e as prioridades construídas nos processos participativos são representações distintas do território; discordâncias entre elas, como um problema prevalente que não chega ao Plano Popular, são informação sobre quem é ouvido e sobre o que se torna visível, e não erro de uma das fontes.</w:t>
      </w:r>
    </w:p>
    <w:p>
      <w:pPr>
        <w:pStyle w:val="Heading1"/>
        <w:pBdr>
          <w:bottom w:val="single" w:sz="12" w:space="10" w:color="007614"/>
        </w:pBdr>
        <w:spacing w:before="120" w:after="380" w:line="600" w:lineRule="exact"/>
        <w:jc w:val="left"/>
      </w:pPr>
      <w:bookmarkStart w:id="9" w:name="_h8"/>
      <w:r>
        <w:rPr>
          <w:rFonts w:ascii="Barlow Condensed" w:hAnsi="Barlow Condensed" w:cs="Barlow Condensed" w:eastAsia="Barlow Condensed"/>
          <w:b/>
          <w:bCs/>
          <w:color w:val="007614"/>
          <w:sz w:val="52"/>
          <w:szCs w:val="52"/>
        </w:rPr>
        <w:t xml:space="preserve">4 </w:t>
      </w:r>
      <w:r>
        <w:rPr>
          <w:rFonts w:ascii="Barlow Condensed" w:hAnsi="Barlow Condensed" w:cs="Barlow Condensed" w:eastAsia="Barlow Condensed"/>
          <w:b/>
          <w:bCs/>
          <w:color w:val="01366F"/>
          <w:sz w:val="52"/>
          <w:szCs w:val="52"/>
        </w:rPr>
        <w:t xml:space="preserve">OBJETIVOS</w:t>
      </w:r>
      <w:bookmarkEnd w:id="9"/>
    </w:p>
    <w:p>
      <w:pPr>
        <w:pStyle w:val="Heading2"/>
        <w:keepNext/>
        <w:spacing w:before="340" w:after="120" w:line="264" w:lineRule="auto"/>
        <w:jc w:val="left"/>
      </w:pPr>
      <w:bookmarkStart w:id="10" w:name="_h9"/>
      <w:r>
        <w:rPr>
          <w:rFonts w:ascii="Barlow Condensed SemiBold" w:hAnsi="Barlow Condensed SemiBold" w:cs="Barlow Condensed SemiBold" w:eastAsia="Barlow Condensed SemiBold"/>
          <w:color w:val="007614"/>
          <w:sz w:val="30"/>
          <w:szCs w:val="30"/>
        </w:rPr>
        <w:t xml:space="preserve">4.1 OBJETIVO GERAL</w:t>
      </w:r>
      <w:bookmarkEnd w:id="10"/>
    </w:p>
    <w:p>
      <w:pPr>
        <w:spacing w:before="0" w:after="140" w:line="300" w:lineRule="auto"/>
        <w:jc w:val="both"/>
      </w:pPr>
      <w:r>
        <w:rPr>
          <w:rFonts w:ascii="Barlow" w:hAnsi="Barlow" w:cs="Barlow" w:eastAsia="Barlow"/>
          <w:color w:val="0F2440"/>
          <w:sz w:val="20"/>
          <w:szCs w:val="20"/>
        </w:rPr>
        <w:t xml:space="preserve">Analisar como, para quem e em que condições a metodologia de governança participativa territorial da PICAPS é implementada e transforma conhecimentos produzidos no território em deliberação coletiva e em respostas dos serviços de Atenção Primária à Saúde e de Vigilância em Saúde, no Sol Nascente/Pôr do Sol, Distrito Federal, ao longo de seu primeiro ciclo de implantação, articulando essa análise ao dimensionamento dos determinantes sociais da saúde nos setores do território.</w:t>
      </w:r>
    </w:p>
    <w:p>
      <w:pPr>
        <w:pStyle w:val="Heading2"/>
        <w:keepNext/>
        <w:spacing w:before="340" w:after="120" w:line="264" w:lineRule="auto"/>
        <w:jc w:val="left"/>
      </w:pPr>
      <w:bookmarkStart w:id="11" w:name="_h10"/>
      <w:r>
        <w:rPr>
          <w:rFonts w:ascii="Barlow Condensed SemiBold" w:hAnsi="Barlow Condensed SemiBold" w:cs="Barlow Condensed SemiBold" w:eastAsia="Barlow Condensed SemiBold"/>
          <w:color w:val="007614"/>
          <w:sz w:val="30"/>
          <w:szCs w:val="30"/>
        </w:rPr>
        <w:t xml:space="preserve">4.2 OBJETIVOS ESPECÍFICOS</w:t>
      </w:r>
      <w:bookmarkEnd w:id="11"/>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dimensionar os determinantes sociais da saúde nos quatro setores do território, por meio de inquérito domiciliar com questionário misto, descrevendo sua distribuição entre setores e grupos sociais e as percepções dos moradores sobre os problemas que afetam sua saúde (Q1);</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analisar a ativação das redes sociotécnicas e a constituição do grupo de pesquisadores populares, identificando quem participa, permanece, se afasta ou fica de fora, e por quê (Q2);</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compreender como problemas de saúde são identificados, registrados, validados e priorizados por atores comunitários e institucionais, examinando convergências e divergências entre seus saberes e confrontando as prioridades construídas com o dimensionamento dos determinantes (Q3);</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reconstruir as trajetórias de alertas da vigilância popular e de demandas do Plano Popular até a resposta, a recusa ou a ausência de resposta, identificando as condições que explicam cada desfecho (Q4);</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e)</w:t>
      </w:r>
      <w:r>
        <w:rPr>
          <w:rFonts w:ascii="Barlow" w:hAnsi="Barlow" w:cs="Barlow" w:eastAsia="Barlow"/>
          <w:color w:val="0F2440"/>
          <w:sz w:val="20"/>
          <w:szCs w:val="20"/>
        </w:rPr>
        <w:t xml:space="preserve"> analisar a constituição e a transformação das Salas de Cooperação Social como espaços de governança participativa, considerando deliberação, legitimidade e relações de poder (Q5);</w:t>
      </w:r>
    </w:p>
    <w:p>
      <w:pPr>
        <w:spacing w:before="0" w:after="90" w:line="300" w:lineRule="auto"/>
        <w:ind w:left="420" w:hanging="300"/>
        <w:jc w:val="both"/>
        <w:sectPr>
          <w:headerReference w:type="default" r:id="rId19"/>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Condensed SemiBold" w:hAnsi="Barlow Condensed SemiBold" w:cs="Barlow Condensed SemiBold" w:eastAsia="Barlow Condensed SemiBold"/>
          <w:color w:val="007614"/>
          <w:sz w:val="20"/>
          <w:szCs w:val="20"/>
        </w:rPr>
        <w:t xml:space="preserve">f)</w:t>
      </w:r>
      <w:r>
        <w:rPr>
          <w:rFonts w:ascii="Barlow" w:hAnsi="Barlow" w:cs="Barlow" w:eastAsia="Barlow"/>
          <w:color w:val="0F2440"/>
          <w:sz w:val="20"/>
          <w:szCs w:val="20"/>
        </w:rPr>
        <w:t xml:space="preserve"> refinar a teoria do programa da metodologia, explicitando configurações de contexto, mecanismo e resultado que expliquem resultados esperados, não esperados e adversos (Q6).</w:t>
      </w:r>
    </w:p>
    <w:p>
      <w:pPr>
        <w:pStyle w:val="Heading1"/>
        <w:pBdr>
          <w:bottom w:val="single" w:sz="12" w:space="10" w:color="007614"/>
        </w:pBdr>
        <w:spacing w:before="120" w:after="380" w:line="600" w:lineRule="exact"/>
        <w:jc w:val="left"/>
      </w:pPr>
      <w:bookmarkStart w:id="12" w:name="_h11"/>
      <w:r>
        <w:rPr>
          <w:rFonts w:ascii="Barlow Condensed" w:hAnsi="Barlow Condensed" w:cs="Barlow Condensed" w:eastAsia="Barlow Condensed"/>
          <w:b/>
          <w:bCs/>
          <w:color w:val="007614"/>
          <w:sz w:val="52"/>
          <w:szCs w:val="52"/>
        </w:rPr>
        <w:t xml:space="preserve">5 </w:t>
      </w:r>
      <w:r>
        <w:rPr>
          <w:rFonts w:ascii="Barlow Condensed" w:hAnsi="Barlow Condensed" w:cs="Barlow Condensed" w:eastAsia="Barlow Condensed"/>
          <w:b/>
          <w:bCs/>
          <w:color w:val="01366F"/>
          <w:sz w:val="52"/>
          <w:szCs w:val="52"/>
        </w:rPr>
        <w:t xml:space="preserve">REFERENCIAL TEÓRICO</w:t>
      </w:r>
      <w:bookmarkEnd w:id="12"/>
    </w:p>
    <w:p>
      <w:pPr>
        <w:spacing w:before="0" w:after="140" w:line="300" w:lineRule="auto"/>
        <w:jc w:val="both"/>
      </w:pPr>
      <w:r>
        <w:rPr>
          <w:rFonts w:ascii="Barlow" w:hAnsi="Barlow" w:cs="Barlow" w:eastAsia="Barlow"/>
          <w:color w:val="0F2440"/>
          <w:sz w:val="20"/>
          <w:szCs w:val="20"/>
        </w:rPr>
        <w:t xml:space="preserve">O referencial organiza-se em três níveis com funções distintas: uma teoria do problema, que explica por que a vulnerabilidade é territorial e socialmente produzida; uma teoria da intervenção, que explica como a metodologia pretende agir; e uma perspectiva avaliativa, que define como a pesquisa vai examiná-la. A seção termina com a teoria inicial do programa, que é o ponto de partida da análise.</w:t>
      </w:r>
    </w:p>
    <w:p>
      <w:pPr>
        <w:pStyle w:val="Heading2"/>
        <w:keepNext/>
        <w:spacing w:before="340" w:after="120" w:line="264" w:lineRule="auto"/>
        <w:jc w:val="left"/>
      </w:pPr>
      <w:bookmarkStart w:id="13" w:name="_h12"/>
      <w:r>
        <w:rPr>
          <w:rFonts w:ascii="Barlow Condensed SemiBold" w:hAnsi="Barlow Condensed SemiBold" w:cs="Barlow Condensed SemiBold" w:eastAsia="Barlow Condensed SemiBold"/>
          <w:color w:val="007614"/>
          <w:sz w:val="30"/>
          <w:szCs w:val="30"/>
        </w:rPr>
        <w:t xml:space="preserve">5.1 DETERMINAÇÃO SOCIAL DA SAÚDE E TERRITÓRIO USADO</w:t>
      </w:r>
      <w:bookmarkEnd w:id="13"/>
    </w:p>
    <w:p>
      <w:pPr>
        <w:spacing w:before="0" w:after="140" w:line="300" w:lineRule="auto"/>
        <w:jc w:val="both"/>
      </w:pPr>
      <w:r>
        <w:rPr>
          <w:rFonts w:ascii="Barlow" w:hAnsi="Barlow" w:cs="Barlow" w:eastAsia="Barlow"/>
          <w:color w:val="0F2440"/>
          <w:sz w:val="20"/>
          <w:szCs w:val="20"/>
        </w:rPr>
        <w:t xml:space="preserve">A epidemiologia crítica latino-americana compreende o processo saúde-doença como expressão das formas de vida coletivas e das relações de produção e reprodução social (LAURELL, 1982; BREILH, 2006). No Brasil, essa perspectiva sustentou a Reforma Sanitária e a concepção ampliada de saúde do SUS (BUSS; PELLEGRINI FILHO, 2007; PAIM, 2018). Para apreendê-la empiricamente, o estudo adota a categoria de território usado de Milton Santos (2002): o espaço como unidade entre a materialidade e as ações de quem o habita, atravessado por verticalidades, que impõem lógicas externas, e por horizontalidades, as solidariedades e redes construídas localmente. A vulnerabilidade será tratada como processo histórico e espacialmente desigual, e não como atributo das comunidades.</w:t>
      </w:r>
    </w:p>
    <w:p>
      <w:pPr>
        <w:spacing w:before="0" w:after="140" w:line="300" w:lineRule="auto"/>
        <w:jc w:val="both"/>
      </w:pPr>
      <w:r>
        <w:rPr>
          <w:rFonts w:ascii="Barlow" w:hAnsi="Barlow" w:cs="Barlow" w:eastAsia="Barlow"/>
          <w:color w:val="0F2440"/>
          <w:sz w:val="20"/>
          <w:szCs w:val="20"/>
        </w:rPr>
        <w:t xml:space="preserve">Para dimensionar esses processos no nível dos domicílios, o estudo adota o referencial da Comissão sobre Determinantes Sociais da Saúde da Organização Mundial da Saúde (SOLAR; IRWIN, 2010). Ele distingue os determinantes estruturais, que estratificam a sociedade segundo renda, escolaridade, ocupação, classe social, gênero e raça ou etnia, dos determinantes intermediários: as circunstâncias materiais, como moradia, alimentação e ambiente; as circunstâncias psicossociais, como estressores e apoio social; os comportamentos; e o próprio sistema de saúde. A coesão e o capital social atravessam os dois níveis. Esse referencial não substitui a perspectiva da determinação social: oferece uma grade operacional para o questionário, enquanto a interpretação dos achados permanece ancorada na produção histórica e territorial das desigualdades.</w:t>
      </w:r>
    </w:p>
    <w:p>
      <w:pPr>
        <w:pStyle w:val="Heading2"/>
        <w:keepNext/>
        <w:spacing w:before="340" w:after="120" w:line="264" w:lineRule="auto"/>
        <w:jc w:val="left"/>
      </w:pPr>
      <w:bookmarkStart w:id="14" w:name="_h13"/>
      <w:r>
        <w:rPr>
          <w:rFonts w:ascii="Barlow Condensed SemiBold" w:hAnsi="Barlow Condensed SemiBold" w:cs="Barlow Condensed SemiBold" w:eastAsia="Barlow Condensed SemiBold"/>
          <w:color w:val="007614"/>
          <w:sz w:val="30"/>
          <w:szCs w:val="30"/>
        </w:rPr>
        <w:t xml:space="preserve">5.2 VIGILÂNCIA POPULAR, EDUCAÇÃO POPULAR E COPRODUÇÃO DO CONHECIMENTO</w:t>
      </w:r>
      <w:bookmarkEnd w:id="14"/>
    </w:p>
    <w:p>
      <w:pPr>
        <w:spacing w:before="0" w:after="140" w:line="300" w:lineRule="auto"/>
        <w:jc w:val="both"/>
      </w:pPr>
      <w:r>
        <w:rPr>
          <w:rFonts w:ascii="Barlow" w:hAnsi="Barlow" w:cs="Barlow" w:eastAsia="Barlow"/>
          <w:color w:val="0F2440"/>
          <w:sz w:val="20"/>
          <w:szCs w:val="20"/>
        </w:rPr>
        <w:t xml:space="preserve">A vigilância popular em saúde distingue-se da vigilância institucional por reconhecer os moradores como sujeitos da observação, da interpretação e da ação sobre o território, e não como fontes de dados (MACHADO et al., 2024; OLIVEIRA et al., 2024). Seu fundamento pedagógico está na educação popular de Paulo Freire (1987), que concebe o conhecimento como produção dialógica a partir da leitura do mundo, e na investigação-ação participativa de Fals Borda (1985), que articula investigação, educação e ação. A noção de comunidade de pares estendida, da ciência pós-normal, legitima a ampliação dos produtores de conhecimento em situações de alta incerteza e valores em disputa (FUNTOWICZ; RAVETZ, 1993).</w:t>
      </w:r>
    </w:p>
    <w:p>
      <w:pPr>
        <w:spacing w:before="0" w:after="140" w:line="300" w:lineRule="auto"/>
        <w:jc w:val="both"/>
      </w:pPr>
      <w:r>
        <w:rPr>
          <w:rFonts w:ascii="Barlow" w:hAnsi="Barlow" w:cs="Barlow" w:eastAsia="Barlow"/>
          <w:color w:val="0F2440"/>
          <w:sz w:val="20"/>
          <w:szCs w:val="20"/>
        </w:rPr>
        <w:t xml:space="preserve">Esse referencial impõe à pesquisa uma exigência e um cuidado. A exigência é tratar o conhecimento comunitário como conhecimento, e não como opinião a ser validada pela ciência. O cuidado é não converter participação em sinônimo de emancipação: a análise examinará quem fala, quem é ouvido, quem decide e quem paga o custo da participação.</w:t>
      </w:r>
    </w:p>
    <w:p>
      <w:pPr>
        <w:pStyle w:val="Heading2"/>
        <w:keepNext/>
        <w:spacing w:before="340" w:after="120" w:line="264" w:lineRule="auto"/>
        <w:jc w:val="left"/>
      </w:pPr>
      <w:bookmarkStart w:id="15" w:name="_h14"/>
      <w:r>
        <w:rPr>
          <w:rFonts w:ascii="Barlow Condensed SemiBold" w:hAnsi="Barlow Condensed SemiBold" w:cs="Barlow Condensed SemiBold" w:eastAsia="Barlow Condensed SemiBold"/>
          <w:color w:val="007614"/>
          <w:sz w:val="30"/>
          <w:szCs w:val="30"/>
        </w:rPr>
        <w:t xml:space="preserve">5.3 REDES SOCIOTÉCNICAS, TRADUÇÃO E GOVERNANÇA PARTICIPATIVA</w:t>
      </w:r>
      <w:bookmarkEnd w:id="15"/>
    </w:p>
    <w:p>
      <w:pPr>
        <w:spacing w:before="0" w:after="140" w:line="300" w:lineRule="auto"/>
        <w:jc w:val="both"/>
      </w:pPr>
      <w:r>
        <w:rPr>
          <w:rFonts w:ascii="Barlow" w:hAnsi="Barlow" w:cs="Barlow" w:eastAsia="Barlow"/>
          <w:color w:val="0F2440"/>
          <w:sz w:val="20"/>
          <w:szCs w:val="20"/>
        </w:rPr>
        <w:t xml:space="preserve">A metodologia da PICAPS começa pela ativação de redes sociotécnicas. A teoria dos laços fracos explica por que atores-ponte entre grupos são decisivos para a circulação de informação nova (GRANOVETTER, 1973). A sociologia da tradução descreve como um conjunto heterogêneo de atores passa a agir em conjunto quando seus interesses são problematizados, negociados e alinhados, e como essa rede pode se desfazer quando os porta-vozes perdem legitimidade (CALLON, 1986). A cartografia social e o Plano Popular podem ser lidos como objetos-fronteira: artefatos suficientemente estáveis para circular entre moradores, profissionais e gestores, e suficientemente flexíveis para serem interpretados por cada um segundo suas necessidades (STAR; GRIESEMER, 1989).</w:t>
      </w:r>
    </w:p>
    <w:p>
      <w:pPr>
        <w:spacing w:before="0" w:after="140" w:line="300" w:lineRule="auto"/>
        <w:jc w:val="both"/>
      </w:pPr>
      <w:r>
        <w:rPr>
          <w:rFonts w:ascii="Barlow" w:hAnsi="Barlow" w:cs="Barlow" w:eastAsia="Barlow"/>
          <w:color w:val="0F2440"/>
          <w:sz w:val="20"/>
          <w:szCs w:val="20"/>
        </w:rPr>
        <w:t xml:space="preserve">A governança participativa, por fim, é entendida como a capacidade de um espaço coletivo de deliberar e de influenciar decisões que não controla diretamente (TRAD; ESPERIDIÃO, 2009). Nas Salas de Cooperação Social, essa capacidade se expressa em duas funções: a vigilância popular, que produz e encaminha alertas, e a articulação do Plano Popular, que leva as prioridades do território às instâncias de decisão, segundo a lógica do planejamento estratégico situacional (MATUS, 1987; FIOCRUZ BRASÍLIA, 2026b).</w:t>
      </w:r>
    </w:p>
    <w:p>
      <w:pPr>
        <w:pStyle w:val="Heading2"/>
        <w:keepNext/>
        <w:spacing w:before="340" w:after="120" w:line="264" w:lineRule="auto"/>
        <w:jc w:val="left"/>
      </w:pPr>
      <w:bookmarkStart w:id="16" w:name="_h15"/>
      <w:r>
        <w:rPr>
          <w:rFonts w:ascii="Barlow Condensed SemiBold" w:hAnsi="Barlow Condensed SemiBold" w:cs="Barlow Condensed SemiBold" w:eastAsia="Barlow Condensed SemiBold"/>
          <w:color w:val="007614"/>
          <w:sz w:val="30"/>
          <w:szCs w:val="30"/>
        </w:rPr>
        <w:t xml:space="preserve">5.4 AVALIAÇÃO DE PROCESSO E ABORDAGEM REALISTA</w:t>
      </w:r>
      <w:bookmarkEnd w:id="16"/>
    </w:p>
    <w:p>
      <w:pPr>
        <w:spacing w:before="0" w:after="140" w:line="300" w:lineRule="auto"/>
        <w:jc w:val="both"/>
      </w:pPr>
      <w:r>
        <w:rPr>
          <w:rFonts w:ascii="Barlow" w:hAnsi="Barlow" w:cs="Barlow" w:eastAsia="Barlow"/>
          <w:color w:val="0F2440"/>
          <w:sz w:val="20"/>
          <w:szCs w:val="20"/>
        </w:rPr>
        <w:t xml:space="preserve">A perspectiva avaliativa combina duas tradições. A avaliação de processo de intervenções complexas examina a implementação (o que foi feito, com que fidelidade e com que adaptações), os mecanismos de impacto (como os participantes respondem à intervenção) e o contexto (o que facilita ou impede o funcionamento) (MOORE et al., 2015). A avaliação realista acrescenta uma forma de explicar: os programas não produzem resultados por si, mas oferecem recursos que desencadeiam mecanismos, isto é, raciocínios e respostas das pessoas, que só operam em determinados contextos; a explicação toma a forma de configurações contexto–mecanismo–resultado (PAWSON; TILLEY, 1997).</w:t>
      </w:r>
    </w:p>
    <w:p>
      <w:pPr>
        <w:spacing w:before="0" w:after="140" w:line="300" w:lineRule="auto"/>
        <w:jc w:val="both"/>
      </w:pPr>
      <w:r>
        <w:rPr>
          <w:rFonts w:ascii="Barlow" w:hAnsi="Barlow" w:cs="Barlow" w:eastAsia="Barlow"/>
          <w:color w:val="0F2440"/>
          <w:sz w:val="20"/>
          <w:szCs w:val="20"/>
        </w:rPr>
        <w:t xml:space="preserve">A adoção dessa abordagem tem uma consequência prática: o estudo parte de uma teoria inicial do programa, formulada a partir dos documentos da PICAPS e da literatura, e a revisa sistematicamente com os dados de campo. A teoria inicial não é uma hipótese a confirmar, mas um conjunto de proposições explicitamente refutáveis. O Quadro 1 apresenta essa teoria, incluindo explicações rivais.</w:t>
      </w:r>
    </w:p>
    <w:p>
      <w:pPr>
        <w:keepNext/>
        <w:spacing w:before="200" w:after="100" w:line="264" w:lineRule="auto"/>
        <w:jc w:val="left"/>
      </w:pPr>
      <w:bookmarkStart w:id="17" w:name="_q_1"/>
      <w:r>
        <w:rPr>
          <w:rFonts w:ascii="Barlow Condensed SemiBold" w:hAnsi="Barlow Condensed SemiBold" w:cs="Barlow Condensed SemiBold" w:eastAsia="Barlow Condensed SemiBold"/>
          <w:color w:val="007614"/>
          <w:sz w:val="21"/>
          <w:szCs w:val="21"/>
        </w:rPr>
        <w:t xml:space="preserve">Quadro 1 – </w:t>
      </w:r>
      <w:r>
        <w:rPr>
          <w:rFonts w:ascii="Barlow Condensed SemiBold" w:hAnsi="Barlow Condensed SemiBold" w:cs="Barlow Condensed SemiBold" w:eastAsia="Barlow Condensed SemiBold"/>
          <w:color w:val="01366F"/>
          <w:sz w:val="21"/>
          <w:szCs w:val="21"/>
        </w:rPr>
        <w:t xml:space="preserve">Teoria inicial do programa: configurações contexto–mecanismo–resultado</w:t>
      </w:r>
      <w:bookmarkEnd w:id="17"/>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1326"/>
        <w:gridCol w:w="1946"/>
        <w:gridCol w:w="1946"/>
        <w:gridCol w:w="1679"/>
        <w:gridCol w:w="1947"/>
      </w:tblGrid>
      <w:tr>
        <w:trPr>
          <w:tblHeader/>
          <w:cantSplit/>
        </w:trPr>
        <w:tc>
          <w:tcPr>
            <w:tcW w:w="1326"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Etapa</w:t>
            </w:r>
          </w:p>
        </w:tc>
        <w:tc>
          <w:tcPr>
            <w:tcW w:w="1946"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Contexto (C)</w:t>
            </w:r>
          </w:p>
        </w:tc>
        <w:tc>
          <w:tcPr>
            <w:tcW w:w="1946"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Mecanismo (M)</w:t>
            </w:r>
          </w:p>
        </w:tc>
        <w:tc>
          <w:tcPr>
            <w:tcW w:w="1679"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Resultado esperado (R)</w:t>
            </w:r>
          </w:p>
        </w:tc>
        <w:tc>
          <w:tcPr>
            <w:tcW w:w="1947"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Explicação rival</w:t>
            </w:r>
          </w:p>
        </w:tc>
      </w:tr>
      <w:tr>
        <w:trPr>
          <w:cantSplit/>
        </w:trPr>
        <w:tc>
          <w:tcPr>
            <w:tcW w:w="132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Ativação da rede</w:t>
            </w:r>
          </w:p>
        </w:tc>
        <w:tc>
          <w:tcPr>
            <w:tcW w:w="194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Organizações comunitárias ativas e lideranças-ponte entre grupos</w:t>
            </w:r>
          </w:p>
        </w:tc>
        <w:tc>
          <w:tcPr>
            <w:tcW w:w="194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Reconhecimento e confiança: os atores percebem o processo como seu</w:t>
            </w:r>
          </w:p>
        </w:tc>
        <w:tc>
          <w:tcPr>
            <w:tcW w:w="167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Adesão à cartografia de grupo diverso</w:t>
            </w:r>
          </w:p>
        </w:tc>
        <w:tc>
          <w:tcPr>
            <w:tcW w:w="194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Captura por lideranças já dominantes; exclusão de grupos sem organização</w:t>
            </w:r>
          </w:p>
        </w:tc>
      </w:tr>
      <w:tr>
        <w:trPr>
          <w:cantSplit/>
        </w:trPr>
        <w:tc>
          <w:tcPr>
            <w:tcW w:w="1326"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Cartografia e Plano Popular</w:t>
            </w:r>
          </w:p>
        </w:tc>
        <w:tc>
          <w:tcPr>
            <w:tcW w:w="194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Escuta efetiva e tradução de saberes (MTEI e Matriz UIC)</w:t>
            </w:r>
          </w:p>
        </w:tc>
        <w:tc>
          <w:tcPr>
            <w:tcW w:w="194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Sentido de autoria coletiva</w:t>
            </w:r>
          </w:p>
        </w:tc>
        <w:tc>
          <w:tcPr>
            <w:tcW w:w="167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Plano reconhecido como legítimo pelos moradores</w:t>
            </w:r>
          </w:p>
        </w:tc>
        <w:tc>
          <w:tcPr>
            <w:tcW w:w="194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Plano percebido como produto técnico da equipe externa</w:t>
            </w:r>
          </w:p>
        </w:tc>
      </w:tr>
      <w:tr>
        <w:trPr>
          <w:cantSplit/>
        </w:trPr>
        <w:tc>
          <w:tcPr>
            <w:tcW w:w="132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Formação dos pesquisadores populares</w:t>
            </w:r>
          </w:p>
        </w:tc>
        <w:tc>
          <w:tcPr>
            <w:tcW w:w="194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Formação dialógica com o mesmo grupo da cartografia</w:t>
            </w:r>
          </w:p>
        </w:tc>
        <w:tc>
          <w:tcPr>
            <w:tcW w:w="194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Autoeficácia e identidade de pesquisador popular</w:t>
            </w:r>
          </w:p>
        </w:tc>
        <w:tc>
          <w:tcPr>
            <w:tcW w:w="167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Permanência e atuação regular</w:t>
            </w:r>
          </w:p>
        </w:tc>
        <w:tc>
          <w:tcPr>
            <w:tcW w:w="194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Sobrecarga, ausência de remuneração e desistência</w:t>
            </w:r>
          </w:p>
        </w:tc>
      </w:tr>
      <w:tr>
        <w:trPr>
          <w:cantSplit/>
        </w:trPr>
        <w:tc>
          <w:tcPr>
            <w:tcW w:w="1326"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Vigilância popular</w:t>
            </w:r>
          </w:p>
        </w:tc>
        <w:tc>
          <w:tcPr>
            <w:tcW w:w="194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Fluxo pactuado com a UBS e interlocutor nomeado no serviço</w:t>
            </w:r>
          </w:p>
        </w:tc>
        <w:tc>
          <w:tcPr>
            <w:tcW w:w="194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Credibilidade mútua: o serviço reconhece o alerta; o pesquisador percebe retorno</w:t>
            </w:r>
          </w:p>
        </w:tc>
        <w:tc>
          <w:tcPr>
            <w:tcW w:w="167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Resposta documentada e continuidade dos registros</w:t>
            </w:r>
          </w:p>
        </w:tc>
        <w:tc>
          <w:tcPr>
            <w:tcW w:w="194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Ausência de retorno gera descrédito e abandono dos registros</w:t>
            </w:r>
          </w:p>
        </w:tc>
      </w:tr>
      <w:tr>
        <w:trPr>
          <w:cantSplit/>
        </w:trPr>
        <w:tc>
          <w:tcPr>
            <w:tcW w:w="1326" w:type="dxa"/>
            <w:shd w:val="clear" w:color="auto" w:fill="FFFFFF"/>
            <w:vAlign w:val="top"/>
          </w:tcPr>
          <w:p>
            <w:pPr>
              <w:keepNext/>
              <w:spacing w:before="0" w:after="0" w:line="252" w:lineRule="auto"/>
              <w:jc w:val="left"/>
            </w:pPr>
            <w:r>
              <w:rPr>
                <w:rFonts w:ascii="Barlow SemiBold" w:hAnsi="Barlow SemiBold" w:cs="Barlow SemiBold" w:eastAsia="Barlow SemiBold"/>
                <w:color w:val="01366F"/>
                <w:sz w:val="17"/>
                <w:szCs w:val="17"/>
              </w:rPr>
              <w:t xml:space="preserve">Articulação do Plano Popular</w:t>
            </w:r>
          </w:p>
        </w:tc>
        <w:tc>
          <w:tcPr>
            <w:tcW w:w="1946"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Acesso a decisores e janelas de oportunidade</w:t>
            </w:r>
          </w:p>
        </w:tc>
        <w:tc>
          <w:tcPr>
            <w:tcW w:w="1946"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Legitimidade política da Sala como porta-voz do território</w:t>
            </w:r>
          </w:p>
        </w:tc>
        <w:tc>
          <w:tcPr>
            <w:tcW w:w="1679"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Ações do Plano incorporadas à agenda da gestão</w:t>
            </w:r>
          </w:p>
        </w:tc>
        <w:tc>
          <w:tcPr>
            <w:tcW w:w="1947"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Cooptação ou conflito com a gestão; retaliação a lideranças</w:t>
            </w:r>
          </w:p>
        </w:tc>
      </w:tr>
    </w:tbl>
    <w:p>
      <w:pPr>
        <w:spacing w:before="60" w:after="220" w:line="240" w:lineRule="auto"/>
        <w:jc w:val="left"/>
        <w:sectPr>
          <w:headerReference w:type="default" r:id="rId20"/>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 com base em FIOCRUZ BRASÍLIA (2026a; 2026b) e Pawson e Tilley (1997).</w:t>
      </w:r>
    </w:p>
    <w:p>
      <w:pPr>
        <w:pStyle w:val="Heading1"/>
        <w:pBdr>
          <w:bottom w:val="single" w:sz="12" w:space="10" w:color="007614"/>
        </w:pBdr>
        <w:spacing w:before="120" w:after="380" w:line="600" w:lineRule="exact"/>
        <w:jc w:val="left"/>
      </w:pPr>
      <w:bookmarkStart w:id="18" w:name="_h16"/>
      <w:r>
        <w:rPr>
          <w:rFonts w:ascii="Barlow Condensed" w:hAnsi="Barlow Condensed" w:cs="Barlow Condensed" w:eastAsia="Barlow Condensed"/>
          <w:b/>
          <w:bCs/>
          <w:color w:val="007614"/>
          <w:sz w:val="52"/>
          <w:szCs w:val="52"/>
        </w:rPr>
        <w:t xml:space="preserve">6 </w:t>
      </w:r>
      <w:r>
        <w:rPr>
          <w:rFonts w:ascii="Barlow Condensed" w:hAnsi="Barlow Condensed" w:cs="Barlow Condensed" w:eastAsia="Barlow Condensed"/>
          <w:b/>
          <w:bCs/>
          <w:color w:val="01366F"/>
          <w:sz w:val="52"/>
          <w:szCs w:val="52"/>
        </w:rPr>
        <w:t xml:space="preserve">METODOLOGIA</w:t>
      </w:r>
      <w:bookmarkEnd w:id="18"/>
    </w:p>
    <w:p>
      <w:pPr>
        <w:pStyle w:val="Heading2"/>
        <w:keepNext/>
        <w:spacing w:before="340" w:after="120" w:line="264" w:lineRule="auto"/>
        <w:jc w:val="left"/>
      </w:pPr>
      <w:bookmarkStart w:id="19" w:name="_h17"/>
      <w:r>
        <w:rPr>
          <w:rFonts w:ascii="Barlow Condensed SemiBold" w:hAnsi="Barlow Condensed SemiBold" w:cs="Barlow Condensed SemiBold" w:eastAsia="Barlow Condensed SemiBold"/>
          <w:color w:val="007614"/>
          <w:sz w:val="30"/>
          <w:szCs w:val="30"/>
        </w:rPr>
        <w:t xml:space="preserve">6.1 TIPO DE ESTUDO E DESENHO</w:t>
      </w:r>
      <w:bookmarkEnd w:id="19"/>
    </w:p>
    <w:p>
      <w:pPr>
        <w:spacing w:before="0" w:after="140" w:line="300" w:lineRule="auto"/>
        <w:jc w:val="both"/>
      </w:pPr>
      <w:r>
        <w:rPr>
          <w:rFonts w:ascii="Barlow" w:hAnsi="Barlow" w:cs="Barlow" w:eastAsia="Barlow"/>
          <w:color w:val="0F2440"/>
          <w:sz w:val="20"/>
          <w:szCs w:val="20"/>
        </w:rPr>
        <w:t xml:space="preserve">Trata-se de um </w:t>
      </w:r>
      <w:r>
        <w:rPr>
          <w:rFonts w:ascii="Barlow SemiBold" w:hAnsi="Barlow SemiBold" w:cs="Barlow SemiBold" w:eastAsia="Barlow SemiBold"/>
          <w:color w:val="01366F"/>
          <w:sz w:val="20"/>
          <w:szCs w:val="20"/>
        </w:rPr>
        <w:t xml:space="preserve">estudo de caso de métodos mistos com predominância qualitativa</w:t>
      </w:r>
      <w:r>
        <w:rPr>
          <w:rFonts w:ascii="Barlow" w:hAnsi="Barlow" w:cs="Barlow" w:eastAsia="Barlow"/>
          <w:color w:val="0F2440"/>
          <w:sz w:val="20"/>
          <w:szCs w:val="20"/>
        </w:rPr>
        <w:t xml:space="preserve"> (FETTERS; CURRY; CRESWELL, 2013; CRESWELL; PLANO CLARK, 2018), que articula dois componentes. O componente qualitativo é um estudo de caso longitudinal com unidades de análise incorporadas (YIN, 2015), conduzido como avaliação de processo informada pela abordagem realista (MOORE et al., 2015; PAWSON; TILLEY, 1997) e com componente participativo nos ciclos de interpretação e devolutiva (THIOLLENT, 2011). O componente quantitativo é um </w:t>
      </w:r>
      <w:r>
        <w:rPr>
          <w:rFonts w:ascii="Barlow SemiBold" w:hAnsi="Barlow SemiBold" w:cs="Barlow SemiBold" w:eastAsia="Barlow SemiBold"/>
          <w:color w:val="01366F"/>
          <w:sz w:val="20"/>
          <w:szCs w:val="20"/>
        </w:rPr>
        <w:t xml:space="preserve">inquérito domiciliar transversal, de base populacional</w:t>
      </w:r>
      <w:r>
        <w:rPr>
          <w:rFonts w:ascii="Barlow" w:hAnsi="Barlow" w:cs="Barlow" w:eastAsia="Barlow"/>
          <w:color w:val="0F2440"/>
          <w:sz w:val="20"/>
          <w:szCs w:val="20"/>
        </w:rPr>
        <w:t xml:space="preserve">, com questionário misto, isto é, com questões estruturadas e abertas, que dimensiona os determinantes sociais da saúde nos quatro setores no início da implantação. O caso é a implementação da metodologia no Sol Nascente/Pôr do Sol; as unidades incorporadas são os quatro setores, cada um com sua rede ativada, seu Plano Popular e sua Sala de Cooperação Social. A dimensão longitudinal consiste em acompanhar os mesmos participantes, espaços e episódios em três ondas de produção de dados, ancoradas nos marcos da intervenção em cada setor, o que permite analisar mudanças e trajetórias, e não apenas retratos sucessivos (SALDAÑA, 2003; NEALE, 2019).</w:t>
      </w:r>
    </w:p>
    <w:p>
      <w:pPr>
        <w:spacing w:before="0" w:after="140" w:line="300" w:lineRule="auto"/>
        <w:jc w:val="both"/>
      </w:pPr>
      <w:r>
        <w:rPr>
          <w:rFonts w:ascii="Barlow" w:hAnsi="Barlow" w:cs="Barlow" w:eastAsia="Barlow"/>
          <w:color w:val="0F2440"/>
          <w:sz w:val="20"/>
          <w:szCs w:val="20"/>
        </w:rPr>
        <w:t xml:space="preserve">A predominância qualitativa é deliberada. O inquérito não mede o efeito da metodologia: será aplicado uma única vez, no início, para dimensionar as condições em que a metodologia opera, situar os processos participativos diante da distribuição dos determinantes e apoiar a seleção de participantes do componente qualitativo. Repeti-lo ao final para comparar prevalências induziria leituras causais que um território único, sem grupo de comparação, não sustenta.</w:t>
      </w:r>
    </w:p>
    <w:p>
      <w:pPr>
        <w:spacing w:before="0" w:after="140" w:line="300" w:lineRule="auto"/>
        <w:jc w:val="both"/>
      </w:pPr>
      <w:r>
        <w:rPr>
          <w:rFonts w:ascii="Barlow" w:hAnsi="Barlow" w:cs="Barlow" w:eastAsia="Barlow"/>
          <w:color w:val="0F2440"/>
          <w:sz w:val="20"/>
          <w:szCs w:val="20"/>
        </w:rPr>
        <w:t xml:space="preserve">Duas outras escolhas de desenho precisam ser explicitadas. A primeira refere-se à pesquisa-ação. A ação estudada, isto é, a implantação da metodologia, é conduzida pelo CTIS e pelos atores do território, e não pela equipe de pesquisa. Por isso, o estudo não se define como pesquisa-ação em sentido estrito. O componente participativo está nas oficinas de interpretação, em que achados parciais retornam às Salas e podem reorientar a implementação. Essas reorientações não são tratadas como viés a eliminar: são registradas em um diário de efeitos da pesquisa sobre a intervenção e analisadas como parte do objeto.</w:t>
      </w:r>
    </w:p>
    <w:p>
      <w:pPr>
        <w:spacing w:before="0" w:after="140" w:line="300" w:lineRule="auto"/>
        <w:jc w:val="both"/>
      </w:pPr>
      <w:r>
        <w:rPr>
          <w:rFonts w:ascii="Barlow" w:hAnsi="Barlow" w:cs="Barlow" w:eastAsia="Barlow"/>
          <w:color w:val="0F2440"/>
          <w:sz w:val="20"/>
          <w:szCs w:val="20"/>
        </w:rPr>
        <w:t xml:space="preserve">A segunda escolha refere-se à comparação externa. Versões anteriores do projeto previam um território-espelho. Num desenho qualitativo, um território sem intervenção não oferece trajetórias a reconstruir nem Salas a observar, e sua inclusão imporia custos éticos e logísticos sem ganho analítico. Ele foi, portanto, </w:t>
      </w:r>
      <w:r>
        <w:rPr>
          <w:rFonts w:ascii="Barlow SemiBold" w:hAnsi="Barlow SemiBold" w:cs="Barlow SemiBold" w:eastAsia="Barlow SemiBold"/>
          <w:color w:val="01366F"/>
          <w:sz w:val="20"/>
          <w:szCs w:val="20"/>
        </w:rPr>
        <w:t xml:space="preserve">excluído</w:t>
      </w:r>
      <w:r>
        <w:rPr>
          <w:rFonts w:ascii="Barlow" w:hAnsi="Barlow" w:cs="Barlow" w:eastAsia="Barlow"/>
          <w:color w:val="0F2440"/>
          <w:sz w:val="20"/>
          <w:szCs w:val="20"/>
        </w:rPr>
        <w:t xml:space="preserve">. A comparação analítica ocorre entre os quatro setores, que entram na intervenção em momentos diferentes e tendem a apresentar contextos distintos, e entre episódios com desfechos contrastantes.</w:t>
      </w:r>
    </w:p>
    <w:p>
      <w:pPr>
        <w:pStyle w:val="Heading2"/>
        <w:keepNext/>
        <w:spacing w:before="340" w:after="120" w:line="264" w:lineRule="auto"/>
        <w:jc w:val="left"/>
      </w:pPr>
      <w:bookmarkStart w:id="20" w:name="_h18"/>
      <w:r>
        <w:rPr>
          <w:rFonts w:ascii="Barlow Condensed SemiBold" w:hAnsi="Barlow Condensed SemiBold" w:cs="Barlow Condensed SemiBold" w:eastAsia="Barlow Condensed SemiBold"/>
          <w:color w:val="007614"/>
          <w:sz w:val="30"/>
          <w:szCs w:val="30"/>
        </w:rPr>
        <w:t xml:space="preserve">6.2 A INTERVENÇÃO ESTUDADA</w:t>
      </w:r>
      <w:bookmarkEnd w:id="20"/>
    </w:p>
    <w:p>
      <w:pPr>
        <w:spacing w:before="0" w:after="140" w:line="300" w:lineRule="auto"/>
        <w:jc w:val="both"/>
      </w:pPr>
      <w:r>
        <w:rPr>
          <w:rFonts w:ascii="Barlow" w:hAnsi="Barlow" w:cs="Barlow" w:eastAsia="Barlow"/>
          <w:color w:val="0F2440"/>
          <w:sz w:val="20"/>
          <w:szCs w:val="20"/>
        </w:rPr>
        <w:t xml:space="preserve">A intervenção será descrita segundo o checklist TIDieR (HOFFMANN et al., 2014), a partir do Manual Técnico-Operacional dos DPT (FIOCRUZ BRASÍLIA, 2026a) e do Protocolo de Inteligência Territorial (FIOCRUZ BRASÍLIA, 2026b). Suas seis etapas são implantadas integralmente em cada setor, em ordem definida por sorteio e em degraus trimestrais, conforme o planejamento da PICAPS: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Etapa 1</w:t>
      </w:r>
      <w:r>
        <w:rPr>
          <w:rFonts w:ascii="Barlow" w:hAnsi="Barlow" w:cs="Barlow" w:eastAsia="Barlow"/>
          <w:color w:val="0F2440"/>
          <w:sz w:val="20"/>
          <w:szCs w:val="20"/>
        </w:rPr>
        <w:t xml:space="preserve"> – ativação das redes sociotécnicas do setor, por mapeamento sociométrico de movimentos sociais, lideranças e coletivos, com pacto dialógico;</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Etapa 2</w:t>
      </w:r>
      <w:r>
        <w:rPr>
          <w:rFonts w:ascii="Barlow" w:hAnsi="Barlow" w:cs="Barlow" w:eastAsia="Barlow"/>
          <w:color w:val="0F2440"/>
          <w:sz w:val="20"/>
          <w:szCs w:val="20"/>
        </w:rPr>
        <w:t xml:space="preserve"> – diagnóstico multidimensional segundo as cinco dimensões dos DPT, realizado com a rede ativada;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Etapa 3</w:t>
      </w:r>
      <w:r>
        <w:rPr>
          <w:rFonts w:ascii="Barlow" w:hAnsi="Barlow" w:cs="Barlow" w:eastAsia="Barlow"/>
          <w:color w:val="0F2440"/>
          <w:sz w:val="20"/>
          <w:szCs w:val="20"/>
        </w:rPr>
        <w:t xml:space="preserve"> – cartografia social participativa, tendo a rede ativada como público-base;</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Etapa 4</w:t>
      </w:r>
      <w:r>
        <w:rPr>
          <w:rFonts w:ascii="Barlow" w:hAnsi="Barlow" w:cs="Barlow" w:eastAsia="Barlow"/>
          <w:color w:val="0F2440"/>
          <w:sz w:val="20"/>
          <w:szCs w:val="20"/>
        </w:rPr>
        <w:t xml:space="preserve"> – elaboração e pactuação do Plano Popular;</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e)</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Etapa 5</w:t>
      </w:r>
      <w:r>
        <w:rPr>
          <w:rFonts w:ascii="Barlow" w:hAnsi="Barlow" w:cs="Barlow" w:eastAsia="Barlow"/>
          <w:color w:val="0F2440"/>
          <w:sz w:val="20"/>
          <w:szCs w:val="20"/>
        </w:rPr>
        <w:t xml:space="preserve"> – formação dos pesquisadores populares, recrutados entre os participantes da cartografia;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f)</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Etapa 6</w:t>
      </w:r>
      <w:r>
        <w:rPr>
          <w:rFonts w:ascii="Barlow" w:hAnsi="Barlow" w:cs="Barlow" w:eastAsia="Barlow"/>
          <w:color w:val="0F2440"/>
          <w:sz w:val="20"/>
          <w:szCs w:val="20"/>
        </w:rPr>
        <w:t xml:space="preserve"> – instalação e operação da Sala de Cooperação Social, na qual os pesquisadores populares exercem a vigilância popular em saúde e a defesa, promoção e articulação para a efetivação do Plano Popular.</w:t>
      </w:r>
    </w:p>
    <w:p>
      <w:pPr>
        <w:spacing w:before="0" w:after="140" w:line="300" w:lineRule="auto"/>
        <w:jc w:val="both"/>
      </w:pPr>
      <w:r>
        <w:rPr>
          <w:rFonts w:ascii="Barlow" w:hAnsi="Barlow" w:cs="Barlow" w:eastAsia="Barlow"/>
          <w:color w:val="0F2440"/>
          <w:sz w:val="20"/>
          <w:szCs w:val="20"/>
        </w:rPr>
        <w:t xml:space="preserve">Antes do início do campo, será elaborado um guia descritivo dos componentes, que registra o que foi previsto e permite documentar o que efetivamente ocorreu. Será distinguida a implantação formal de cada componente de seu funcionamento efetivo, e adaptações, interrupções e controvérsias serão registradas com suas justificativas.</w:t>
      </w:r>
    </w:p>
    <w:p>
      <w:pPr>
        <w:pStyle w:val="Heading2"/>
        <w:keepNext/>
        <w:spacing w:before="340" w:after="120" w:line="264" w:lineRule="auto"/>
        <w:jc w:val="left"/>
      </w:pPr>
      <w:bookmarkStart w:id="21" w:name="_h19"/>
      <w:r>
        <w:rPr>
          <w:rFonts w:ascii="Barlow Condensed SemiBold" w:hAnsi="Barlow Condensed SemiBold" w:cs="Barlow Condensed SemiBold" w:eastAsia="Barlow Condensed SemiBold"/>
          <w:color w:val="007614"/>
          <w:sz w:val="30"/>
          <w:szCs w:val="30"/>
        </w:rPr>
        <w:t xml:space="preserve">6.3 CENÁRIO, CASO E UNIDADES DE ANÁLISE</w:t>
      </w:r>
      <w:bookmarkEnd w:id="21"/>
    </w:p>
    <w:p>
      <w:pPr>
        <w:spacing w:before="0" w:after="140" w:line="300" w:lineRule="auto"/>
        <w:jc w:val="both"/>
      </w:pPr>
      <w:r>
        <w:rPr>
          <w:rFonts w:ascii="Barlow" w:hAnsi="Barlow" w:cs="Barlow" w:eastAsia="Barlow"/>
          <w:color w:val="0F2440"/>
          <w:sz w:val="20"/>
          <w:szCs w:val="20"/>
        </w:rPr>
        <w:t xml:space="preserve">O cenário é o Sol Nascente/Pôr do Sol, na Região de Saúde Oeste do Distrito Federal. Os quatro setores serão acompanhados com o mesmo protocolo, mas com intensidade diferente de observação. Os dois primeiros setores na ordem de implantação, que terão o maior tempo de operação da Sala dentro do horizonte do estudo (cerca de 21 e 18 meses), receberão </w:t>
      </w:r>
      <w:r>
        <w:rPr>
          <w:rFonts w:ascii="Barlow SemiBold" w:hAnsi="Barlow SemiBold" w:cs="Barlow SemiBold" w:eastAsia="Barlow SemiBold"/>
          <w:color w:val="01366F"/>
          <w:sz w:val="20"/>
          <w:szCs w:val="20"/>
        </w:rPr>
        <w:t xml:space="preserve">acompanhamento intensivo</w:t>
      </w:r>
      <w:r>
        <w:rPr>
          <w:rFonts w:ascii="Barlow" w:hAnsi="Barlow" w:cs="Barlow" w:eastAsia="Barlow"/>
          <w:color w:val="0F2440"/>
          <w:sz w:val="20"/>
          <w:szCs w:val="20"/>
        </w:rPr>
        <w:t xml:space="preserve">, com observação de todas as reuniões deliberativas. Os outros dois receberão </w:t>
      </w:r>
      <w:r>
        <w:rPr>
          <w:rFonts w:ascii="Barlow SemiBold" w:hAnsi="Barlow SemiBold" w:cs="Barlow SemiBold" w:eastAsia="Barlow SemiBold"/>
          <w:color w:val="01366F"/>
          <w:sz w:val="20"/>
          <w:szCs w:val="20"/>
        </w:rPr>
        <w:t xml:space="preserve">acompanhamento extensivo</w:t>
      </w:r>
      <w:r>
        <w:rPr>
          <w:rFonts w:ascii="Barlow" w:hAnsi="Barlow" w:cs="Barlow" w:eastAsia="Barlow"/>
          <w:color w:val="0F2440"/>
          <w:sz w:val="20"/>
          <w:szCs w:val="20"/>
        </w:rPr>
        <w:t xml:space="preserve">, com observação de uma a cada duas reuniões. Essa decisão privilegia a fase de consolidação, que só pode ser observada onde a Sala opera por mais tempo, sem abandonar a variação entre setores.</w:t>
      </w:r>
    </w:p>
    <w:p>
      <w:pPr>
        <w:pStyle w:val="Heading2"/>
        <w:keepNext/>
        <w:spacing w:before="340" w:after="120" w:line="264" w:lineRule="auto"/>
        <w:jc w:val="left"/>
      </w:pPr>
      <w:bookmarkStart w:id="22" w:name="_h20"/>
      <w:r>
        <w:rPr>
          <w:rFonts w:ascii="Barlow Condensed SemiBold" w:hAnsi="Barlow Condensed SemiBold" w:cs="Barlow Condensed SemiBold" w:eastAsia="Barlow Condensed SemiBold"/>
          <w:color w:val="007614"/>
          <w:sz w:val="30"/>
          <w:szCs w:val="30"/>
        </w:rPr>
        <w:t xml:space="preserve">6.4 PARTICIPANTES E AMOSTRAGEM</w:t>
      </w:r>
      <w:bookmarkEnd w:id="22"/>
    </w:p>
    <w:p>
      <w:pPr>
        <w:spacing w:before="0" w:after="140" w:line="300" w:lineRule="auto"/>
        <w:jc w:val="both"/>
      </w:pPr>
      <w:r>
        <w:rPr>
          <w:rFonts w:ascii="Barlow" w:hAnsi="Barlow" w:cs="Barlow" w:eastAsia="Barlow"/>
          <w:color w:val="0F2440"/>
          <w:sz w:val="20"/>
          <w:szCs w:val="20"/>
        </w:rPr>
        <w:t xml:space="preserve">A amostragem será intencional, orientada pela relevância analítica e pela diversidade, e não pela representatividade estatística. O tamanho previsto foi estimado pelo critério de poder informacional, que considera a especificidade do objetivo, a densidade dos participantes em relação à pergunta, o uso de teoria, a qualidade do diálogo e a estratégia de análise (MALTERUD; SIERSMA; GUASSORA, 2016). Por se tratar de estudo longitudinal com várias fontes por episódio, o poder informacional cresce com o acompanhamento repetido dos mesmos participantes, o que justifica painéis menores com várias entrevistas por pessoa. O Quadro 2 apresenta as estimativas, que serão revistas ao longo do campo com justificativa registrada.</w:t>
      </w:r>
    </w:p>
    <w:p>
      <w:pPr>
        <w:keepNext/>
        <w:spacing w:before="200" w:after="100" w:line="264" w:lineRule="auto"/>
        <w:jc w:val="left"/>
      </w:pPr>
      <w:bookmarkStart w:id="23" w:name="_q_2"/>
      <w:r>
        <w:rPr>
          <w:rFonts w:ascii="Barlow Condensed SemiBold" w:hAnsi="Barlow Condensed SemiBold" w:cs="Barlow Condensed SemiBold" w:eastAsia="Barlow Condensed SemiBold"/>
          <w:color w:val="007614"/>
          <w:sz w:val="21"/>
          <w:szCs w:val="21"/>
        </w:rPr>
        <w:t xml:space="preserve">Quadro 2 – </w:t>
      </w:r>
      <w:r>
        <w:rPr>
          <w:rFonts w:ascii="Barlow Condensed SemiBold" w:hAnsi="Barlow Condensed SemiBold" w:cs="Barlow Condensed SemiBold" w:eastAsia="Barlow Condensed SemiBold"/>
          <w:color w:val="01366F"/>
          <w:sz w:val="21"/>
          <w:szCs w:val="21"/>
        </w:rPr>
        <w:t xml:space="preserve">Participantes, critérios de inclusão e estimativas de entrevistas</w:t>
      </w:r>
      <w:bookmarkEnd w:id="23"/>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2122"/>
        <w:gridCol w:w="3184"/>
        <w:gridCol w:w="1238"/>
        <w:gridCol w:w="1061"/>
        <w:gridCol w:w="1239"/>
      </w:tblGrid>
      <w:tr>
        <w:trPr>
          <w:tblHeader/>
          <w:cantSplit/>
        </w:trPr>
        <w:tc>
          <w:tcPr>
            <w:tcW w:w="2122"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Grupo</w:t>
            </w:r>
          </w:p>
        </w:tc>
        <w:tc>
          <w:tcPr>
            <w:tcW w:w="3184"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Critérios de inclusão</w:t>
            </w:r>
          </w:p>
        </w:tc>
        <w:tc>
          <w:tcPr>
            <w:tcW w:w="1238"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Pessoas</w:t>
            </w:r>
          </w:p>
        </w:tc>
        <w:tc>
          <w:tcPr>
            <w:tcW w:w="1061"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Ondas</w:t>
            </w:r>
          </w:p>
        </w:tc>
        <w:tc>
          <w:tcPr>
            <w:tcW w:w="1239"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Entrevistas</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Pesquisadores populares (painel)</w:t>
            </w:r>
          </w:p>
        </w:tc>
        <w:tc>
          <w:tcPr>
            <w:tcW w:w="318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Formados na Etapa 5; 18 anos ou mais; diversidade de gênero, idade, trajetória de militância e intensidade de atuação</w:t>
            </w:r>
          </w:p>
        </w:tc>
        <w:tc>
          <w:tcPr>
            <w:tcW w:w="123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12 (3 por setor)</w:t>
            </w:r>
          </w:p>
        </w:tc>
        <w:tc>
          <w:tcPr>
            <w:tcW w:w="106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O1, O2, O3</w:t>
            </w:r>
          </w:p>
        </w:tc>
        <w:tc>
          <w:tcPr>
            <w:tcW w:w="123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36</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Rede ativada que não se tornou pesquisador popular, lideranças e moradores</w:t>
            </w:r>
          </w:p>
        </w:tc>
        <w:tc>
          <w:tcPr>
            <w:tcW w:w="318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18 anos ou mais; inclui quem se afastou, críticos, pessoas pouco envolvidas e moradores selecionados entre respondentes do inquérito</w:t>
            </w:r>
          </w:p>
        </w:tc>
        <w:tc>
          <w:tcPr>
            <w:tcW w:w="123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12 (3 por setor)</w:t>
            </w:r>
          </w:p>
        </w:tc>
        <w:tc>
          <w:tcPr>
            <w:tcW w:w="1061"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O1, O3</w:t>
            </w:r>
          </w:p>
        </w:tc>
        <w:tc>
          <w:tcPr>
            <w:tcW w:w="123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24</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Profissionais de APS e de Vigilância em Saúde</w:t>
            </w:r>
          </w:p>
        </w:tc>
        <w:tc>
          <w:tcPr>
            <w:tcW w:w="318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Atuação nas equipes de Saúde da Família ou na vigilância de referência do setor</w:t>
            </w:r>
          </w:p>
        </w:tc>
        <w:tc>
          <w:tcPr>
            <w:tcW w:w="123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12 (3 por setor)</w:t>
            </w:r>
          </w:p>
        </w:tc>
        <w:tc>
          <w:tcPr>
            <w:tcW w:w="106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O2, O3</w:t>
            </w:r>
          </w:p>
        </w:tc>
        <w:tc>
          <w:tcPr>
            <w:tcW w:w="123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24</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Gestores da SES-DF e da Região de Saúde Oeste</w:t>
            </w:r>
          </w:p>
        </w:tc>
        <w:tc>
          <w:tcPr>
            <w:tcW w:w="318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Responsabilidade sobre a APS ou a vigilância do território</w:t>
            </w:r>
          </w:p>
        </w:tc>
        <w:tc>
          <w:tcPr>
            <w:tcW w:w="1238"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4</w:t>
            </w:r>
          </w:p>
        </w:tc>
        <w:tc>
          <w:tcPr>
            <w:tcW w:w="1061"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O2, O3</w:t>
            </w:r>
          </w:p>
        </w:tc>
        <w:tc>
          <w:tcPr>
            <w:tcW w:w="123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8</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Equipe de implementação do CTIS</w:t>
            </w:r>
          </w:p>
        </w:tc>
        <w:tc>
          <w:tcPr>
            <w:tcW w:w="318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Facilitadores e supervisores da metodologia nos setores</w:t>
            </w:r>
          </w:p>
        </w:tc>
        <w:tc>
          <w:tcPr>
            <w:tcW w:w="1238"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4</w:t>
            </w:r>
          </w:p>
        </w:tc>
        <w:tc>
          <w:tcPr>
            <w:tcW w:w="106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O2, O3</w:t>
            </w:r>
          </w:p>
        </w:tc>
        <w:tc>
          <w:tcPr>
            <w:tcW w:w="123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8</w:t>
            </w:r>
          </w:p>
        </w:tc>
      </w:tr>
      <w:tr>
        <w:trPr>
          <w:cantSplit/>
        </w:trPr>
        <w:tc>
          <w:tcPr>
            <w:tcW w:w="2122" w:type="dxa"/>
            <w:shd w:val="clear" w:color="auto" w:fill="E9F2EB"/>
            <w:vAlign w:val="top"/>
          </w:tcPr>
          <w:p>
            <w:pPr>
              <w:keepNext/>
              <w:spacing w:before="0" w:after="0" w:line="252" w:lineRule="auto"/>
              <w:jc w:val="left"/>
            </w:pPr>
            <w:r>
              <w:rPr>
                <w:rFonts w:ascii="Barlow SemiBold" w:hAnsi="Barlow SemiBold" w:cs="Barlow SemiBold" w:eastAsia="Barlow SemiBold"/>
                <w:color w:val="01366F"/>
                <w:sz w:val="17"/>
                <w:szCs w:val="17"/>
              </w:rPr>
              <w:t xml:space="preserve">Total estimado</w:t>
            </w:r>
          </w:p>
        </w:tc>
        <w:tc>
          <w:tcPr>
            <w:tcW w:w="3184" w:type="dxa"/>
            <w:shd w:val="clear" w:color="auto" w:fill="E9F2EB"/>
            <w:vAlign w:val="top"/>
          </w:tcPr>
          <w:p>
            <w:pPr>
              <w:keepNext/>
              <w:spacing w:before="0" w:after="0" w:line="252" w:lineRule="auto"/>
              <w:jc w:val="center"/>
            </w:pPr>
          </w:p>
        </w:tc>
        <w:tc>
          <w:tcPr>
            <w:tcW w:w="1238" w:type="dxa"/>
            <w:shd w:val="clear" w:color="auto" w:fill="E9F2EB"/>
            <w:vAlign w:val="top"/>
          </w:tcPr>
          <w:p>
            <w:pPr>
              <w:keepNext/>
              <w:spacing w:before="0" w:after="0" w:line="252" w:lineRule="auto"/>
              <w:jc w:val="center"/>
            </w:pPr>
            <w:r>
              <w:rPr>
                <w:rFonts w:ascii="Barlow" w:hAnsi="Barlow" w:cs="Barlow" w:eastAsia="Barlow"/>
                <w:color w:val="0F2440"/>
                <w:sz w:val="17"/>
                <w:szCs w:val="17"/>
              </w:rPr>
              <w:t xml:space="preserve">44</w:t>
            </w:r>
          </w:p>
        </w:tc>
        <w:tc>
          <w:tcPr>
            <w:tcW w:w="1061" w:type="dxa"/>
            <w:shd w:val="clear" w:color="auto" w:fill="E9F2EB"/>
            <w:vAlign w:val="top"/>
          </w:tcPr>
          <w:p>
            <w:pPr>
              <w:keepNext/>
              <w:spacing w:before="0" w:after="0" w:line="252" w:lineRule="auto"/>
              <w:jc w:val="center"/>
            </w:pPr>
          </w:p>
        </w:tc>
        <w:tc>
          <w:tcPr>
            <w:tcW w:w="1239" w:type="dxa"/>
            <w:shd w:val="clear" w:color="auto" w:fill="E9F2EB"/>
            <w:vAlign w:val="top"/>
          </w:tcPr>
          <w:p>
            <w:pPr>
              <w:keepNext/>
              <w:spacing w:before="0" w:after="0" w:line="252" w:lineRule="auto"/>
              <w:jc w:val="center"/>
            </w:pPr>
            <w:r>
              <w:rPr>
                <w:rFonts w:ascii="Barlow" w:hAnsi="Barlow" w:cs="Barlow" w:eastAsia="Barlow"/>
                <w:color w:val="0F2440"/>
                <w:sz w:val="17"/>
                <w:szCs w:val="17"/>
              </w:rPr>
              <w:t xml:space="preserve">100</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spacing w:before="0" w:after="140" w:line="300" w:lineRule="auto"/>
        <w:jc w:val="both"/>
      </w:pPr>
      <w:r>
        <w:rPr>
          <w:rFonts w:ascii="Barlow" w:hAnsi="Barlow" w:cs="Barlow" w:eastAsia="Barlow"/>
          <w:color w:val="0F2440"/>
          <w:sz w:val="20"/>
          <w:szCs w:val="20"/>
        </w:rPr>
        <w:t xml:space="preserve">Além do painel, serão realizadas entrevistas de saída com pesquisadores populares que deixarem a função, porque o afastamento é informação central sobre a sustentabilidade da metodologia. Os moradores que não integram as redes ativadas serão selecionados, em parte, entre os respondentes do inquérito domiciliar que autorizarem novo contato, segundo perfis contrastantes de determinantes sociais da saúde (seção 6.7). Não serão incluídos menores de 18 anos como participantes da pesquisa. A recusa ou a desistência não acarretará qualquer prejuízo no acesso a serviços, na participação nas atividades da PICAPS ou nas relações de trabalho.</w:t>
      </w:r>
    </w:p>
    <w:p>
      <w:pPr>
        <w:pStyle w:val="Heading2"/>
        <w:keepNext/>
        <w:spacing w:before="340" w:after="120" w:line="264" w:lineRule="auto"/>
        <w:jc w:val="left"/>
      </w:pPr>
      <w:bookmarkStart w:id="24" w:name="_h21"/>
      <w:r>
        <w:rPr>
          <w:rFonts w:ascii="Barlow Condensed SemiBold" w:hAnsi="Barlow Condensed SemiBold" w:cs="Barlow Condensed SemiBold" w:eastAsia="Barlow Condensed SemiBold"/>
          <w:color w:val="007614"/>
          <w:sz w:val="30"/>
          <w:szCs w:val="30"/>
        </w:rPr>
        <w:t xml:space="preserve">6.5 ONDAS LONGITUDINAIS E PRODUÇÃO DE DADOS QUALITATIVOS</w:t>
      </w:r>
      <w:bookmarkEnd w:id="24"/>
    </w:p>
    <w:p>
      <w:pPr>
        <w:spacing w:before="0" w:after="140" w:line="300" w:lineRule="auto"/>
        <w:jc w:val="both"/>
      </w:pPr>
      <w:r>
        <w:rPr>
          <w:rFonts w:ascii="Barlow" w:hAnsi="Barlow" w:cs="Barlow" w:eastAsia="Barlow"/>
          <w:color w:val="0F2440"/>
          <w:sz w:val="20"/>
          <w:szCs w:val="20"/>
        </w:rPr>
        <w:t xml:space="preserve">As ondas são definidas por marcos da intervenção, e não por datas fixas, para que os setores sejam comparados em momentos equivalentes de sua trajetória. O Quadro 3 apresenta o calendário previsto, que acompanhará eventuais ajustes no cronograma da implantação.</w:t>
      </w:r>
    </w:p>
    <w:p>
      <w:pPr>
        <w:keepNext/>
        <w:spacing w:before="200" w:after="100" w:line="264" w:lineRule="auto"/>
        <w:jc w:val="left"/>
      </w:pPr>
      <w:bookmarkStart w:id="25" w:name="_q_3"/>
      <w:r>
        <w:rPr>
          <w:rFonts w:ascii="Barlow Condensed SemiBold" w:hAnsi="Barlow Condensed SemiBold" w:cs="Barlow Condensed SemiBold" w:eastAsia="Barlow Condensed SemiBold"/>
          <w:color w:val="007614"/>
          <w:sz w:val="21"/>
          <w:szCs w:val="21"/>
        </w:rPr>
        <w:t xml:space="preserve">Quadro 3 – </w:t>
      </w:r>
      <w:r>
        <w:rPr>
          <w:rFonts w:ascii="Barlow Condensed SemiBold" w:hAnsi="Barlow Condensed SemiBold" w:cs="Barlow Condensed SemiBold" w:eastAsia="Barlow Condensed SemiBold"/>
          <w:color w:val="01366F"/>
          <w:sz w:val="21"/>
          <w:szCs w:val="21"/>
        </w:rPr>
        <w:t xml:space="preserve">Ondas de produção de dados por setor (meses do projeto)</w:t>
      </w:r>
      <w:bookmarkEnd w:id="25"/>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2211"/>
        <w:gridCol w:w="2211"/>
        <w:gridCol w:w="2211"/>
        <w:gridCol w:w="2211"/>
      </w:tblGrid>
      <w:tr>
        <w:trPr>
          <w:tblHeader/>
          <w:cantSplit/>
        </w:trPr>
        <w:tc>
          <w:tcPr>
            <w:tcW w:w="2211"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Setor (ordem de implantação)</w:t>
            </w:r>
          </w:p>
        </w:tc>
        <w:tc>
          <w:tcPr>
            <w:tcW w:w="2211"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Onda 1 – ativação e cartografia (Etapas 1 a 3)</w:t>
            </w:r>
          </w:p>
        </w:tc>
        <w:tc>
          <w:tcPr>
            <w:tcW w:w="2211"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Onda 2 – início da Sala (1 a 3 meses de operação)</w:t>
            </w:r>
          </w:p>
        </w:tc>
        <w:tc>
          <w:tcPr>
            <w:tcW w:w="2211"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Onda 3 – consolidação (9 a 12 meses de operação)</w:t>
            </w:r>
          </w:p>
        </w:tc>
      </w:tr>
      <w:tr>
        <w:trPr>
          <w:cantSplit/>
        </w:trPr>
        <w:tc>
          <w:tcPr>
            <w:tcW w:w="2211"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1º setor (intensivo)</w:t>
            </w:r>
          </w:p>
        </w:tc>
        <w:tc>
          <w:tcPr>
            <w:tcW w:w="221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M7–M9</w:t>
            </w:r>
          </w:p>
        </w:tc>
        <w:tc>
          <w:tcPr>
            <w:tcW w:w="221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M13–M15</w:t>
            </w:r>
          </w:p>
        </w:tc>
        <w:tc>
          <w:tcPr>
            <w:tcW w:w="221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M22–M24</w:t>
            </w:r>
          </w:p>
        </w:tc>
      </w:tr>
      <w:tr>
        <w:trPr>
          <w:cantSplit/>
        </w:trPr>
        <w:tc>
          <w:tcPr>
            <w:tcW w:w="2211"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2º setor (intensivo)</w:t>
            </w:r>
          </w:p>
        </w:tc>
        <w:tc>
          <w:tcPr>
            <w:tcW w:w="2211" w:type="dxa"/>
            <w:shd w:val="clear" w:color="auto" w:fill="E9F2EB"/>
            <w:vAlign w:val="top"/>
          </w:tcPr>
          <w:p>
            <w:pPr>
              <w:spacing w:before="0" w:after="0" w:line="252" w:lineRule="auto"/>
              <w:jc w:val="left"/>
            </w:pPr>
            <w:r>
              <w:rPr>
                <w:rFonts w:ascii="Barlow" w:hAnsi="Barlow" w:cs="Barlow" w:eastAsia="Barlow"/>
                <w:color w:val="0F2440"/>
                <w:sz w:val="17"/>
                <w:szCs w:val="17"/>
              </w:rPr>
              <w:t xml:space="preserve">M10–M12</w:t>
            </w:r>
          </w:p>
        </w:tc>
        <w:tc>
          <w:tcPr>
            <w:tcW w:w="2211" w:type="dxa"/>
            <w:shd w:val="clear" w:color="auto" w:fill="E9F2EB"/>
            <w:vAlign w:val="top"/>
          </w:tcPr>
          <w:p>
            <w:pPr>
              <w:spacing w:before="0" w:after="0" w:line="252" w:lineRule="auto"/>
              <w:jc w:val="left"/>
            </w:pPr>
            <w:r>
              <w:rPr>
                <w:rFonts w:ascii="Barlow" w:hAnsi="Barlow" w:cs="Barlow" w:eastAsia="Barlow"/>
                <w:color w:val="0F2440"/>
                <w:sz w:val="17"/>
                <w:szCs w:val="17"/>
              </w:rPr>
              <w:t xml:space="preserve">M16–M18</w:t>
            </w:r>
          </w:p>
        </w:tc>
        <w:tc>
          <w:tcPr>
            <w:tcW w:w="2211" w:type="dxa"/>
            <w:shd w:val="clear" w:color="auto" w:fill="E9F2EB"/>
            <w:vAlign w:val="top"/>
          </w:tcPr>
          <w:p>
            <w:pPr>
              <w:spacing w:before="0" w:after="0" w:line="252" w:lineRule="auto"/>
              <w:jc w:val="left"/>
            </w:pPr>
            <w:r>
              <w:rPr>
                <w:rFonts w:ascii="Barlow" w:hAnsi="Barlow" w:cs="Barlow" w:eastAsia="Barlow"/>
                <w:color w:val="0F2440"/>
                <w:sz w:val="17"/>
                <w:szCs w:val="17"/>
              </w:rPr>
              <w:t xml:space="preserve">M25–M27</w:t>
            </w:r>
          </w:p>
        </w:tc>
      </w:tr>
      <w:tr>
        <w:trPr>
          <w:cantSplit/>
        </w:trPr>
        <w:tc>
          <w:tcPr>
            <w:tcW w:w="2211"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3º setor (extensivo)</w:t>
            </w:r>
          </w:p>
        </w:tc>
        <w:tc>
          <w:tcPr>
            <w:tcW w:w="221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M13–M15</w:t>
            </w:r>
          </w:p>
        </w:tc>
        <w:tc>
          <w:tcPr>
            <w:tcW w:w="221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M19–M21</w:t>
            </w:r>
          </w:p>
        </w:tc>
        <w:tc>
          <w:tcPr>
            <w:tcW w:w="221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M28–M30</w:t>
            </w:r>
          </w:p>
        </w:tc>
      </w:tr>
      <w:tr>
        <w:trPr>
          <w:cantSplit/>
        </w:trPr>
        <w:tc>
          <w:tcPr>
            <w:tcW w:w="2211" w:type="dxa"/>
            <w:shd w:val="clear" w:color="auto" w:fill="E9F2EB"/>
            <w:vAlign w:val="top"/>
          </w:tcPr>
          <w:p>
            <w:pPr>
              <w:keepNext/>
              <w:spacing w:before="0" w:after="0" w:line="252" w:lineRule="auto"/>
              <w:jc w:val="left"/>
            </w:pPr>
            <w:r>
              <w:rPr>
                <w:rFonts w:ascii="Barlow SemiBold" w:hAnsi="Barlow SemiBold" w:cs="Barlow SemiBold" w:eastAsia="Barlow SemiBold"/>
                <w:color w:val="01366F"/>
                <w:sz w:val="17"/>
                <w:szCs w:val="17"/>
              </w:rPr>
              <w:t xml:space="preserve">4º setor (extensivo)</w:t>
            </w:r>
          </w:p>
        </w:tc>
        <w:tc>
          <w:tcPr>
            <w:tcW w:w="2211"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M16–M18</w:t>
            </w:r>
          </w:p>
        </w:tc>
        <w:tc>
          <w:tcPr>
            <w:tcW w:w="2211"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M22–M24</w:t>
            </w:r>
          </w:p>
        </w:tc>
        <w:tc>
          <w:tcPr>
            <w:tcW w:w="2211"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M31–M33</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 com base no calendário de implantação faseada da PICAPS.</w:t>
      </w:r>
    </w:p>
    <w:p>
      <w:pPr>
        <w:spacing w:before="0" w:after="140" w:line="300" w:lineRule="auto"/>
        <w:jc w:val="both"/>
      </w:pPr>
      <w:r>
        <w:rPr>
          <w:rFonts w:ascii="Barlow" w:hAnsi="Barlow" w:cs="Barlow" w:eastAsia="Barlow"/>
          <w:color w:val="0F2440"/>
          <w:sz w:val="20"/>
          <w:szCs w:val="20"/>
        </w:rPr>
        <w:t xml:space="preserve">Serão empregados cinco procedimentos de produção de dados: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entrevistas semiestruturadas</w:t>
      </w:r>
      <w:r>
        <w:rPr>
          <w:rFonts w:ascii="Barlow" w:hAnsi="Barlow" w:cs="Barlow" w:eastAsia="Barlow"/>
          <w:color w:val="0F2440"/>
          <w:sz w:val="20"/>
          <w:szCs w:val="20"/>
        </w:rPr>
        <w:t xml:space="preserve">, com roteiros específicos por grupo e por onda (Apêndice A), gravadas em áudio mediante consentimento e transcritas na íntegra; na segunda e na terceira ondas, os roteiros retomam o que o participante relatou anteriormente, para explorar mudanças;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observação participante</w:t>
      </w:r>
      <w:r>
        <w:rPr>
          <w:rFonts w:ascii="Barlow" w:hAnsi="Barlow" w:cs="Barlow" w:eastAsia="Barlow"/>
          <w:color w:val="0F2440"/>
          <w:sz w:val="20"/>
          <w:szCs w:val="20"/>
        </w:rPr>
        <w:t xml:space="preserve"> das reuniões deliberativas das Salas, das oficinas de cartografia social e de elaboração do Plano Popular (ao menos duas por setor) e de encontros da formação (dois por turma), registrada em diário de campo com roteiro padronizado (Apêndice B); estimam-se cerca de 52 reuniões de Sala observadas;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análise documental</w:t>
      </w:r>
      <w:r>
        <w:rPr>
          <w:rFonts w:ascii="Barlow" w:hAnsi="Barlow" w:cs="Barlow" w:eastAsia="Barlow"/>
          <w:color w:val="0F2440"/>
          <w:sz w:val="20"/>
          <w:szCs w:val="20"/>
        </w:rPr>
        <w:t xml:space="preserve"> de atas, Relatórios de Ciclo, Planos Populares, mapas da cartografia social, materiais formativos, registros agregados de alertas e encaminhamentos da Plataforma Ágora e documentos institucionais da SES-DF;</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rastreamento de trajetórias</w:t>
      </w:r>
      <w:r>
        <w:rPr>
          <w:rFonts w:ascii="Barlow" w:hAnsi="Barlow" w:cs="Barlow" w:eastAsia="Barlow"/>
          <w:color w:val="0F2440"/>
          <w:sz w:val="20"/>
          <w:szCs w:val="20"/>
        </w:rPr>
        <w:t xml:space="preserve">: reconstrução de 24 episódios (seis por setor), selecionados de forma estratificada entre alertas da vigilância popular e demandas do Plano Popular, garantindo que ao menos um terço deles não tenha recebido resposta; cada episódio é reconstruído por documentos e por entrevistas curtas com os atores envolvidos, em ficha própria (Apêndice C);</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e)</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oficinas de interpretação</w:t>
      </w:r>
      <w:r>
        <w:rPr>
          <w:rFonts w:ascii="Barlow" w:hAnsi="Barlow" w:cs="Barlow" w:eastAsia="Barlow"/>
          <w:color w:val="0F2440"/>
          <w:sz w:val="20"/>
          <w:szCs w:val="20"/>
        </w:rPr>
        <w:t xml:space="preserve"> com cada Sala após a segunda e a terceira ondas (oito no total), nas quais achados parciais são discutidos com os participantes.</w:t>
      </w:r>
    </w:p>
    <w:p>
      <w:pPr>
        <w:pStyle w:val="Heading2"/>
        <w:keepNext/>
        <w:spacing w:before="340" w:after="120" w:line="264" w:lineRule="auto"/>
        <w:jc w:val="left"/>
      </w:pPr>
      <w:bookmarkStart w:id="26" w:name="_h22"/>
      <w:r>
        <w:rPr>
          <w:rFonts w:ascii="Barlow Condensed SemiBold" w:hAnsi="Barlow Condensed SemiBold" w:cs="Barlow Condensed SemiBold" w:eastAsia="Barlow Condensed SemiBold"/>
          <w:color w:val="007614"/>
          <w:sz w:val="30"/>
          <w:szCs w:val="30"/>
        </w:rPr>
        <w:t xml:space="preserve">6.6 INQUÉRITO DOMICILIAR SOBRE DETERMINANTES SOCIAIS DA SAÚDE</w:t>
      </w:r>
      <w:bookmarkEnd w:id="26"/>
    </w:p>
    <w:p>
      <w:pPr>
        <w:pStyle w:val="Heading3"/>
        <w:keepNext/>
        <w:spacing w:before="260" w:after="100" w:line="264" w:lineRule="auto"/>
        <w:jc w:val="left"/>
      </w:pPr>
      <w:bookmarkStart w:id="27" w:name="_h23"/>
      <w:r>
        <w:rPr>
          <w:rFonts w:ascii="Barlow Condensed SemiBold" w:hAnsi="Barlow Condensed SemiBold" w:cs="Barlow Condensed SemiBold" w:eastAsia="Barlow Condensed SemiBold"/>
          <w:color w:val="01366F"/>
          <w:sz w:val="25"/>
          <w:szCs w:val="25"/>
        </w:rPr>
        <w:t xml:space="preserve">6.6.1 Desenho, população e amostra</w:t>
      </w:r>
      <w:bookmarkEnd w:id="27"/>
    </w:p>
    <w:p>
      <w:pPr>
        <w:spacing w:before="0" w:after="140" w:line="300" w:lineRule="auto"/>
        <w:jc w:val="both"/>
      </w:pPr>
      <w:r>
        <w:rPr>
          <w:rFonts w:ascii="Barlow" w:hAnsi="Barlow" w:cs="Barlow" w:eastAsia="Barlow"/>
          <w:color w:val="0F2440"/>
          <w:sz w:val="20"/>
          <w:szCs w:val="20"/>
        </w:rPr>
        <w:t xml:space="preserve">A população do inquérito são os domicílios particulares permanentes ocupados dos quatro setores. Em cada domicílio será entrevistado um morador de 18 anos ou mais, preferencialmente a pessoa responsável ou seu cônjuge, que responderá aos blocos sobre o domicílio e sobre si mesmo. A amostragem será probabilística por conglomerados, em dois estágios, estratificada pelos quatro setores. No primeiro estágio, setores censitários do Censo Demográfico 2022 serão sorteados com probabilidade proporcional ao número de domicílios. No segundo, os domicílios serão selecionados por amostragem sistemática a partir de listagem atualizada em campo, procedimento recomendado para áreas de ocupação irregular, onde os cadastros oficiais são incompletos (ALVES et al., 2011).</w:t>
      </w:r>
    </w:p>
    <w:p>
      <w:pPr>
        <w:spacing w:before="0" w:after="140" w:line="300" w:lineRule="auto"/>
        <w:jc w:val="both"/>
      </w:pPr>
      <w:r>
        <w:rPr>
          <w:rFonts w:ascii="Barlow" w:hAnsi="Barlow" w:cs="Barlow" w:eastAsia="Barlow"/>
          <w:color w:val="0F2440"/>
          <w:sz w:val="20"/>
          <w:szCs w:val="20"/>
        </w:rPr>
        <w:t xml:space="preserve">O tamanho da amostra foi calculado para estimar, em cada setor, uma prevalência de 50%, cenário de maior variância, com precisão absoluta de 10 pontos percentuais e confiança de 95%, o que resulta em 96 domicílios (LWANGA; LEMESHOW, 1991). A fórmula aplicada é n = [z² × P(1 − P) / d²] × deff ÷ (1 − perda). Com efeito de desenho de 1,5 e perda de 30%, valores compatíveis com inquéritos domiciliares brasileiros recentes (RODRIGUES et al., 2021), chega-se a cerca de 210 domicílios por setor e 840 no total, distribuídos em aproximadamente 11 setores censitários por setor do território, com cerca de 20 domicílios cada. Para o conjunto do território, essa amostra permite estimar prevalências com precisão aproximada de 5 pontos percentuais.</w:t>
      </w:r>
    </w:p>
    <w:p>
      <w:pPr>
        <w:pStyle w:val="Heading3"/>
        <w:keepNext/>
        <w:spacing w:before="260" w:after="100" w:line="264" w:lineRule="auto"/>
        <w:jc w:val="left"/>
      </w:pPr>
      <w:bookmarkStart w:id="28" w:name="_h24"/>
      <w:r>
        <w:rPr>
          <w:rFonts w:ascii="Barlow Condensed SemiBold" w:hAnsi="Barlow Condensed SemiBold" w:cs="Barlow Condensed SemiBold" w:eastAsia="Barlow Condensed SemiBold"/>
          <w:color w:val="01366F"/>
          <w:sz w:val="25"/>
          <w:szCs w:val="25"/>
        </w:rPr>
        <w:t xml:space="preserve">6.6.2 Questionário</w:t>
      </w:r>
      <w:bookmarkEnd w:id="28"/>
    </w:p>
    <w:p>
      <w:pPr>
        <w:spacing w:before="0" w:after="140" w:line="300" w:lineRule="auto"/>
        <w:jc w:val="both"/>
      </w:pPr>
      <w:r>
        <w:rPr>
          <w:rFonts w:ascii="Barlow" w:hAnsi="Barlow" w:cs="Barlow" w:eastAsia="Barlow"/>
          <w:color w:val="0F2440"/>
          <w:sz w:val="20"/>
          <w:szCs w:val="20"/>
        </w:rPr>
        <w:t xml:space="preserve">O questionário foi construído a partir do referencial da Comissão sobre Determinantes Sociais da Saúde da OMS (SOLAR; IRWIN, 2010), apresentado na seção 5.1. A seleção dos itens seguiu três critérios, nesta ordem de prioridade: itens de inquéritos oficiais brasileiros, que permitem comparar o território com o Distrito Federal e com o país; escalas com validação no Brasil; e itens adaptados ou elaborados pela equipe somente para dimensões sem instrumento disponível, sempre submetidos a teste cognitivo.</w:t>
      </w:r>
    </w:p>
    <w:p>
      <w:pPr>
        <w:spacing w:before="0" w:after="140" w:line="300" w:lineRule="auto"/>
        <w:jc w:val="both"/>
      </w:pPr>
      <w:r>
        <w:rPr>
          <w:rFonts w:ascii="Barlow" w:hAnsi="Barlow" w:cs="Barlow" w:eastAsia="Barlow"/>
          <w:color w:val="0F2440"/>
          <w:sz w:val="20"/>
          <w:szCs w:val="20"/>
        </w:rPr>
        <w:t xml:space="preserve">Ferramentas internacionais de triagem de necessidades sociais, como o PRAPARE (NACHC, 2016) e a ferramenta do modelo </w:t>
      </w:r>
      <w:r>
        <w:rPr>
          <w:rFonts w:ascii="Barlow" w:hAnsi="Barlow" w:cs="Barlow" w:eastAsia="Barlow"/>
          <w:i/>
          <w:iCs/>
          <w:color w:val="0F2440"/>
          <w:sz w:val="20"/>
          <w:szCs w:val="20"/>
        </w:rPr>
        <w:t xml:space="preserve">Accountable Health Communities</w:t>
      </w:r>
      <w:r>
        <w:rPr>
          <w:rFonts w:ascii="Barlow" w:hAnsi="Barlow" w:cs="Barlow" w:eastAsia="Barlow"/>
          <w:color w:val="0F2440"/>
          <w:sz w:val="20"/>
          <w:szCs w:val="20"/>
        </w:rPr>
        <w:t xml:space="preserve"> (BILLIOUX et al., 2017), foram examinadas e não adotadas como base. Elas foram concebidas para triagem individual em serviços clínicos, parte de seus itens tem restrições de licença e, como mostra revisão sistemática, a maioria das ferramentas de triagem de risco social tem evidência psicométrica muito limitada (HENRIKSON et al., 2019). Seus domínios, porém, orientaram a inclusão de itens sobre contas atrasadas, cortes de serviços e transporte.</w:t>
      </w:r>
    </w:p>
    <w:p>
      <w:pPr>
        <w:spacing w:before="0" w:after="140" w:line="300" w:lineRule="auto"/>
        <w:jc w:val="both"/>
      </w:pPr>
      <w:r>
        <w:rPr>
          <w:rFonts w:ascii="Barlow" w:hAnsi="Barlow" w:cs="Barlow" w:eastAsia="Barlow"/>
          <w:color w:val="0F2440"/>
          <w:sz w:val="20"/>
          <w:szCs w:val="20"/>
        </w:rPr>
        <w:t xml:space="preserve">Os instrumentos de origem são: a Escala Brasileira de Insegurança Alimentar (EBIA), em sua versão de 14 itens usada pelo IBGE, que classifica o domicílio em segurança ou insegurança alimentar leve, moderada ou grave e permite comparação com as estimativas nacionais (IBGE, 2020; 2025), reproduzida no Anexo A; o Critério de Classificação Econômica Brasil 2026 (ABEP, 2026), reproduzido no Anexo B; itens dos módulos de domicílio, Estratégia Saúde da Família, percepção do estado de saúde, doenças crônicas e apoio social da Pesquisa Nacional de Saúde 2019 (IBGE, 2021); itens de entorno da PDAD-A 2023, como alagamento e esgoto a céu aberto (IPEDF, 2023); a versão de quatro itens da escala HWISE de insegurança hídrica (YOUNG et al., 2019; 2021); itens de coesão social, segurança e violência adaptados das escalas de vizinhança validadas no ELSA-Brasil (SANTOS, S. M. et al., 2013); e situações e motivos de discriminação adaptados da Escala de Discriminação Explícita (BASTOS et al., 2012), com inclusão explícita do local de moradia entre os motivos, dado o estigma territorial que recai sobre o Sol Nascente.</w:t>
      </w:r>
    </w:p>
    <w:p>
      <w:pPr>
        <w:spacing w:before="0" w:after="140" w:line="300" w:lineRule="auto"/>
        <w:jc w:val="both"/>
      </w:pPr>
      <w:r>
        <w:rPr>
          <w:rFonts w:ascii="Barlow" w:hAnsi="Barlow" w:cs="Barlow" w:eastAsia="Barlow"/>
          <w:color w:val="0F2440"/>
          <w:sz w:val="20"/>
          <w:szCs w:val="20"/>
        </w:rPr>
        <w:t xml:space="preserve">O questionário (Apêndice D) tem 13 blocos, 99 itens estruturados, dos quais 14 da EBIA, e seis questões abertas, com duração estimada de 35 a 40 minutos, a confirmar no piloto. O Quadro 4 relaciona as dimensões medidas aos níveis do referencial e aos instrumentos de origem.</w:t>
      </w:r>
    </w:p>
    <w:p>
      <w:pPr>
        <w:keepNext/>
        <w:spacing w:before="200" w:after="100" w:line="264" w:lineRule="auto"/>
        <w:jc w:val="left"/>
      </w:pPr>
      <w:bookmarkStart w:id="29" w:name="_q_4"/>
      <w:r>
        <w:rPr>
          <w:rFonts w:ascii="Barlow Condensed SemiBold" w:hAnsi="Barlow Condensed SemiBold" w:cs="Barlow Condensed SemiBold" w:eastAsia="Barlow Condensed SemiBold"/>
          <w:color w:val="007614"/>
          <w:sz w:val="21"/>
          <w:szCs w:val="21"/>
        </w:rPr>
        <w:t xml:space="preserve">Quadro 4 – </w:t>
      </w:r>
      <w:r>
        <w:rPr>
          <w:rFonts w:ascii="Barlow Condensed SemiBold" w:hAnsi="Barlow Condensed SemiBold" w:cs="Barlow Condensed SemiBold" w:eastAsia="Barlow Condensed SemiBold"/>
          <w:color w:val="01366F"/>
          <w:sz w:val="21"/>
          <w:szCs w:val="21"/>
        </w:rPr>
        <w:t xml:space="preserve">Dimensões do questionário, níveis do referencial e instrumentos de origem</w:t>
      </w:r>
      <w:bookmarkEnd w:id="29"/>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1768"/>
        <w:gridCol w:w="2918"/>
        <w:gridCol w:w="707"/>
        <w:gridCol w:w="707"/>
        <w:gridCol w:w="2744"/>
      </w:tblGrid>
      <w:tr>
        <w:trPr>
          <w:tblHeader/>
          <w:cantSplit/>
        </w:trPr>
        <w:tc>
          <w:tcPr>
            <w:tcW w:w="1768"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Nível (Solar e Irwin)</w:t>
            </w:r>
          </w:p>
        </w:tc>
        <w:tc>
          <w:tcPr>
            <w:tcW w:w="2918"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Dimensão</w:t>
            </w:r>
          </w:p>
        </w:tc>
        <w:tc>
          <w:tcPr>
            <w:tcW w:w="707"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Bloco</w:t>
            </w:r>
          </w:p>
        </w:tc>
        <w:tc>
          <w:tcPr>
            <w:tcW w:w="707"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Itens</w:t>
            </w:r>
          </w:p>
        </w:tc>
        <w:tc>
          <w:tcPr>
            <w:tcW w:w="2744"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Instrumentos de origem</w:t>
            </w:r>
          </w:p>
        </w:tc>
      </w:tr>
      <w:tr>
        <w:trPr>
          <w:cantSplit/>
        </w:trPr>
        <w:tc>
          <w:tcPr>
            <w:tcW w:w="176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Estrutural</w:t>
            </w:r>
          </w:p>
        </w:tc>
        <w:tc>
          <w:tcPr>
            <w:tcW w:w="291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Posição socioeconômica: escolaridade, cor ou raça, gênero, trabalho, renda e proteção social</w:t>
            </w:r>
          </w:p>
        </w:tc>
        <w:tc>
          <w:tcPr>
            <w:tcW w:w="70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B, C</w:t>
            </w:r>
          </w:p>
        </w:tc>
        <w:tc>
          <w:tcPr>
            <w:tcW w:w="707"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21</w:t>
            </w:r>
          </w:p>
        </w:tc>
        <w:tc>
          <w:tcPr>
            <w:tcW w:w="274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IBGE; PNS 2019; PDAD-A 2023; ABEP 2026; itens próprios</w:t>
            </w:r>
          </w:p>
        </w:tc>
      </w:tr>
      <w:tr>
        <w:trPr>
          <w:cantSplit/>
        </w:trPr>
        <w:tc>
          <w:tcPr>
            <w:tcW w:w="176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Intermediário – material</w:t>
            </w:r>
          </w:p>
        </w:tc>
        <w:tc>
          <w:tcPr>
            <w:tcW w:w="291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Moradia, saneamento, entorno e bens do domicílio</w:t>
            </w:r>
          </w:p>
        </w:tc>
        <w:tc>
          <w:tcPr>
            <w:tcW w:w="707"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D</w:t>
            </w:r>
          </w:p>
        </w:tc>
        <w:tc>
          <w:tcPr>
            <w:tcW w:w="707"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21</w:t>
            </w:r>
          </w:p>
        </w:tc>
        <w:tc>
          <w:tcPr>
            <w:tcW w:w="274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PNS 2019; PDAD-A 2023; ABEP 2026; itens próprios</w:t>
            </w:r>
          </w:p>
        </w:tc>
      </w:tr>
      <w:tr>
        <w:trPr>
          <w:cantSplit/>
        </w:trPr>
        <w:tc>
          <w:tcPr>
            <w:tcW w:w="176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Intermediário – material</w:t>
            </w:r>
          </w:p>
        </w:tc>
        <w:tc>
          <w:tcPr>
            <w:tcW w:w="291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Insegurança hídrica</w:t>
            </w:r>
          </w:p>
        </w:tc>
        <w:tc>
          <w:tcPr>
            <w:tcW w:w="707"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E</w:t>
            </w:r>
          </w:p>
        </w:tc>
        <w:tc>
          <w:tcPr>
            <w:tcW w:w="707"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4</w:t>
            </w:r>
          </w:p>
        </w:tc>
        <w:tc>
          <w:tcPr>
            <w:tcW w:w="274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HWISE-4 (tradução a adaptar)</w:t>
            </w:r>
          </w:p>
        </w:tc>
      </w:tr>
      <w:tr>
        <w:trPr>
          <w:cantSplit/>
        </w:trPr>
        <w:tc>
          <w:tcPr>
            <w:tcW w:w="176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Intermediário – material</w:t>
            </w:r>
          </w:p>
        </w:tc>
        <w:tc>
          <w:tcPr>
            <w:tcW w:w="291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Insegurança alimentar</w:t>
            </w:r>
          </w:p>
        </w:tc>
        <w:tc>
          <w:tcPr>
            <w:tcW w:w="707"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F</w:t>
            </w:r>
          </w:p>
        </w:tc>
        <w:tc>
          <w:tcPr>
            <w:tcW w:w="707"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15</w:t>
            </w:r>
          </w:p>
        </w:tc>
        <w:tc>
          <w:tcPr>
            <w:tcW w:w="274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EBIA (14 itens); item próprio</w:t>
            </w:r>
          </w:p>
        </w:tc>
      </w:tr>
      <w:tr>
        <w:trPr>
          <w:cantSplit/>
        </w:trPr>
        <w:tc>
          <w:tcPr>
            <w:tcW w:w="176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Intermediário – psicossocial</w:t>
            </w:r>
          </w:p>
        </w:tc>
        <w:tc>
          <w:tcPr>
            <w:tcW w:w="291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Coesão social, segurança e violência na vizinhança</w:t>
            </w:r>
          </w:p>
        </w:tc>
        <w:tc>
          <w:tcPr>
            <w:tcW w:w="707"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G</w:t>
            </w:r>
          </w:p>
        </w:tc>
        <w:tc>
          <w:tcPr>
            <w:tcW w:w="707"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9</w:t>
            </w:r>
          </w:p>
        </w:tc>
        <w:tc>
          <w:tcPr>
            <w:tcW w:w="274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ELSA-Brasil (adaptado); itens próprios</w:t>
            </w:r>
          </w:p>
        </w:tc>
      </w:tr>
      <w:tr>
        <w:trPr>
          <w:cantSplit/>
        </w:trPr>
        <w:tc>
          <w:tcPr>
            <w:tcW w:w="176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Transversal – coesão e capital social</w:t>
            </w:r>
          </w:p>
        </w:tc>
        <w:tc>
          <w:tcPr>
            <w:tcW w:w="291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Apoio social, participação comunitária e conhecimento da PICAPS</w:t>
            </w:r>
          </w:p>
        </w:tc>
        <w:tc>
          <w:tcPr>
            <w:tcW w:w="707"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H</w:t>
            </w:r>
          </w:p>
        </w:tc>
        <w:tc>
          <w:tcPr>
            <w:tcW w:w="707"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10</w:t>
            </w:r>
          </w:p>
        </w:tc>
        <w:tc>
          <w:tcPr>
            <w:tcW w:w="274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PNS 2019 (módulo M); itens próprios</w:t>
            </w:r>
          </w:p>
        </w:tc>
      </w:tr>
      <w:tr>
        <w:trPr>
          <w:cantSplit/>
        </w:trPr>
        <w:tc>
          <w:tcPr>
            <w:tcW w:w="176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Intermediário – psicossocial</w:t>
            </w:r>
          </w:p>
        </w:tc>
        <w:tc>
          <w:tcPr>
            <w:tcW w:w="291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Discriminação</w:t>
            </w:r>
          </w:p>
        </w:tc>
        <w:tc>
          <w:tcPr>
            <w:tcW w:w="707"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I</w:t>
            </w:r>
          </w:p>
        </w:tc>
        <w:tc>
          <w:tcPr>
            <w:tcW w:w="707"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7</w:t>
            </w:r>
          </w:p>
        </w:tc>
        <w:tc>
          <w:tcPr>
            <w:tcW w:w="274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EDE (adaptada)</w:t>
            </w:r>
          </w:p>
        </w:tc>
      </w:tr>
      <w:tr>
        <w:trPr>
          <w:cantSplit/>
        </w:trPr>
        <w:tc>
          <w:tcPr>
            <w:tcW w:w="176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Sistema de saúde</w:t>
            </w:r>
          </w:p>
        </w:tc>
        <w:tc>
          <w:tcPr>
            <w:tcW w:w="291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Saúde autorreferida, cadastro na ESF, visitas do ACS, acesso e barreiras</w:t>
            </w:r>
          </w:p>
        </w:tc>
        <w:tc>
          <w:tcPr>
            <w:tcW w:w="707"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J</w:t>
            </w:r>
          </w:p>
        </w:tc>
        <w:tc>
          <w:tcPr>
            <w:tcW w:w="707"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10</w:t>
            </w:r>
          </w:p>
        </w:tc>
        <w:tc>
          <w:tcPr>
            <w:tcW w:w="274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PNS 2019; itens próprios</w:t>
            </w:r>
          </w:p>
        </w:tc>
      </w:tr>
      <w:tr>
        <w:trPr>
          <w:cantSplit/>
        </w:trPr>
        <w:tc>
          <w:tcPr>
            <w:tcW w:w="176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Intermediário – material</w:t>
            </w:r>
          </w:p>
        </w:tc>
        <w:tc>
          <w:tcPr>
            <w:tcW w:w="291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Acesso digital</w:t>
            </w:r>
          </w:p>
        </w:tc>
        <w:tc>
          <w:tcPr>
            <w:tcW w:w="707"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K</w:t>
            </w:r>
          </w:p>
        </w:tc>
        <w:tc>
          <w:tcPr>
            <w:tcW w:w="707"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2</w:t>
            </w:r>
          </w:p>
        </w:tc>
        <w:tc>
          <w:tcPr>
            <w:tcW w:w="274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PNS 2019 (adaptado); item próprio</w:t>
            </w:r>
          </w:p>
        </w:tc>
      </w:tr>
      <w:tr>
        <w:trPr>
          <w:cantSplit/>
        </w:trPr>
        <w:tc>
          <w:tcPr>
            <w:tcW w:w="1768" w:type="dxa"/>
            <w:shd w:val="clear" w:color="auto" w:fill="E9F2EB"/>
            <w:vAlign w:val="top"/>
          </w:tcPr>
          <w:p>
            <w:pPr>
              <w:keepNext/>
              <w:spacing w:before="0" w:after="0" w:line="252" w:lineRule="auto"/>
              <w:jc w:val="left"/>
            </w:pPr>
            <w:r>
              <w:rPr>
                <w:rFonts w:ascii="Barlow SemiBold" w:hAnsi="Barlow SemiBold" w:cs="Barlow SemiBold" w:eastAsia="Barlow SemiBold"/>
                <w:color w:val="01366F"/>
                <w:sz w:val="17"/>
                <w:szCs w:val="17"/>
              </w:rPr>
              <w:t xml:space="preserve">Percepções e experiências</w:t>
            </w:r>
          </w:p>
        </w:tc>
        <w:tc>
          <w:tcPr>
            <w:tcW w:w="2918"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Questões abertas</w:t>
            </w:r>
          </w:p>
        </w:tc>
        <w:tc>
          <w:tcPr>
            <w:tcW w:w="707" w:type="dxa"/>
            <w:shd w:val="clear" w:color="auto" w:fill="E9F2EB"/>
            <w:vAlign w:val="top"/>
          </w:tcPr>
          <w:p>
            <w:pPr>
              <w:keepNext/>
              <w:spacing w:before="0" w:after="0" w:line="252" w:lineRule="auto"/>
              <w:jc w:val="center"/>
            </w:pPr>
            <w:r>
              <w:rPr>
                <w:rFonts w:ascii="Barlow" w:hAnsi="Barlow" w:cs="Barlow" w:eastAsia="Barlow"/>
                <w:color w:val="0F2440"/>
                <w:sz w:val="17"/>
                <w:szCs w:val="17"/>
              </w:rPr>
              <w:t xml:space="preserve">L</w:t>
            </w:r>
          </w:p>
        </w:tc>
        <w:tc>
          <w:tcPr>
            <w:tcW w:w="707" w:type="dxa"/>
            <w:shd w:val="clear" w:color="auto" w:fill="E9F2EB"/>
            <w:vAlign w:val="top"/>
          </w:tcPr>
          <w:p>
            <w:pPr>
              <w:keepNext/>
              <w:spacing w:before="0" w:after="0" w:line="252" w:lineRule="auto"/>
              <w:jc w:val="center"/>
            </w:pPr>
            <w:r>
              <w:rPr>
                <w:rFonts w:ascii="Barlow" w:hAnsi="Barlow" w:cs="Barlow" w:eastAsia="Barlow"/>
                <w:color w:val="0F2440"/>
                <w:sz w:val="17"/>
                <w:szCs w:val="17"/>
              </w:rPr>
              <w:t xml:space="preserve">6</w:t>
            </w:r>
          </w:p>
        </w:tc>
        <w:tc>
          <w:tcPr>
            <w:tcW w:w="2744"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Elaboradas pela equipe</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spacing w:before="0" w:after="140" w:line="300" w:lineRule="auto"/>
        <w:jc w:val="both"/>
      </w:pPr>
      <w:r>
        <w:rPr>
          <w:rFonts w:ascii="Barlow" w:hAnsi="Barlow" w:cs="Barlow" w:eastAsia="Barlow"/>
          <w:color w:val="0F2440"/>
          <w:sz w:val="20"/>
          <w:szCs w:val="20"/>
        </w:rPr>
        <w:t xml:space="preserve">As seis questões abertas têm finalidades definidas antes da coleta, como recomenda a literatura sobre perguntas abertas em questionários (O'CATHAIN; THOMAS, 2004). Quatro buscam profundidade sobre os problemas percebidos, as experiências com os serviços e os caminhos de resolução de problemas no bairro, e se conectam às questões Q3 e Q4. Uma pede a prioridade que o morador levaria aos serviços, para comparação com o Plano Popular. A última funciona como rede de segurança para temas não previstos. As respostas serão registradas literalmente.</w:t>
      </w:r>
    </w:p>
    <w:p>
      <w:pPr>
        <w:spacing w:before="0" w:after="140" w:line="300" w:lineRule="auto"/>
        <w:jc w:val="both"/>
      </w:pPr>
      <w:r>
        <w:rPr>
          <w:rFonts w:ascii="Barlow" w:hAnsi="Barlow" w:cs="Barlow" w:eastAsia="Barlow"/>
          <w:color w:val="0F2440"/>
          <w:sz w:val="20"/>
          <w:szCs w:val="20"/>
        </w:rPr>
        <w:t xml:space="preserve">Não foram incluídas perguntas sobre violência doméstica ou sexual. Em entrevista domiciliar, frequentemente na presença de outros moradores, essas perguntas exigiriam protocolo específico de privacidade e de resposta que o desenho não comporta; a violência é abordada no nível da vizinhança.</w:t>
      </w:r>
    </w:p>
    <w:p>
      <w:pPr>
        <w:pStyle w:val="Heading3"/>
        <w:keepNext/>
        <w:spacing w:before="260" w:after="100" w:line="264" w:lineRule="auto"/>
        <w:jc w:val="left"/>
      </w:pPr>
      <w:bookmarkStart w:id="30" w:name="_h25"/>
      <w:r>
        <w:rPr>
          <w:rFonts w:ascii="Barlow Condensed SemiBold" w:hAnsi="Barlow Condensed SemiBold" w:cs="Barlow Condensed SemiBold" w:eastAsia="Barlow Condensed SemiBold"/>
          <w:color w:val="01366F"/>
          <w:sz w:val="25"/>
          <w:szCs w:val="25"/>
        </w:rPr>
        <w:t xml:space="preserve">6.6.3 Adaptação, pré-teste e coleta</w:t>
      </w:r>
      <w:bookmarkEnd w:id="30"/>
    </w:p>
    <w:p>
      <w:pPr>
        <w:spacing w:before="0" w:after="140" w:line="300" w:lineRule="auto"/>
        <w:jc w:val="both"/>
      </w:pPr>
      <w:r>
        <w:rPr>
          <w:rFonts w:ascii="Barlow" w:hAnsi="Barlow" w:cs="Barlow" w:eastAsia="Barlow"/>
          <w:color w:val="0F2440"/>
          <w:sz w:val="20"/>
          <w:szCs w:val="20"/>
        </w:rPr>
        <w:t xml:space="preserve">Os itens traduzidos da escala HWISE seguirão as etapas de adaptação transcultural propostas por Beaton et al. (2000): duas traduções independentes, síntese, retrotradução, revisão por comitê de especialistas e pré-teste. Todo o questionário passará por entrevistas cognitivas (WILLIS, 2005) com cerca de 30 moradores de perfis diversos, incluindo pesquisadores populares, para verificar a compreensão dos itens, a adequação das escalas de resposta e a sensibilidade das perguntas. Essa etapa é indispensável em populações pouco familiarizadas com questionários padronizados, nas quais escalas de concordância e conceitos abstratos costumam ser mal compreendidos (MASSEY, 2025). Seguir-se-á um piloto em 40 domicílios fora da amostra.</w:t>
      </w:r>
    </w:p>
    <w:p>
      <w:pPr>
        <w:spacing w:before="0" w:after="140" w:line="300" w:lineRule="auto"/>
        <w:jc w:val="both"/>
      </w:pPr>
      <w:r>
        <w:rPr>
          <w:rFonts w:ascii="Barlow" w:hAnsi="Barlow" w:cs="Barlow" w:eastAsia="Barlow"/>
          <w:color w:val="0F2440"/>
          <w:sz w:val="20"/>
          <w:szCs w:val="20"/>
        </w:rPr>
        <w:t xml:space="preserve">As entrevistas serão realizadas face a face por entrevistadores contratados e treinados pela equipe da UnB, com coleta em tablets pelo aplicativo KoboToolbox; a coleta eletrônica tende a reduzir erros e dados faltantes em relação ao papel (ZELEKE et al., 2021). Os pesquisadores populares não atuarão como entrevistadores, por duas razões: são agentes da intervenção cujos processos o estudo avalia, e perguntas sobre renda, fome e discriminação feitas por vizinhos podem inibir respostas ou expor informações no território. Eles participarão, contudo, das entrevistas cognitivas, da adaptação das questões abertas e da interpretação dos resultados. Serão feitas até três visitas por domicílio antes de se registrar ausência, e a supervisão revisará diariamente os dados recebidos. O inquérito será realizado entre os meses 7 e 10, na ordem de implantação dos setores, de modo que os resultados preliminares de cada setor estejam disponíveis antes de sua cartografia social.</w:t>
      </w:r>
    </w:p>
    <w:p>
      <w:pPr>
        <w:pStyle w:val="Heading3"/>
        <w:keepNext/>
        <w:spacing w:before="260" w:after="100" w:line="264" w:lineRule="auto"/>
        <w:jc w:val="left"/>
      </w:pPr>
      <w:bookmarkStart w:id="31" w:name="_h26"/>
      <w:r>
        <w:rPr>
          <w:rFonts w:ascii="Barlow Condensed SemiBold" w:hAnsi="Barlow Condensed SemiBold" w:cs="Barlow Condensed SemiBold" w:eastAsia="Barlow Condensed SemiBold"/>
          <w:color w:val="01366F"/>
          <w:sz w:val="25"/>
          <w:szCs w:val="25"/>
        </w:rPr>
        <w:t xml:space="preserve">6.6.4 Análise do inquérito</w:t>
      </w:r>
      <w:bookmarkEnd w:id="31"/>
    </w:p>
    <w:p>
      <w:pPr>
        <w:spacing w:before="0" w:after="140" w:line="300" w:lineRule="auto"/>
        <w:jc w:val="both"/>
      </w:pPr>
      <w:r>
        <w:rPr>
          <w:rFonts w:ascii="Barlow" w:hAnsi="Barlow" w:cs="Barlow" w:eastAsia="Barlow"/>
          <w:color w:val="0F2440"/>
          <w:sz w:val="20"/>
          <w:szCs w:val="20"/>
        </w:rPr>
        <w:t xml:space="preserve">As estimativas considerarão o plano amostral complexo, com estratos, conglomerados e pesos amostrais ajustados por não resposta e calibrados pela distribuição de sexo e idade do Censo 2022, no ambiente R. Serão estimadas prevalências e médias, com intervalos de confiança de 95%, para cada dimensão, por setor e segundo sexo, cor ou raça e faixa etária do respondente. As escalas com manual de pontuação (EBIA, Critério Brasil e HWISE-4) serão pontuadas segundo suas regras; para os itens adaptados, a consistência interna será examinada antes de qualquer escore agregado. Associações entre os determinantes e a autoavaliação de saúde serão exploradas por regressão de Poisson com variância robusta, como análise descritiva e geradora de hipóteses, sem pretensão causal. Não será construído um índice sintético de determinantes: as dimensões serão apresentadas separadamente, para que a leitura do território não dependa de pesos arbitrários.</w:t>
      </w:r>
    </w:p>
    <w:p>
      <w:pPr>
        <w:spacing w:before="0" w:after="140" w:line="300" w:lineRule="auto"/>
        <w:jc w:val="both"/>
      </w:pPr>
      <w:r>
        <w:rPr>
          <w:rFonts w:ascii="Barlow" w:hAnsi="Barlow" w:cs="Barlow" w:eastAsia="Barlow"/>
          <w:color w:val="0F2440"/>
          <w:sz w:val="20"/>
          <w:szCs w:val="20"/>
        </w:rPr>
        <w:t xml:space="preserve">As respostas abertas serão submetidas a análise de conteúdo, com livro de códigos que combina categorias derivadas dos domínios do referencial da OMS e categorias indutivas. Dois codificadores codificarão independentemente 20% das respostas para consolidar o livro de códigos. As categorias serão transformadas em variáveis para cruzamento com os itens estruturados, e os trechos mais densos alimentarão o componente qualitativo (O'CATHAIN; THOMAS, 2004; SINGER; COUPER, 2017).</w:t>
      </w:r>
    </w:p>
    <w:p>
      <w:pPr>
        <w:pStyle w:val="Heading2"/>
        <w:keepNext/>
        <w:spacing w:before="340" w:after="120" w:line="264" w:lineRule="auto"/>
        <w:jc w:val="left"/>
      </w:pPr>
      <w:bookmarkStart w:id="32" w:name="_h27"/>
      <w:r>
        <w:rPr>
          <w:rFonts w:ascii="Barlow Condensed SemiBold" w:hAnsi="Barlow Condensed SemiBold" w:cs="Barlow Condensed SemiBold" w:eastAsia="Barlow Condensed SemiBold"/>
          <w:color w:val="007614"/>
          <w:sz w:val="30"/>
          <w:szCs w:val="30"/>
        </w:rPr>
        <w:t xml:space="preserve">6.7 INTEGRAÇÃO ENTRE OS COMPONENTES</w:t>
      </w:r>
      <w:bookmarkEnd w:id="32"/>
    </w:p>
    <w:p>
      <w:pPr>
        <w:spacing w:before="0" w:after="140" w:line="300" w:lineRule="auto"/>
        <w:jc w:val="both"/>
      </w:pPr>
      <w:r>
        <w:rPr>
          <w:rFonts w:ascii="Barlow" w:hAnsi="Barlow" w:cs="Barlow" w:eastAsia="Barlow"/>
          <w:color w:val="0F2440"/>
          <w:sz w:val="20"/>
          <w:szCs w:val="20"/>
        </w:rPr>
        <w:t xml:space="preserve">A integração ocorrerá nos três níveis descritos por Fetters, Curry e Creswell (2013): desenho, métodos e interpretação. No nível dos métodos, o inquérito se </w:t>
      </w:r>
      <w:r>
        <w:rPr>
          <w:rFonts w:ascii="Barlow SemiBold" w:hAnsi="Barlow SemiBold" w:cs="Barlow SemiBold" w:eastAsia="Barlow SemiBold"/>
          <w:color w:val="01366F"/>
          <w:sz w:val="20"/>
          <w:szCs w:val="20"/>
        </w:rPr>
        <w:t xml:space="preserve">conecta</w:t>
      </w:r>
      <w:r>
        <w:rPr>
          <w:rFonts w:ascii="Barlow" w:hAnsi="Barlow" w:cs="Barlow" w:eastAsia="Barlow"/>
          <w:color w:val="0F2440"/>
          <w:sz w:val="20"/>
          <w:szCs w:val="20"/>
        </w:rPr>
        <w:t xml:space="preserve"> ao componente qualitativo pela amostragem, pois parte dos moradores entrevistados nas ondas qualitativas será selecionada entre os respondentes que autorizarem novo contato, segundo perfis contrastantes de determinantes. O inquérito também </w:t>
      </w:r>
      <w:r>
        <w:rPr>
          <w:rFonts w:ascii="Barlow SemiBold" w:hAnsi="Barlow SemiBold" w:cs="Barlow SemiBold" w:eastAsia="Barlow SemiBold"/>
          <w:color w:val="01366F"/>
          <w:sz w:val="20"/>
          <w:szCs w:val="20"/>
        </w:rPr>
        <w:t xml:space="preserve">alimenta</w:t>
      </w:r>
      <w:r>
        <w:rPr>
          <w:rFonts w:ascii="Barlow" w:hAnsi="Barlow" w:cs="Barlow" w:eastAsia="Barlow"/>
          <w:color w:val="0F2440"/>
          <w:sz w:val="20"/>
          <w:szCs w:val="20"/>
        </w:rPr>
        <w:t xml:space="preserve"> a cartografia social e os roteiros de entrevista, ao devolver às redes ativadas o retrato dos determinantes de cada setor. Por fim, é </w:t>
      </w:r>
      <w:r>
        <w:rPr>
          <w:rFonts w:ascii="Barlow SemiBold" w:hAnsi="Barlow SemiBold" w:cs="Barlow SemiBold" w:eastAsia="Barlow SemiBold"/>
          <w:color w:val="01366F"/>
          <w:sz w:val="20"/>
          <w:szCs w:val="20"/>
        </w:rPr>
        <w:t xml:space="preserve">combinado</w:t>
      </w:r>
      <w:r>
        <w:rPr>
          <w:rFonts w:ascii="Barlow" w:hAnsi="Barlow" w:cs="Barlow" w:eastAsia="Barlow"/>
          <w:color w:val="0F2440"/>
          <w:sz w:val="20"/>
          <w:szCs w:val="20"/>
        </w:rPr>
        <w:t xml:space="preserve"> aos dados qualitativos em </w:t>
      </w:r>
      <w:r>
        <w:rPr>
          <w:rFonts w:ascii="Barlow" w:hAnsi="Barlow" w:cs="Barlow" w:eastAsia="Barlow"/>
          <w:i/>
          <w:iCs/>
          <w:color w:val="0F2440"/>
          <w:sz w:val="20"/>
          <w:szCs w:val="20"/>
        </w:rPr>
        <w:t xml:space="preserve">joint displays</w:t>
      </w:r>
      <w:r>
        <w:rPr>
          <w:rFonts w:ascii="Barlow" w:hAnsi="Barlow" w:cs="Barlow" w:eastAsia="Barlow"/>
          <w:color w:val="0F2440"/>
          <w:sz w:val="20"/>
          <w:szCs w:val="20"/>
        </w:rPr>
        <w:t xml:space="preserve"> por setor (GUETTERMAN; FETTERS; CRESWELL, 2015). No nível da interpretação, cada achado integrado será classificado como confirmação, expansão ou discordância. As discordâncias, como um determinante muito prevalente que não aparece no Plano Popular, serão tratadas como achados a explicar, e não como erro de um dos componentes. O Quadro 5 sintetiza essas estratégias.</w:t>
      </w:r>
    </w:p>
    <w:p>
      <w:pPr>
        <w:keepNext/>
        <w:spacing w:before="200" w:after="100" w:line="264" w:lineRule="auto"/>
        <w:jc w:val="left"/>
      </w:pPr>
      <w:bookmarkStart w:id="33" w:name="_q_5"/>
      <w:r>
        <w:rPr>
          <w:rFonts w:ascii="Barlow Condensed SemiBold" w:hAnsi="Barlow Condensed SemiBold" w:cs="Barlow Condensed SemiBold" w:eastAsia="Barlow Condensed SemiBold"/>
          <w:color w:val="007614"/>
          <w:sz w:val="21"/>
          <w:szCs w:val="21"/>
        </w:rPr>
        <w:t xml:space="preserve">Quadro 5 – </w:t>
      </w:r>
      <w:r>
        <w:rPr>
          <w:rFonts w:ascii="Barlow Condensed SemiBold" w:hAnsi="Barlow Condensed SemiBold" w:cs="Barlow Condensed SemiBold" w:eastAsia="Barlow Condensed SemiBold"/>
          <w:color w:val="01366F"/>
          <w:sz w:val="21"/>
          <w:szCs w:val="21"/>
        </w:rPr>
        <w:t xml:space="preserve">Estratégias de integração entre o inquérito e o componente qualitativo</w:t>
      </w:r>
      <w:bookmarkEnd w:id="33"/>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1592"/>
        <w:gridCol w:w="5925"/>
        <w:gridCol w:w="1327"/>
      </w:tblGrid>
      <w:tr>
        <w:trPr>
          <w:tblHeader/>
          <w:cantSplit/>
        </w:trPr>
        <w:tc>
          <w:tcPr>
            <w:tcW w:w="1592"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Estratégia</w:t>
            </w:r>
          </w:p>
        </w:tc>
        <w:tc>
          <w:tcPr>
            <w:tcW w:w="5925"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Como ocorre neste estudo</w:t>
            </w:r>
          </w:p>
        </w:tc>
        <w:tc>
          <w:tcPr>
            <w:tcW w:w="1327"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Questões</w:t>
            </w:r>
          </w:p>
        </w:tc>
      </w:tr>
      <w:tr>
        <w:trPr>
          <w:cantSplit/>
        </w:trPr>
        <w:tc>
          <w:tcPr>
            <w:tcW w:w="159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Conexão</w:t>
            </w:r>
          </w:p>
        </w:tc>
        <w:tc>
          <w:tcPr>
            <w:tcW w:w="592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Seleção intencional de moradores para as entrevistas qualitativas entre respondentes que autorizarem novo contato, segundo perfis de determinantes, como insegurança alimentar grave, insegurança hídrica e discriminação por local de moradia</w:t>
            </w:r>
          </w:p>
        </w:tc>
        <w:tc>
          <w:tcPr>
            <w:tcW w:w="132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Q2, Q3</w:t>
            </w:r>
          </w:p>
        </w:tc>
      </w:tr>
      <w:tr>
        <w:trPr>
          <w:cantSplit/>
        </w:trPr>
        <w:tc>
          <w:tcPr>
            <w:tcW w:w="159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Construção</w:t>
            </w:r>
          </w:p>
        </w:tc>
        <w:tc>
          <w:tcPr>
            <w:tcW w:w="592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Devolução dos resultados preliminares de cada setor às redes ativadas antes da cartografia social; uso das respostas abertas para ajustar os roteiros de entrevista</w:t>
            </w:r>
          </w:p>
        </w:tc>
        <w:tc>
          <w:tcPr>
            <w:tcW w:w="1327"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Q3</w:t>
            </w:r>
          </w:p>
        </w:tc>
      </w:tr>
      <w:tr>
        <w:trPr>
          <w:cantSplit/>
        </w:trPr>
        <w:tc>
          <w:tcPr>
            <w:tcW w:w="159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Combinação</w:t>
            </w:r>
          </w:p>
        </w:tc>
        <w:tc>
          <w:tcPr>
            <w:tcW w:w="592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Joint displays por setor que cruzam prevalências dos determinantes, problemas priorizados no Plano Popular e trajetórias de alertas e demandas</w:t>
            </w:r>
          </w:p>
        </w:tc>
        <w:tc>
          <w:tcPr>
            <w:tcW w:w="132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Q1, Q3, Q4</w:t>
            </w:r>
          </w:p>
        </w:tc>
      </w:tr>
      <w:tr>
        <w:trPr>
          <w:cantSplit/>
        </w:trPr>
        <w:tc>
          <w:tcPr>
            <w:tcW w:w="1592" w:type="dxa"/>
            <w:shd w:val="clear" w:color="auto" w:fill="E9F2EB"/>
            <w:vAlign w:val="top"/>
          </w:tcPr>
          <w:p>
            <w:pPr>
              <w:keepNext/>
              <w:spacing w:before="0" w:after="0" w:line="252" w:lineRule="auto"/>
              <w:jc w:val="left"/>
            </w:pPr>
            <w:r>
              <w:rPr>
                <w:rFonts w:ascii="Barlow SemiBold" w:hAnsi="Barlow SemiBold" w:cs="Barlow SemiBold" w:eastAsia="Barlow SemiBold"/>
                <w:color w:val="01366F"/>
                <w:sz w:val="17"/>
                <w:szCs w:val="17"/>
              </w:rPr>
              <w:t xml:space="preserve">Interpretação</w:t>
            </w:r>
          </w:p>
        </w:tc>
        <w:tc>
          <w:tcPr>
            <w:tcW w:w="5925"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Classificação explícita de cada achado integrado como confirmação, expansão ou discordância, com registro das metainferências</w:t>
            </w:r>
          </w:p>
        </w:tc>
        <w:tc>
          <w:tcPr>
            <w:tcW w:w="1327" w:type="dxa"/>
            <w:shd w:val="clear" w:color="auto" w:fill="E9F2EB"/>
            <w:vAlign w:val="top"/>
          </w:tcPr>
          <w:p>
            <w:pPr>
              <w:keepNext/>
              <w:spacing w:before="0" w:after="0" w:line="252" w:lineRule="auto"/>
              <w:jc w:val="center"/>
            </w:pPr>
            <w:r>
              <w:rPr>
                <w:rFonts w:ascii="Barlow" w:hAnsi="Barlow" w:cs="Barlow" w:eastAsia="Barlow"/>
                <w:color w:val="0F2440"/>
                <w:sz w:val="17"/>
                <w:szCs w:val="17"/>
              </w:rPr>
              <w:t xml:space="preserve">Q6</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 com base em Fetters, Curry e Creswell (2013).</w:t>
      </w:r>
    </w:p>
    <w:p>
      <w:pPr>
        <w:pStyle w:val="Heading2"/>
        <w:keepNext/>
        <w:spacing w:before="340" w:after="120" w:line="264" w:lineRule="auto"/>
        <w:jc w:val="left"/>
      </w:pPr>
      <w:bookmarkStart w:id="34" w:name="_h28"/>
      <w:r>
        <w:rPr>
          <w:rFonts w:ascii="Barlow Condensed SemiBold" w:hAnsi="Barlow Condensed SemiBold" w:cs="Barlow Condensed SemiBold" w:eastAsia="Barlow Condensed SemiBold"/>
          <w:color w:val="007614"/>
          <w:sz w:val="30"/>
          <w:szCs w:val="30"/>
        </w:rPr>
        <w:t xml:space="preserve">6.8 ANÁLISE DOS DADOS QUALITATIVOS</w:t>
      </w:r>
      <w:bookmarkEnd w:id="34"/>
    </w:p>
    <w:p>
      <w:pPr>
        <w:spacing w:before="0" w:after="140" w:line="300" w:lineRule="auto"/>
        <w:jc w:val="both"/>
      </w:pPr>
      <w:r>
        <w:rPr>
          <w:rFonts w:ascii="Barlow" w:hAnsi="Barlow" w:cs="Barlow" w:eastAsia="Barlow"/>
          <w:color w:val="0F2440"/>
          <w:sz w:val="20"/>
          <w:szCs w:val="20"/>
        </w:rPr>
        <w:t xml:space="preserve">A análise será conduzida pelo *</w:t>
      </w:r>
      <w:r>
        <w:rPr>
          <w:rFonts w:ascii="Barlow" w:hAnsi="Barlow" w:cs="Barlow" w:eastAsia="Barlow"/>
          <w:i/>
          <w:iCs/>
          <w:color w:val="0F2440"/>
          <w:sz w:val="20"/>
          <w:szCs w:val="20"/>
        </w:rPr>
        <w:t xml:space="preserve">método </w:t>
      </w:r>
      <w:r>
        <w:rPr>
          <w:rFonts w:ascii="Barlow" w:hAnsi="Barlow" w:cs="Barlow" w:eastAsia="Barlow"/>
          <w:color w:val="0F2440"/>
          <w:sz w:val="20"/>
          <w:szCs w:val="20"/>
        </w:rPr>
        <w:t xml:space="preserve">framework**</w:t>
      </w:r>
      <w:r>
        <w:rPr>
          <w:rFonts w:ascii="Barlow" w:hAnsi="Barlow" w:cs="Barlow" w:eastAsia="Barlow"/>
          <w:i/>
          <w:iCs/>
          <w:color w:val="0F2440"/>
          <w:sz w:val="20"/>
          <w:szCs w:val="20"/>
        </w:rPr>
        <w:t xml:space="preserve"> (GALE et al., 2013), adequado a estudos com várias fontes, várias unidades de caso e questões previamente definidas, porque permite comparar casos e temas sem perder o contexto de cada relato. O método segue cinco passos: familiarização com o material; codificação inicial, que combina códigos derivados da teoria do programa (Quadro 1) com códigos indutivos; construção do quadro analítico; indexação de todo o corpus; e organização dos dados em matrizes. As matrizes cruzam participantes ou episódios (linhas) com temas (colunas), em cada onda, e serão mantidas no </w:t>
      </w:r>
      <w:r>
        <w:rPr>
          <w:rFonts w:ascii="Barlow" w:hAnsi="Barlow" w:cs="Barlow" w:eastAsia="Barlow"/>
          <w:color w:val="0F2440"/>
          <w:sz w:val="20"/>
          <w:szCs w:val="20"/>
        </w:rPr>
        <w:t xml:space="preserve">software* MAXQDA.</w:t>
      </w:r>
    </w:p>
    <w:p>
      <w:pPr>
        <w:spacing w:before="0" w:after="140" w:line="300" w:lineRule="auto"/>
        <w:jc w:val="both"/>
      </w:pPr>
      <w:r>
        <w:rPr>
          <w:rFonts w:ascii="Barlow" w:hAnsi="Barlow" w:cs="Barlow" w:eastAsia="Barlow"/>
          <w:color w:val="0F2440"/>
          <w:sz w:val="20"/>
          <w:szCs w:val="20"/>
        </w:rPr>
        <w:t xml:space="preserve">A dimensão temporal será analisada por duas estratégias complementares (GROSSOEHME; LIPSTEIN, 2016): a análise </w:t>
      </w:r>
      <w:r>
        <w:rPr>
          <w:rFonts w:ascii="Barlow SemiBold" w:hAnsi="Barlow SemiBold" w:cs="Barlow SemiBold" w:eastAsia="Barlow SemiBold"/>
          <w:color w:val="01366F"/>
          <w:sz w:val="20"/>
          <w:szCs w:val="20"/>
        </w:rPr>
        <w:t xml:space="preserve">transversal recorrente</w:t>
      </w:r>
      <w:r>
        <w:rPr>
          <w:rFonts w:ascii="Barlow" w:hAnsi="Barlow" w:cs="Barlow" w:eastAsia="Barlow"/>
          <w:color w:val="0F2440"/>
          <w:sz w:val="20"/>
          <w:szCs w:val="20"/>
        </w:rPr>
        <w:t xml:space="preserve">, que compara os temas entre as ondas para identificar o que muda no conjunto; e a análise de </w:t>
      </w:r>
      <w:r>
        <w:rPr>
          <w:rFonts w:ascii="Barlow SemiBold" w:hAnsi="Barlow SemiBold" w:cs="Barlow SemiBold" w:eastAsia="Barlow SemiBold"/>
          <w:color w:val="01366F"/>
          <w:sz w:val="20"/>
          <w:szCs w:val="20"/>
        </w:rPr>
        <w:t xml:space="preserve">trajetórias</w:t>
      </w:r>
      <w:r>
        <w:rPr>
          <w:rFonts w:ascii="Barlow" w:hAnsi="Barlow" w:cs="Barlow" w:eastAsia="Barlow"/>
          <w:color w:val="0F2440"/>
          <w:sz w:val="20"/>
          <w:szCs w:val="20"/>
        </w:rPr>
        <w:t xml:space="preserve">, que acompanha cada participante e cada episódio ao longo do tempo para identificar como e por que suas posições mudam. As perguntas de Saldaña (2003) sobre o que aumenta, diminui, surge, cessa ou permanece orientarão essa leitura.</w:t>
      </w:r>
    </w:p>
    <w:p>
      <w:pPr>
        <w:spacing w:before="0" w:after="140" w:line="300" w:lineRule="auto"/>
        <w:jc w:val="both"/>
      </w:pPr>
      <w:r>
        <w:rPr>
          <w:rFonts w:ascii="Barlow" w:hAnsi="Barlow" w:cs="Barlow" w:eastAsia="Barlow"/>
          <w:color w:val="0F2440"/>
          <w:sz w:val="20"/>
          <w:szCs w:val="20"/>
        </w:rPr>
        <w:t xml:space="preserve">Para responder à questão dos mecanismos (Q6), as matrizes serão usadas para formular e testar configurações contexto–mecanismo–resultado, por raciocínio retrodutivo: a partir de um resultado observado, pergunta-se que mecanismo o explicaria e em que contexto ele operou, confrontando a explicação com as rivais do Quadro 1 e com casos negativos (PAWSON; TILLEY, 1997). A teoria inicial será revista ao final de cada onda, e cada revisão será documentada com as evidências que a motivaram.</w:t>
      </w:r>
    </w:p>
    <w:p>
      <w:pPr>
        <w:spacing w:before="0" w:after="140" w:line="300" w:lineRule="auto"/>
        <w:jc w:val="both"/>
      </w:pPr>
      <w:r>
        <w:rPr>
          <w:rFonts w:ascii="Barlow" w:hAnsi="Barlow" w:cs="Barlow" w:eastAsia="Barlow"/>
          <w:color w:val="0F2440"/>
          <w:sz w:val="20"/>
          <w:szCs w:val="20"/>
        </w:rPr>
        <w:t xml:space="preserve">Dois pesquisadores codificarão de forma independente cerca de 20% do material da primeira onda, para calibrar o quadro analítico. As divergências serão discutidas até a definição consensual dos códigos. O objetivo dessa dupla codificação é refinar categorias e expor pressupostos, e não calcular coeficientes de concordância, que não são compatíveis com a lógica interpretativa da análise.</w:t>
      </w:r>
    </w:p>
    <w:p>
      <w:pPr>
        <w:pStyle w:val="Heading2"/>
        <w:keepNext/>
        <w:spacing w:before="340" w:after="120" w:line="264" w:lineRule="auto"/>
        <w:jc w:val="left"/>
      </w:pPr>
      <w:bookmarkStart w:id="35" w:name="_h29"/>
      <w:r>
        <w:rPr>
          <w:rFonts w:ascii="Barlow Condensed SemiBold" w:hAnsi="Barlow Condensed SemiBold" w:cs="Barlow Condensed SemiBold" w:eastAsia="Barlow Condensed SemiBold"/>
          <w:color w:val="007614"/>
          <w:sz w:val="30"/>
          <w:szCs w:val="30"/>
        </w:rPr>
        <w:t xml:space="preserve">6.9 RIGOR, REFLEXIVIDADE E INDEPENDÊNCIA ANALÍTICA</w:t>
      </w:r>
      <w:bookmarkEnd w:id="35"/>
    </w:p>
    <w:p>
      <w:pPr>
        <w:spacing w:before="0" w:after="140" w:line="300" w:lineRule="auto"/>
        <w:jc w:val="both"/>
      </w:pPr>
      <w:r>
        <w:rPr>
          <w:rFonts w:ascii="Barlow" w:hAnsi="Barlow" w:cs="Barlow" w:eastAsia="Barlow"/>
          <w:color w:val="0F2440"/>
          <w:sz w:val="20"/>
          <w:szCs w:val="20"/>
        </w:rPr>
        <w:t xml:space="preserve">O rigor será assegurado pelos critérios de confiabilidade da pesquisa qualitativa (LINCOLN; GUBA, 1985), operacionalizados conforme o Quadro 6. O relato seguirá os padrões SRQR (O'BRIEN et al., 2014) e, para entrevistas, o COREQ (TONG; SAINSBURY; CRAIG, 2007).</w:t>
      </w:r>
    </w:p>
    <w:p>
      <w:pPr>
        <w:keepNext/>
        <w:spacing w:before="200" w:after="100" w:line="264" w:lineRule="auto"/>
        <w:jc w:val="left"/>
      </w:pPr>
      <w:bookmarkStart w:id="36" w:name="_q_6"/>
      <w:r>
        <w:rPr>
          <w:rFonts w:ascii="Barlow Condensed SemiBold" w:hAnsi="Barlow Condensed SemiBold" w:cs="Barlow Condensed SemiBold" w:eastAsia="Barlow Condensed SemiBold"/>
          <w:color w:val="007614"/>
          <w:sz w:val="21"/>
          <w:szCs w:val="21"/>
        </w:rPr>
        <w:t xml:space="preserve">Quadro 6 – </w:t>
      </w:r>
      <w:r>
        <w:rPr>
          <w:rFonts w:ascii="Barlow Condensed SemiBold" w:hAnsi="Barlow Condensed SemiBold" w:cs="Barlow Condensed SemiBold" w:eastAsia="Barlow Condensed SemiBold"/>
          <w:color w:val="01366F"/>
          <w:sz w:val="21"/>
          <w:szCs w:val="21"/>
        </w:rPr>
        <w:t xml:space="preserve">Critérios de rigor e procedimentos correspondentes</w:t>
      </w:r>
      <w:bookmarkEnd w:id="36"/>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1946"/>
        <w:gridCol w:w="6898"/>
      </w:tblGrid>
      <w:tr>
        <w:trPr>
          <w:tblHeader/>
          <w:cantSplit/>
        </w:trPr>
        <w:tc>
          <w:tcPr>
            <w:tcW w:w="1946"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Critério</w:t>
            </w:r>
          </w:p>
        </w:tc>
        <w:tc>
          <w:tcPr>
            <w:tcW w:w="6898"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Procedimentos</w:t>
            </w:r>
          </w:p>
        </w:tc>
      </w:tr>
      <w:tr>
        <w:trPr>
          <w:cantSplit/>
        </w:trPr>
        <w:tc>
          <w:tcPr>
            <w:tcW w:w="194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Credibilidade</w:t>
            </w:r>
          </w:p>
        </w:tc>
        <w:tc>
          <w:tcPr>
            <w:tcW w:w="689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Permanência prolongada no campo; triangulação de entrevistas, observação, documentos, trajetórias e inquérito; busca ativa de casos negativos; oficinas de interpretação com os participantes</w:t>
            </w:r>
          </w:p>
        </w:tc>
      </w:tr>
      <w:tr>
        <w:trPr>
          <w:cantSplit/>
        </w:trPr>
        <w:tc>
          <w:tcPr>
            <w:tcW w:w="1946"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Transferibilidade</w:t>
            </w:r>
          </w:p>
        </w:tc>
        <w:tc>
          <w:tcPr>
            <w:tcW w:w="689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Descrição densa do território, dos setores e da intervenção (TIDieR); explicitação dos critérios de seleção de participantes e episódios</w:t>
            </w:r>
          </w:p>
        </w:tc>
      </w:tr>
      <w:tr>
        <w:trPr>
          <w:cantSplit/>
        </w:trPr>
        <w:tc>
          <w:tcPr>
            <w:tcW w:w="194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Dependabilidade</w:t>
            </w:r>
          </w:p>
        </w:tc>
        <w:tc>
          <w:tcPr>
            <w:tcW w:w="689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Protocolo e roteiros versionados; registro de todas as alterações no quadro analítico; trilha de auditoria revisada por analista externo à implementação</w:t>
            </w:r>
          </w:p>
        </w:tc>
      </w:tr>
      <w:tr>
        <w:trPr>
          <w:cantSplit/>
        </w:trPr>
        <w:tc>
          <w:tcPr>
            <w:tcW w:w="1946" w:type="dxa"/>
            <w:shd w:val="clear" w:color="auto" w:fill="E9F2EB"/>
            <w:vAlign w:val="top"/>
          </w:tcPr>
          <w:p>
            <w:pPr>
              <w:keepNext/>
              <w:spacing w:before="0" w:after="0" w:line="252" w:lineRule="auto"/>
              <w:jc w:val="left"/>
            </w:pPr>
            <w:r>
              <w:rPr>
                <w:rFonts w:ascii="Barlow SemiBold" w:hAnsi="Barlow SemiBold" w:cs="Barlow SemiBold" w:eastAsia="Barlow SemiBold"/>
                <w:color w:val="01366F"/>
                <w:sz w:val="17"/>
                <w:szCs w:val="17"/>
              </w:rPr>
              <w:t xml:space="preserve">Confirmabilidade</w:t>
            </w:r>
          </w:p>
        </w:tc>
        <w:tc>
          <w:tcPr>
            <w:tcW w:w="6898"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Diários reflexivos da equipe; separação entre equipe de campo e equipe de implementação; apresentação de evidência empírica para cada interpretação</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spacing w:before="0" w:after="140" w:line="300" w:lineRule="auto"/>
        <w:jc w:val="both"/>
      </w:pPr>
      <w:r>
        <w:rPr>
          <w:rFonts w:ascii="Barlow" w:hAnsi="Barlow" w:cs="Barlow" w:eastAsia="Barlow"/>
          <w:color w:val="0F2440"/>
          <w:sz w:val="20"/>
          <w:szCs w:val="20"/>
        </w:rPr>
        <w:t xml:space="preserve">A independência analítica é o ponto mais sensível do estudo, porque o CTIS concebe e implementa a metodologia. Para enfrentá-lo, adotam-se três regras. A primeira é a </w:t>
      </w:r>
      <w:r>
        <w:rPr>
          <w:rFonts w:ascii="Barlow SemiBold" w:hAnsi="Barlow SemiBold" w:cs="Barlow SemiBold" w:eastAsia="Barlow SemiBold"/>
          <w:color w:val="01366F"/>
          <w:sz w:val="20"/>
          <w:szCs w:val="20"/>
        </w:rPr>
        <w:t xml:space="preserve">separação de equipes</w:t>
      </w:r>
      <w:r>
        <w:rPr>
          <w:rFonts w:ascii="Barlow" w:hAnsi="Barlow" w:cs="Barlow" w:eastAsia="Barlow"/>
          <w:color w:val="0F2440"/>
          <w:sz w:val="20"/>
          <w:szCs w:val="20"/>
        </w:rPr>
        <w:t xml:space="preserve">: as entrevistas, a observação e a codificação serão realizadas por pesquisadores vinculados à UnB, sem função na implementação; a equipe do CTIS participa do desenho e das discussões interpretativas, mas não entrevista pesquisadores populares nem profissionais e não tem acesso a dados identificados. A coleta e a análise do inquérito também ficam a cargo da equipe da UnB. A segunda é a </w:t>
      </w:r>
      <w:r>
        <w:rPr>
          <w:rFonts w:ascii="Barlow SemiBold" w:hAnsi="Barlow SemiBold" w:cs="Barlow SemiBold" w:eastAsia="Barlow SemiBold"/>
          <w:color w:val="01366F"/>
          <w:sz w:val="20"/>
          <w:szCs w:val="20"/>
        </w:rPr>
        <w:t xml:space="preserve">revisão externa</w:t>
      </w:r>
      <w:r>
        <w:rPr>
          <w:rFonts w:ascii="Barlow" w:hAnsi="Barlow" w:cs="Barlow" w:eastAsia="Barlow"/>
          <w:color w:val="0F2440"/>
          <w:sz w:val="20"/>
          <w:szCs w:val="20"/>
        </w:rPr>
        <w:t xml:space="preserve">: um analista sem vínculo com a PICAPS revisará a trilha de auditoria e as interpretações ao final de cada onda, mediante termo de compromisso a ser firmado antes do início do campo. A terceira é a </w:t>
      </w:r>
      <w:r>
        <w:rPr>
          <w:rFonts w:ascii="Barlow SemiBold" w:hAnsi="Barlow SemiBold" w:cs="Barlow SemiBold" w:eastAsia="Barlow SemiBold"/>
          <w:color w:val="01366F"/>
          <w:sz w:val="20"/>
          <w:szCs w:val="20"/>
        </w:rPr>
        <w:t xml:space="preserve">ausência de veto</w:t>
      </w:r>
      <w:r>
        <w:rPr>
          <w:rFonts w:ascii="Barlow" w:hAnsi="Barlow" w:cs="Barlow" w:eastAsia="Barlow"/>
          <w:color w:val="0F2440"/>
          <w:sz w:val="20"/>
          <w:szCs w:val="20"/>
        </w:rPr>
        <w:t xml:space="preserve">: as devolutivas servem para corrigir erros factuais e registrar divergências, mas nenhum participante ou instituição poderá vetar achados críticos ou desfavoráveis.</w:t>
      </w:r>
    </w:p>
    <w:p>
      <w:pPr>
        <w:pStyle w:val="Heading2"/>
        <w:keepNext/>
        <w:spacing w:before="340" w:after="120" w:line="264" w:lineRule="auto"/>
        <w:jc w:val="left"/>
      </w:pPr>
      <w:bookmarkStart w:id="37" w:name="_h30"/>
      <w:r>
        <w:rPr>
          <w:rFonts w:ascii="Barlow Condensed SemiBold" w:hAnsi="Barlow Condensed SemiBold" w:cs="Barlow Condensed SemiBold" w:eastAsia="Barlow Condensed SemiBold"/>
          <w:color w:val="007614"/>
          <w:sz w:val="30"/>
          <w:szCs w:val="30"/>
        </w:rPr>
        <w:t xml:space="preserve">6.10 MATRIZ DE CONSISTÊNCIA</w:t>
      </w:r>
      <w:bookmarkEnd w:id="37"/>
    </w:p>
    <w:p>
      <w:pPr>
        <w:spacing w:before="0" w:after="140" w:line="300" w:lineRule="auto"/>
        <w:jc w:val="both"/>
      </w:pPr>
      <w:r>
        <w:rPr>
          <w:rFonts w:ascii="Barlow" w:hAnsi="Barlow" w:cs="Barlow" w:eastAsia="Barlow"/>
          <w:color w:val="0F2440"/>
          <w:sz w:val="20"/>
          <w:szCs w:val="20"/>
        </w:rPr>
        <w:t xml:space="preserve">O Quadro 7 articula cada questão de pesquisa ao objetivo, às fontes e à estratégia de análise correspondentes.</w:t>
      </w:r>
    </w:p>
    <w:p>
      <w:pPr>
        <w:keepNext/>
        <w:spacing w:before="200" w:after="100" w:line="264" w:lineRule="auto"/>
        <w:jc w:val="left"/>
      </w:pPr>
      <w:bookmarkStart w:id="38" w:name="_q_7"/>
      <w:r>
        <w:rPr>
          <w:rFonts w:ascii="Barlow Condensed SemiBold" w:hAnsi="Barlow Condensed SemiBold" w:cs="Barlow Condensed SemiBold" w:eastAsia="Barlow Condensed SemiBold"/>
          <w:color w:val="007614"/>
          <w:sz w:val="21"/>
          <w:szCs w:val="21"/>
        </w:rPr>
        <w:t xml:space="preserve">Quadro 7 – </w:t>
      </w:r>
      <w:r>
        <w:rPr>
          <w:rFonts w:ascii="Barlow Condensed SemiBold" w:hAnsi="Barlow Condensed SemiBold" w:cs="Barlow Condensed SemiBold" w:eastAsia="Barlow Condensed SemiBold"/>
          <w:color w:val="01366F"/>
          <w:sz w:val="21"/>
          <w:szCs w:val="21"/>
        </w:rPr>
        <w:t xml:space="preserve">Matriz de consistência do estudo</w:t>
      </w:r>
      <w:bookmarkEnd w:id="38"/>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2122"/>
        <w:gridCol w:w="884"/>
        <w:gridCol w:w="3184"/>
        <w:gridCol w:w="2654"/>
      </w:tblGrid>
      <w:tr>
        <w:trPr>
          <w:tblHeader/>
          <w:cantSplit/>
        </w:trPr>
        <w:tc>
          <w:tcPr>
            <w:tcW w:w="2122"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Questão</w:t>
            </w:r>
          </w:p>
        </w:tc>
        <w:tc>
          <w:tcPr>
            <w:tcW w:w="884"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Objetivo</w:t>
            </w:r>
          </w:p>
        </w:tc>
        <w:tc>
          <w:tcPr>
            <w:tcW w:w="3184"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Fontes principais</w:t>
            </w:r>
          </w:p>
        </w:tc>
        <w:tc>
          <w:tcPr>
            <w:tcW w:w="2654"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Estratégia de análise</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Q1 – distribuição dos determinantes sociais da saúde</w:t>
            </w:r>
          </w:p>
        </w:tc>
        <w:tc>
          <w:tcPr>
            <w:tcW w:w="884"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OE1</w:t>
            </w:r>
          </w:p>
        </w:tc>
        <w:tc>
          <w:tcPr>
            <w:tcW w:w="318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Inquérito domiciliar (blocos B a K); questões abertas (bloco L)</w:t>
            </w:r>
          </w:p>
        </w:tc>
        <w:tc>
          <w:tcPr>
            <w:tcW w:w="265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Estimativas com plano amostral complexo; análise de conteúdo das respostas abertas; joint displays por setor</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Q2 – ativação da rede e constituição do grupo</w:t>
            </w:r>
          </w:p>
        </w:tc>
        <w:tc>
          <w:tcPr>
            <w:tcW w:w="884"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OE2</w:t>
            </w:r>
          </w:p>
        </w:tc>
        <w:tc>
          <w:tcPr>
            <w:tcW w:w="318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Entrevistas com rede, pesquisadores populares e equipe; entrevistas de saída; mapas sociométricos; observação das Etapas 1 a 5</w:t>
            </w:r>
          </w:p>
        </w:tc>
        <w:tc>
          <w:tcPr>
            <w:tcW w:w="265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Matrizes por setor e onda; trajetórias de participação</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Q3 – identificação e priorização de problemas</w:t>
            </w:r>
          </w:p>
        </w:tc>
        <w:tc>
          <w:tcPr>
            <w:tcW w:w="884"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OE3</w:t>
            </w:r>
          </w:p>
        </w:tc>
        <w:tc>
          <w:tcPr>
            <w:tcW w:w="318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Observação da cartografia e do Plano; documentos; entrevistas; questões abertas do inquérito</w:t>
            </w:r>
          </w:p>
        </w:tc>
        <w:tc>
          <w:tcPr>
            <w:tcW w:w="265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Comparação entre categorias comunitárias e institucionais e com o dimensionamento dos determinantes; análise transversal recorrente</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Q4 – trajetórias de alertas e demandas</w:t>
            </w:r>
          </w:p>
        </w:tc>
        <w:tc>
          <w:tcPr>
            <w:tcW w:w="884"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OE4</w:t>
            </w:r>
          </w:p>
        </w:tc>
        <w:tc>
          <w:tcPr>
            <w:tcW w:w="318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Rastreamento de 24 episódios; registros da Plataforma Ágora; entrevistas com profissionais e gestores</w:t>
            </w:r>
          </w:p>
        </w:tc>
        <w:tc>
          <w:tcPr>
            <w:tcW w:w="265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Reconstrução de episódios; comparação entre episódios com e sem resposta</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Q5 – governança nas Salas</w:t>
            </w:r>
          </w:p>
        </w:tc>
        <w:tc>
          <w:tcPr>
            <w:tcW w:w="884"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OE5</w:t>
            </w:r>
          </w:p>
        </w:tc>
        <w:tc>
          <w:tcPr>
            <w:tcW w:w="318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Observação das reuniões; atas e Relatórios de Ciclo; entrevistas de todos os grupos</w:t>
            </w:r>
          </w:p>
        </w:tc>
        <w:tc>
          <w:tcPr>
            <w:tcW w:w="265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Análise de trajetórias da Sala; relações de poder e legitimidade</w:t>
            </w:r>
          </w:p>
        </w:tc>
      </w:tr>
      <w:tr>
        <w:trPr>
          <w:cantSplit/>
        </w:trPr>
        <w:tc>
          <w:tcPr>
            <w:tcW w:w="2122" w:type="dxa"/>
            <w:shd w:val="clear" w:color="auto" w:fill="E9F2EB"/>
            <w:vAlign w:val="top"/>
          </w:tcPr>
          <w:p>
            <w:pPr>
              <w:keepNext/>
              <w:spacing w:before="0" w:after="0" w:line="252" w:lineRule="auto"/>
              <w:jc w:val="left"/>
            </w:pPr>
            <w:r>
              <w:rPr>
                <w:rFonts w:ascii="Barlow SemiBold" w:hAnsi="Barlow SemiBold" w:cs="Barlow SemiBold" w:eastAsia="Barlow SemiBold"/>
                <w:color w:val="01366F"/>
                <w:sz w:val="17"/>
                <w:szCs w:val="17"/>
              </w:rPr>
              <w:t xml:space="preserve">Q6 – mecanismos e efeitos não previstos</w:t>
            </w:r>
          </w:p>
        </w:tc>
        <w:tc>
          <w:tcPr>
            <w:tcW w:w="884" w:type="dxa"/>
            <w:shd w:val="clear" w:color="auto" w:fill="E9F2EB"/>
            <w:vAlign w:val="top"/>
          </w:tcPr>
          <w:p>
            <w:pPr>
              <w:keepNext/>
              <w:spacing w:before="0" w:after="0" w:line="252" w:lineRule="auto"/>
              <w:jc w:val="center"/>
            </w:pPr>
            <w:r>
              <w:rPr>
                <w:rFonts w:ascii="Barlow" w:hAnsi="Barlow" w:cs="Barlow" w:eastAsia="Barlow"/>
                <w:color w:val="0F2440"/>
                <w:sz w:val="17"/>
                <w:szCs w:val="17"/>
              </w:rPr>
              <w:t xml:space="preserve">OE6</w:t>
            </w:r>
          </w:p>
        </w:tc>
        <w:tc>
          <w:tcPr>
            <w:tcW w:w="3184"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Todas as fontes; oficinas de interpretação; diário de efeitos da pesquisa</w:t>
            </w:r>
          </w:p>
        </w:tc>
        <w:tc>
          <w:tcPr>
            <w:tcW w:w="2654"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Configurações contexto–mecanismo–resultado por retrodução; teste de explicações rivais</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pStyle w:val="Heading2"/>
        <w:keepNext/>
        <w:spacing w:before="340" w:after="120" w:line="264" w:lineRule="auto"/>
        <w:jc w:val="left"/>
      </w:pPr>
      <w:bookmarkStart w:id="39" w:name="_h31"/>
      <w:r>
        <w:rPr>
          <w:rFonts w:ascii="Barlow Condensed SemiBold" w:hAnsi="Barlow Condensed SemiBold" w:cs="Barlow Condensed SemiBold" w:eastAsia="Barlow Condensed SemiBold"/>
          <w:color w:val="007614"/>
          <w:sz w:val="30"/>
          <w:szCs w:val="30"/>
        </w:rPr>
        <w:t xml:space="preserve">6.11 DADOS SECUNDÁRIOS DE CONTEXTO</w:t>
      </w:r>
      <w:bookmarkEnd w:id="39"/>
    </w:p>
    <w:p>
      <w:pPr>
        <w:spacing w:before="0" w:after="140" w:line="300" w:lineRule="auto"/>
        <w:jc w:val="both"/>
        <w:sectPr>
          <w:headerReference w:type="default" r:id="rId21"/>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Indicadores de saúde e de condições de vida do território (por exemplo, internações por condições sensíveis à APS, captação precoce de gestantes e indicadores socioambientais) serão usados apenas para descrever o contexto e para formular perguntas ao campo; a fonte principal sobre os determinantes sociais da saúde é o inquérito domiciliar. Não serão interpretados como medida de efeito da metodologia. Do mesmo modo, o Índice de Vulnerabilidade Territorial Ampliado (IVT+A) não é desfecho deste estudo. Se o índice for calculado pela PICAPS, a pesquisa examinará como ele é produzido e usado nas Salas, com atenção ao risco de circularidade: quando componentes do índice derivam de atividades da própria intervenção, como reuniões ou alertas, sua variação pode refletir maior registro, e não menor vulnerabilidade.</w:t>
      </w:r>
    </w:p>
    <w:p>
      <w:pPr>
        <w:pStyle w:val="Heading1"/>
        <w:pBdr>
          <w:bottom w:val="single" w:sz="12" w:space="10" w:color="007614"/>
        </w:pBdr>
        <w:spacing w:before="120" w:after="380" w:line="600" w:lineRule="exact"/>
        <w:jc w:val="left"/>
      </w:pPr>
      <w:bookmarkStart w:id="40" w:name="_h32"/>
      <w:r>
        <w:rPr>
          <w:rFonts w:ascii="Barlow Condensed" w:hAnsi="Barlow Condensed" w:cs="Barlow Condensed" w:eastAsia="Barlow Condensed"/>
          <w:b/>
          <w:bCs/>
          <w:color w:val="007614"/>
          <w:sz w:val="52"/>
          <w:szCs w:val="52"/>
        </w:rPr>
        <w:t xml:space="preserve">7 </w:t>
      </w:r>
      <w:r>
        <w:rPr>
          <w:rFonts w:ascii="Barlow Condensed" w:hAnsi="Barlow Condensed" w:cs="Barlow Condensed" w:eastAsia="Barlow Condensed"/>
          <w:b/>
          <w:bCs/>
          <w:color w:val="01366F"/>
          <w:sz w:val="52"/>
          <w:szCs w:val="52"/>
        </w:rPr>
        <w:t xml:space="preserve">ASPECTOS ÉTICOS</w:t>
      </w:r>
      <w:bookmarkEnd w:id="40"/>
    </w:p>
    <w:p>
      <w:pPr>
        <w:pStyle w:val="Heading2"/>
        <w:keepNext/>
        <w:spacing w:before="340" w:after="120" w:line="264" w:lineRule="auto"/>
        <w:jc w:val="left"/>
      </w:pPr>
      <w:bookmarkStart w:id="41" w:name="_h33"/>
      <w:r>
        <w:rPr>
          <w:rFonts w:ascii="Barlow Condensed SemiBold" w:hAnsi="Barlow Condensed SemiBold" w:cs="Barlow Condensed SemiBold" w:eastAsia="Barlow Condensed SemiBold"/>
          <w:color w:val="007614"/>
          <w:sz w:val="30"/>
          <w:szCs w:val="30"/>
        </w:rPr>
        <w:t xml:space="preserve">7.1 MARCO NORMATIVO E TRAMITAÇÃO</w:t>
      </w:r>
      <w:bookmarkEnd w:id="41"/>
    </w:p>
    <w:p>
      <w:pPr>
        <w:spacing w:before="0" w:after="140" w:line="300" w:lineRule="auto"/>
        <w:jc w:val="both"/>
      </w:pPr>
      <w:r>
        <w:rPr>
          <w:rFonts w:ascii="Barlow" w:hAnsi="Barlow" w:cs="Barlow" w:eastAsia="Barlow"/>
          <w:color w:val="0F2440"/>
          <w:sz w:val="20"/>
          <w:szCs w:val="20"/>
        </w:rPr>
        <w:t xml:space="preserve">O protocolo será submetido pela Plataforma Brasil ao Comitê de Ética em Pesquisa da Fiocruz Brasília, como instituição proponente, com a SES-DF e a UnB como instituições coparticipantes. A pesquisa observará a Lei nº 14.874/2024 e o Decreto nº 12.651/2025, que instituem o Sistema Nacional de Ética em Pesquisa com Seres Humanos (BRASIL, 2024; 2025), e a Resolução CNS nº 510/2016, aplicável às pesquisas com metodologias próprias das Ciências Humanas e Sociais (CONSELHO NACIONAL DE SAÚDE, 2016), complementada pela Resolução CNS nº 466/2012 (CONSELHO NACIONAL DE SAÚDE, 2012), que permanecem válidas no que não contrariarem a nova legislação. Nenhuma atividade de produção de dados com participantes será iniciada antes da aprovação ética.</w:t>
      </w:r>
    </w:p>
    <w:p>
      <w:pPr>
        <w:pStyle w:val="Heading2"/>
        <w:keepNext/>
        <w:spacing w:before="340" w:after="120" w:line="264" w:lineRule="auto"/>
        <w:jc w:val="left"/>
      </w:pPr>
      <w:bookmarkStart w:id="42" w:name="_h34"/>
      <w:r>
        <w:rPr>
          <w:rFonts w:ascii="Barlow Condensed SemiBold" w:hAnsi="Barlow Condensed SemiBold" w:cs="Barlow Condensed SemiBold" w:eastAsia="Barlow Condensed SemiBold"/>
          <w:color w:val="007614"/>
          <w:sz w:val="30"/>
          <w:szCs w:val="30"/>
        </w:rPr>
        <w:t xml:space="preserve">7.2 CONSENTIMENTO</w:t>
      </w:r>
      <w:bookmarkEnd w:id="42"/>
    </w:p>
    <w:p>
      <w:pPr>
        <w:spacing w:before="0" w:after="140" w:line="300" w:lineRule="auto"/>
        <w:jc w:val="both"/>
      </w:pPr>
      <w:r>
        <w:rPr>
          <w:rFonts w:ascii="Barlow" w:hAnsi="Barlow" w:cs="Barlow" w:eastAsia="Barlow"/>
          <w:color w:val="0F2440"/>
          <w:sz w:val="20"/>
          <w:szCs w:val="20"/>
        </w:rPr>
        <w:t xml:space="preserve">O consentimento livre e esclarecido será obtido de cada participante entrevistado, com registro escrito ou, quando a escrita for inadequada à situação do participante, em áudio, nos termos da Resolução CNS nº 510/2016, sempre com entrega de documento com as informações da pesquisa. Na observação das reuniões das Salas, a pesquisa será apresentada ao coletivo, que deliberará sobre a presença do pesquisador; qualquer pessoa poderá pedir que suas falas não sejam registradas no diário de campo. As reuniões não serão gravadas em áudio ou vídeo. No acompanhamento longitudinal, o consentimento será reconfirmado em cada onda. No inquérito domiciliar, o consentimento será registrado por escrito, em papel ou no tablet, antes da entrevista, com entrega de via ao participante. A autorização para novo contato, destinada à seleção de participantes do componente qualitativo, será solicitada separadamente ao final da entrevista, e os dados de contato serão armazenados apartados das respostas.</w:t>
      </w:r>
    </w:p>
    <w:p>
      <w:pPr>
        <w:pStyle w:val="Heading2"/>
        <w:keepNext/>
        <w:spacing w:before="340" w:after="120" w:line="264" w:lineRule="auto"/>
        <w:jc w:val="left"/>
      </w:pPr>
      <w:bookmarkStart w:id="43" w:name="_h35"/>
      <w:r>
        <w:rPr>
          <w:rFonts w:ascii="Barlow Condensed SemiBold" w:hAnsi="Barlow Condensed SemiBold" w:cs="Barlow Condensed SemiBold" w:eastAsia="Barlow Condensed SemiBold"/>
          <w:color w:val="007614"/>
          <w:sz w:val="30"/>
          <w:szCs w:val="30"/>
        </w:rPr>
        <w:t xml:space="preserve">7.3 RISCOS E BENEFÍCIOS</w:t>
      </w:r>
      <w:bookmarkEnd w:id="43"/>
    </w:p>
    <w:p>
      <w:pPr>
        <w:spacing w:before="0" w:after="140" w:line="300" w:lineRule="auto"/>
        <w:jc w:val="both"/>
      </w:pPr>
      <w:r>
        <w:rPr>
          <w:rFonts w:ascii="Barlow" w:hAnsi="Barlow" w:cs="Barlow" w:eastAsia="Barlow"/>
          <w:color w:val="0F2440"/>
          <w:sz w:val="20"/>
          <w:szCs w:val="20"/>
        </w:rPr>
        <w:t xml:space="preserve">A pesquisa é classificada como de risco baixo, de natureza psicossocial. Os riscos previstos e as respectivas medidas de mitigação são:</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desconforto ao relatar conflitos, frustrações ou experiências de violência – mitigado pela liberdade de não responder e de interromper a entrevista e pelo encaminhamento à rede de atenção psicossocial quando necessário;</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coerção</w:t>
      </w:r>
      <w:r>
        <w:rPr>
          <w:rFonts w:ascii="Barlow" w:hAnsi="Barlow" w:cs="Barlow" w:eastAsia="Barlow"/>
          <w:color w:val="0F2440"/>
          <w:sz w:val="20"/>
          <w:szCs w:val="20"/>
        </w:rPr>
        <w:t xml:space="preserve">, porque os pesquisadores populares são supervisionados pela equipe que implementa a metodologia e os profissionais têm vínculo com a SES-DF – mitigado pela realização das entrevistas por pesquisadores da UnB, sem relação hierárquica com os participantes, e pela garantia de que nenhuma informação individual será repassada ao CTIS ou à gestão;</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exposição de conflitos locais e identificação de pessoas ou setores em publicações – mitigada pelo uso de pseudônimos, pela codificação dos setores (A a D) e pela supressão de detalhes que permitam reconhecer participantes;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exposição dos pesquisadores populares a conflitos decorrentes da articulação do Plano Popular – mitigada pela não divulgação de posicionamentos individuais e por análise de risco antes de qualquer publicação;</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e)</w:t>
      </w:r>
      <w:r>
        <w:rPr>
          <w:rFonts w:ascii="Barlow" w:hAnsi="Barlow" w:cs="Barlow" w:eastAsia="Barlow"/>
          <w:color w:val="0F2440"/>
          <w:sz w:val="20"/>
          <w:szCs w:val="20"/>
        </w:rPr>
        <w:t xml:space="preserve"> constrangimento ao responder sobre renda, fome e discriminação no inquérito – mitigado pela liberdade de não responder, pela realização da entrevista em local reservado sempre que possível e pela entrega, a todos os domicílios entrevistados, e não apenas aos que relatarem dificuldades, de folheto com os serviços de saúde, assistência social e proteção do território, o que evita estigmatizar quem responde;</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f)</w:t>
      </w:r>
      <w:r>
        <w:rPr>
          <w:rFonts w:ascii="Barlow" w:hAnsi="Barlow" w:cs="Barlow" w:eastAsia="Barlow"/>
          <w:color w:val="0F2440"/>
          <w:sz w:val="20"/>
          <w:szCs w:val="20"/>
        </w:rPr>
        <w:t xml:space="preserve"> riscos à segurança dos entrevistadores em áreas sob controle de grupos armados – mitigados por protocolo de segurança em campo, trabalho em duplas, mediação de lideranças locais para a entrada nos setores e suspensão da coleta em situações de risco.</w:t>
      </w:r>
    </w:p>
    <w:p>
      <w:pPr>
        <w:spacing w:before="0" w:after="140" w:line="300" w:lineRule="auto"/>
        <w:jc w:val="both"/>
      </w:pPr>
      <w:r>
        <w:rPr>
          <w:rFonts w:ascii="Barlow" w:hAnsi="Barlow" w:cs="Barlow" w:eastAsia="Barlow"/>
          <w:color w:val="0F2440"/>
          <w:sz w:val="20"/>
          <w:szCs w:val="20"/>
        </w:rPr>
        <w:t xml:space="preserve">Os benefícios diretos são a participação nas oficinas de interpretação e o acesso aos resultados. Os benefícios coletivos são o conhecimento sobre as condições que fazem a vigilância popular produzir resposta e as recomendações para o aprimoramento da metodologia e da articulação com os serviços. A participação não envolve custo nem remuneração; despesas de transporte e alimentação decorrentes da participação serão ressarcidas.</w:t>
      </w:r>
    </w:p>
    <w:p>
      <w:pPr>
        <w:pStyle w:val="Heading2"/>
        <w:keepNext/>
        <w:spacing w:before="340" w:after="120" w:line="264" w:lineRule="auto"/>
        <w:jc w:val="left"/>
      </w:pPr>
      <w:bookmarkStart w:id="44" w:name="_h36"/>
      <w:r>
        <w:rPr>
          <w:rFonts w:ascii="Barlow Condensed SemiBold" w:hAnsi="Barlow Condensed SemiBold" w:cs="Barlow Condensed SemiBold" w:eastAsia="Barlow Condensed SemiBold"/>
          <w:color w:val="007614"/>
          <w:sz w:val="30"/>
          <w:szCs w:val="30"/>
        </w:rPr>
        <w:t xml:space="preserve">7.4 PROTEÇÃO DE DADOS</w:t>
      </w:r>
      <w:bookmarkEnd w:id="44"/>
    </w:p>
    <w:p>
      <w:pPr>
        <w:spacing w:before="0" w:after="140" w:line="300" w:lineRule="auto"/>
        <w:jc w:val="both"/>
      </w:pPr>
      <w:r>
        <w:rPr>
          <w:rFonts w:ascii="Barlow" w:hAnsi="Barlow" w:cs="Barlow" w:eastAsia="Barlow"/>
          <w:color w:val="0F2440"/>
          <w:sz w:val="20"/>
          <w:szCs w:val="20"/>
        </w:rPr>
        <w:t xml:space="preserve">O tratamento de dados pessoais terá como base legal a realização de estudos por órgão de pesquisa, garantida a anonimização sempre que possível (art. 7º, inciso IV, e art. 11, inciso II, alínea "c", da Lei nº 13.709/2018) (BRASIL, 2018). Áudios e transcrições serão armazenados em servidor institucional com acesso restrito à equipe de campo; a chave que liga pseudônimos a identidades será guardada separadamente. A transcrição será feita pela equipe ou por serviço contratado sob termo de confidencialidade. Os registros da Plataforma Ágora serão acessados apenas de forma agregada ou desidentificada. Os dados serão mantidos por cinco anos após o término do estudo e então eliminados. Transcrições e dados brutos não serão publicados.</w:t>
      </w:r>
    </w:p>
    <w:p>
      <w:pPr>
        <w:pStyle w:val="Heading2"/>
        <w:keepNext/>
        <w:spacing w:before="340" w:after="120" w:line="264" w:lineRule="auto"/>
        <w:jc w:val="left"/>
      </w:pPr>
      <w:bookmarkStart w:id="45" w:name="_h37"/>
      <w:r>
        <w:rPr>
          <w:rFonts w:ascii="Barlow Condensed SemiBold" w:hAnsi="Barlow Condensed SemiBold" w:cs="Barlow Condensed SemiBold" w:eastAsia="Barlow Condensed SemiBold"/>
          <w:color w:val="007614"/>
          <w:sz w:val="30"/>
          <w:szCs w:val="30"/>
        </w:rPr>
        <w:t xml:space="preserve">7.5 DEVOLUTIVA E GOVERNANÇA COMUNITÁRIA</w:t>
      </w:r>
      <w:bookmarkEnd w:id="45"/>
    </w:p>
    <w:p>
      <w:pPr>
        <w:spacing w:before="0" w:after="140" w:line="300" w:lineRule="auto"/>
        <w:jc w:val="both"/>
        <w:sectPr>
          <w:headerReference w:type="default" r:id="rId22"/>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Os resultados serão devolvidos a cada Sala de Cooperação Social em linguagem acessível, nas oficinas de interpretação e em uma devolutiva final, e às equipes de APS e à SES-DF em relatório técnico. As Salas serão consultadas sobre a forma de divulgação dos achados que envolvam o território, sem prejuízo das obrigações de proteção de dados e sem poder de veto sobre resultados científicos.</w:t>
      </w:r>
    </w:p>
    <w:p>
      <w:pPr>
        <w:pStyle w:val="Heading1"/>
        <w:pBdr>
          <w:bottom w:val="single" w:sz="12" w:space="10" w:color="007614"/>
        </w:pBdr>
        <w:spacing w:before="120" w:after="380" w:line="600" w:lineRule="exact"/>
        <w:jc w:val="left"/>
      </w:pPr>
      <w:bookmarkStart w:id="46" w:name="_h38"/>
      <w:r>
        <w:rPr>
          <w:rFonts w:ascii="Barlow Condensed" w:hAnsi="Barlow Condensed" w:cs="Barlow Condensed" w:eastAsia="Barlow Condensed"/>
          <w:b/>
          <w:bCs/>
          <w:color w:val="007614"/>
          <w:sz w:val="52"/>
          <w:szCs w:val="52"/>
        </w:rPr>
        <w:t xml:space="preserve">8 </w:t>
      </w:r>
      <w:r>
        <w:rPr>
          <w:rFonts w:ascii="Barlow Condensed" w:hAnsi="Barlow Condensed" w:cs="Barlow Condensed" w:eastAsia="Barlow Condensed"/>
          <w:b/>
          <w:bCs/>
          <w:color w:val="01366F"/>
          <w:sz w:val="52"/>
          <w:szCs w:val="52"/>
        </w:rPr>
        <w:t xml:space="preserve">LIMITAÇÕES</w:t>
      </w:r>
      <w:bookmarkEnd w:id="46"/>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caso único</w:t>
      </w:r>
      <w:r>
        <w:rPr>
          <w:rFonts w:ascii="Barlow" w:hAnsi="Barlow" w:cs="Barlow" w:eastAsia="Barlow"/>
          <w:color w:val="0F2440"/>
          <w:sz w:val="20"/>
          <w:szCs w:val="20"/>
        </w:rPr>
        <w:t xml:space="preserve">: os achados não se generalizam estatisticamente; sua transferência para outros territórios dependerá da descrição densa do contexto e da explicitação dos mecanismos;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proximidade institucional</w:t>
      </w:r>
      <w:r>
        <w:rPr>
          <w:rFonts w:ascii="Barlow" w:hAnsi="Barlow" w:cs="Barlow" w:eastAsia="Barlow"/>
          <w:color w:val="0F2440"/>
          <w:sz w:val="20"/>
          <w:szCs w:val="20"/>
        </w:rPr>
        <w:t xml:space="preserve">: mesmo com a separação de equipes, a vinculação da pesquisa à Fiocruz pode induzir respostas favoráveis; por isso a busca ativa de participantes críticos e afastados e a revisão externa;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viés de atividade</w:t>
      </w:r>
      <w:r>
        <w:rPr>
          <w:rFonts w:ascii="Barlow" w:hAnsi="Barlow" w:cs="Barlow" w:eastAsia="Barlow"/>
          <w:color w:val="0F2440"/>
          <w:sz w:val="20"/>
          <w:szCs w:val="20"/>
        </w:rPr>
        <w:t xml:space="preserve">: participantes mais ativos tendem a dominar entrevistas e reuniões; as entrevistas de saída e a inclusão de membros da rede que não se tornaram pesquisadores populares procuram corrigir esse viés;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dependência do cronograma da intervenção</w:t>
      </w:r>
      <w:r>
        <w:rPr>
          <w:rFonts w:ascii="Barlow" w:hAnsi="Barlow" w:cs="Barlow" w:eastAsia="Barlow"/>
          <w:color w:val="0F2440"/>
          <w:sz w:val="20"/>
          <w:szCs w:val="20"/>
        </w:rPr>
        <w:t xml:space="preserve">: atrasos na implantação deslocam as ondas e podem reduzir o tempo de observação dos últimos setores, o que será registrado e considerado na análise;</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e)</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efeito da própria pesquisa</w:t>
      </w:r>
      <w:r>
        <w:rPr>
          <w:rFonts w:ascii="Barlow" w:hAnsi="Barlow" w:cs="Barlow" w:eastAsia="Barlow"/>
          <w:color w:val="0F2440"/>
          <w:sz w:val="20"/>
          <w:szCs w:val="20"/>
        </w:rPr>
        <w:t xml:space="preserve">: as oficinas de interpretação podem alterar a implementação; essas alterações serão documentadas e analisadas, e não ocultadas;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f)</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percepção e efeito</w:t>
      </w:r>
      <w:r>
        <w:rPr>
          <w:rFonts w:ascii="Barlow" w:hAnsi="Barlow" w:cs="Barlow" w:eastAsia="Barlow"/>
          <w:color w:val="0F2440"/>
          <w:sz w:val="20"/>
          <w:szCs w:val="20"/>
        </w:rPr>
        <w:t xml:space="preserve">: relatos de melhora são evidências sobre experiências e significados, e não comprovação de mudança nas condições de saúde;</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g)</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inquérito transversal único</w:t>
      </w:r>
      <w:r>
        <w:rPr>
          <w:rFonts w:ascii="Barlow" w:hAnsi="Barlow" w:cs="Barlow" w:eastAsia="Barlow"/>
          <w:color w:val="0F2440"/>
          <w:sz w:val="20"/>
          <w:szCs w:val="20"/>
        </w:rPr>
        <w:t xml:space="preserve">: descreve a distribuição dos determinantes no início da implantação, mas não mede mudança nem efeito da metodologia;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h)</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itens adaptados</w:t>
      </w:r>
      <w:r>
        <w:rPr>
          <w:rFonts w:ascii="Barlow" w:hAnsi="Barlow" w:cs="Barlow" w:eastAsia="Barlow"/>
          <w:color w:val="0F2440"/>
          <w:sz w:val="20"/>
          <w:szCs w:val="20"/>
        </w:rPr>
        <w:t xml:space="preserve">: a escala HWISE-4 e os itens de coesão e de discriminação não têm validação prévia nessa população; passarão por entrevistas cognitivas e análise de consistência interna, e seus resultados serão interpretados com cautela;</w:t>
      </w:r>
    </w:p>
    <w:p>
      <w:pPr>
        <w:spacing w:before="0" w:after="90" w:line="300" w:lineRule="auto"/>
        <w:ind w:left="420" w:hanging="300"/>
        <w:jc w:val="both"/>
        <w:sectPr>
          <w:headerReference w:type="default" r:id="rId23"/>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Condensed SemiBold" w:hAnsi="Barlow Condensed SemiBold" w:cs="Barlow Condensed SemiBold" w:eastAsia="Barlow Condensed SemiBold"/>
          <w:color w:val="007614"/>
          <w:sz w:val="20"/>
          <w:szCs w:val="20"/>
        </w:rPr>
        <w:t xml:space="preserve">i)</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não resposta e sub-relato</w:t>
      </w:r>
      <w:r>
        <w:rPr>
          <w:rFonts w:ascii="Barlow" w:hAnsi="Barlow" w:cs="Barlow" w:eastAsia="Barlow"/>
          <w:color w:val="0F2440"/>
          <w:sz w:val="20"/>
          <w:szCs w:val="20"/>
        </w:rPr>
        <w:t xml:space="preserve">: recusas e domicílios não encontrados podem chegar a 30% ou mais, e perguntas sensíveis tendem a ser sub-relatadas; pesos com ajuste por não resposta reduzem, mas não eliminam, esses vieses.</w:t>
      </w:r>
    </w:p>
    <w:p>
      <w:pPr>
        <w:pStyle w:val="Heading1"/>
        <w:pBdr>
          <w:bottom w:val="single" w:sz="12" w:space="10" w:color="007614"/>
        </w:pBdr>
        <w:spacing w:before="120" w:after="380" w:line="600" w:lineRule="exact"/>
        <w:jc w:val="left"/>
      </w:pPr>
      <w:bookmarkStart w:id="47" w:name="_h39"/>
      <w:r>
        <w:rPr>
          <w:rFonts w:ascii="Barlow Condensed" w:hAnsi="Barlow Condensed" w:cs="Barlow Condensed" w:eastAsia="Barlow Condensed"/>
          <w:b/>
          <w:bCs/>
          <w:color w:val="007614"/>
          <w:sz w:val="52"/>
          <w:szCs w:val="52"/>
        </w:rPr>
        <w:t xml:space="preserve">9 </w:t>
      </w:r>
      <w:r>
        <w:rPr>
          <w:rFonts w:ascii="Barlow Condensed" w:hAnsi="Barlow Condensed" w:cs="Barlow Condensed" w:eastAsia="Barlow Condensed"/>
          <w:b/>
          <w:bCs/>
          <w:color w:val="01366F"/>
          <w:sz w:val="52"/>
          <w:szCs w:val="52"/>
        </w:rPr>
        <w:t xml:space="preserve">RESULTADOS ESPERADOS E PRODUTOS</w:t>
      </w:r>
      <w:bookmarkEnd w:id="47"/>
    </w:p>
    <w:p>
      <w:pPr>
        <w:spacing w:before="0" w:after="140" w:line="300" w:lineRule="auto"/>
        <w:jc w:val="both"/>
      </w:pPr>
      <w:r>
        <w:rPr>
          <w:rFonts w:ascii="Barlow" w:hAnsi="Barlow" w:cs="Barlow" w:eastAsia="Barlow"/>
          <w:color w:val="0F2440"/>
          <w:sz w:val="20"/>
          <w:szCs w:val="20"/>
        </w:rPr>
        <w:t xml:space="preserve">Os resultados esperados são produtos de conhecimento, e não garantias de eficácia da metodologia: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perfil dos determinantes sociais da saúde em cada setor, com prevalências e intervalos de confiança, devolvido às redes ativadas e às Salas de Cooperação Social;</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teoria do programa da metodologia revisada, com configurações contexto–mecanismo–resultado sustentadas por evidência empírica;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tipologia das trajetórias de alertas e demandas, com as condições associadas à resposta, à recusa e à ausência de resposta;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análise da constituição e da transformação das Salas de Cooperação Social como espaços de governança participativa;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e)</w:t>
      </w:r>
      <w:r>
        <w:rPr>
          <w:rFonts w:ascii="Barlow" w:hAnsi="Barlow" w:cs="Barlow" w:eastAsia="Barlow"/>
          <w:color w:val="0F2440"/>
          <w:sz w:val="20"/>
          <w:szCs w:val="20"/>
        </w:rPr>
        <w:t xml:space="preserve"> recomendações à PICAPS, à SES-DF e às equipes de APS sobre a articulação entre Salas e serviços, cada uma rastreável às evidências que a sustentam;</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f)</w:t>
      </w:r>
      <w:r>
        <w:rPr>
          <w:rFonts w:ascii="Barlow" w:hAnsi="Barlow" w:cs="Barlow" w:eastAsia="Barlow"/>
          <w:color w:val="0F2440"/>
          <w:sz w:val="20"/>
          <w:szCs w:val="20"/>
        </w:rPr>
        <w:t xml:space="preserve"> protocolo de avaliação de processo, roteiros, guias de observação e questionário misto adaptado e testado, disponíveis para reaplicação em outros territórios, além da base anonimizada do inquérito, disponível mediante solicitação;</w:t>
      </w:r>
    </w:p>
    <w:p>
      <w:pPr>
        <w:spacing w:before="0" w:after="90" w:line="300" w:lineRule="auto"/>
        <w:ind w:left="420" w:hanging="300"/>
        <w:jc w:val="both"/>
        <w:sectPr>
          <w:headerReference w:type="default" r:id="rId24"/>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Condensed SemiBold" w:hAnsi="Barlow Condensed SemiBold" w:cs="Barlow Condensed SemiBold" w:eastAsia="Barlow Condensed SemiBold"/>
          <w:color w:val="007614"/>
          <w:sz w:val="20"/>
          <w:szCs w:val="20"/>
        </w:rPr>
        <w:t xml:space="preserve">g)</w:t>
      </w:r>
      <w:r>
        <w:rPr>
          <w:rFonts w:ascii="Barlow" w:hAnsi="Barlow" w:cs="Barlow" w:eastAsia="Barlow"/>
          <w:color w:val="0F2440"/>
          <w:sz w:val="20"/>
          <w:szCs w:val="20"/>
        </w:rPr>
        <w:t xml:space="preserve"> relatório técnico para a gestão, materiais de devolutiva em linguagem acessível e artigos científicos proporcionais ao material produzido.</w:t>
      </w:r>
    </w:p>
    <w:p>
      <w:pPr>
        <w:pStyle w:val="Heading1"/>
        <w:pBdr>
          <w:bottom w:val="single" w:sz="12" w:space="10" w:color="007614"/>
        </w:pBdr>
        <w:spacing w:before="120" w:after="380" w:line="600" w:lineRule="exact"/>
        <w:jc w:val="left"/>
      </w:pPr>
      <w:bookmarkStart w:id="48" w:name="_h40"/>
      <w:r>
        <w:rPr>
          <w:rFonts w:ascii="Barlow Condensed" w:hAnsi="Barlow Condensed" w:cs="Barlow Condensed" w:eastAsia="Barlow Condensed"/>
          <w:b/>
          <w:bCs/>
          <w:color w:val="007614"/>
          <w:sz w:val="52"/>
          <w:szCs w:val="52"/>
        </w:rPr>
        <w:t xml:space="preserve">10 </w:t>
      </w:r>
      <w:r>
        <w:rPr>
          <w:rFonts w:ascii="Barlow Condensed" w:hAnsi="Barlow Condensed" w:cs="Barlow Condensed" w:eastAsia="Barlow Condensed"/>
          <w:b/>
          <w:bCs/>
          <w:color w:val="01366F"/>
          <w:sz w:val="52"/>
          <w:szCs w:val="52"/>
        </w:rPr>
        <w:t xml:space="preserve">CRONOGRAMA</w:t>
      </w:r>
      <w:bookmarkEnd w:id="48"/>
    </w:p>
    <w:p>
      <w:pPr>
        <w:spacing w:before="0" w:after="140" w:line="300" w:lineRule="auto"/>
        <w:jc w:val="both"/>
      </w:pPr>
      <w:r>
        <w:rPr>
          <w:rFonts w:ascii="Barlow" w:hAnsi="Barlow" w:cs="Barlow" w:eastAsia="Barlow"/>
          <w:color w:val="0F2440"/>
          <w:sz w:val="20"/>
          <w:szCs w:val="20"/>
        </w:rPr>
        <w:t xml:space="preserve">O estudo terá duração de 36 meses, organizados em seis semestres (S1 a S6). As ondas qualitativas acompanham os marcos da implantação em cada setor (Quadro 3), e o inquérito ocorre no segundo semestre, antes da cartografia social de cada setor.</w:t>
      </w:r>
    </w:p>
    <w:p>
      <w:pPr>
        <w:keepNext/>
        <w:spacing w:before="200" w:after="100" w:line="264" w:lineRule="auto"/>
        <w:jc w:val="left"/>
      </w:pPr>
      <w:bookmarkStart w:id="49" w:name="_q_8"/>
      <w:r>
        <w:rPr>
          <w:rFonts w:ascii="Barlow Condensed SemiBold" w:hAnsi="Barlow Condensed SemiBold" w:cs="Barlow Condensed SemiBold" w:eastAsia="Barlow Condensed SemiBold"/>
          <w:color w:val="007614"/>
          <w:sz w:val="21"/>
          <w:szCs w:val="21"/>
        </w:rPr>
        <w:t xml:space="preserve">Quadro 8 – </w:t>
      </w:r>
      <w:r>
        <w:rPr>
          <w:rFonts w:ascii="Barlow Condensed SemiBold" w:hAnsi="Barlow Condensed SemiBold" w:cs="Barlow Condensed SemiBold" w:eastAsia="Barlow Condensed SemiBold"/>
          <w:color w:val="01366F"/>
          <w:sz w:val="21"/>
          <w:szCs w:val="21"/>
        </w:rPr>
        <w:t xml:space="preserve">Cronograma de execução por semestre</w:t>
      </w:r>
      <w:bookmarkEnd w:id="49"/>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5129"/>
        <w:gridCol w:w="619"/>
        <w:gridCol w:w="619"/>
        <w:gridCol w:w="619"/>
        <w:gridCol w:w="619"/>
        <w:gridCol w:w="619"/>
        <w:gridCol w:w="620"/>
      </w:tblGrid>
      <w:tr>
        <w:trPr>
          <w:tblHeader/>
          <w:cantSplit/>
        </w:trPr>
        <w:tc>
          <w:tcPr>
            <w:tcW w:w="5129"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Atividade</w:t>
            </w:r>
          </w:p>
        </w:tc>
        <w:tc>
          <w:tcPr>
            <w:tcW w:w="619"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S1</w:t>
            </w:r>
          </w:p>
        </w:tc>
        <w:tc>
          <w:tcPr>
            <w:tcW w:w="619"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S2</w:t>
            </w:r>
          </w:p>
        </w:tc>
        <w:tc>
          <w:tcPr>
            <w:tcW w:w="619"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S3</w:t>
            </w:r>
          </w:p>
        </w:tc>
        <w:tc>
          <w:tcPr>
            <w:tcW w:w="619"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S4</w:t>
            </w:r>
          </w:p>
        </w:tc>
        <w:tc>
          <w:tcPr>
            <w:tcW w:w="619"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S5</w:t>
            </w:r>
          </w:p>
        </w:tc>
        <w:tc>
          <w:tcPr>
            <w:tcW w:w="620"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S6</w:t>
            </w:r>
          </w:p>
        </w:tc>
      </w:tr>
      <w:tr>
        <w:trPr>
          <w:cantSplit/>
        </w:trPr>
        <w:tc>
          <w:tcPr>
            <w:tcW w:w="512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Pactuação institucional, guia da intervenção e teoria inicial do programa</w:t>
            </w: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p>
        </w:tc>
        <w:tc>
          <w:tcPr>
            <w:tcW w:w="620" w:type="dxa"/>
            <w:shd w:val="clear" w:color="auto" w:fill="FFFFFF"/>
            <w:vAlign w:val="top"/>
          </w:tcPr>
          <w:p>
            <w:pPr>
              <w:spacing w:before="0" w:after="0" w:line="252" w:lineRule="auto"/>
              <w:jc w:val="center"/>
            </w:pPr>
          </w:p>
        </w:tc>
      </w:tr>
      <w:tr>
        <w:trPr>
          <w:cantSplit/>
        </w:trPr>
        <w:tc>
          <w:tcPr>
            <w:tcW w:w="512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Elaboração e teste dos instrumentos; submissão e aprovação ética</w:t>
            </w: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p>
        </w:tc>
        <w:tc>
          <w:tcPr>
            <w:tcW w:w="620" w:type="dxa"/>
            <w:shd w:val="clear" w:color="auto" w:fill="E9F2EB"/>
            <w:vAlign w:val="top"/>
          </w:tcPr>
          <w:p>
            <w:pPr>
              <w:spacing w:before="0" w:after="0" w:line="252" w:lineRule="auto"/>
              <w:jc w:val="center"/>
            </w:pPr>
          </w:p>
        </w:tc>
      </w:tr>
      <w:tr>
        <w:trPr>
          <w:cantSplit/>
        </w:trPr>
        <w:tc>
          <w:tcPr>
            <w:tcW w:w="512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Seleção e treinamento da equipe de campo e dos entrevistadores</w:t>
            </w: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p>
        </w:tc>
        <w:tc>
          <w:tcPr>
            <w:tcW w:w="620" w:type="dxa"/>
            <w:shd w:val="clear" w:color="auto" w:fill="FFFFFF"/>
            <w:vAlign w:val="top"/>
          </w:tcPr>
          <w:p>
            <w:pPr>
              <w:spacing w:before="0" w:after="0" w:line="252" w:lineRule="auto"/>
              <w:jc w:val="center"/>
            </w:pPr>
          </w:p>
        </w:tc>
      </w:tr>
      <w:tr>
        <w:trPr>
          <w:cantSplit/>
        </w:trPr>
        <w:tc>
          <w:tcPr>
            <w:tcW w:w="512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Adaptação, entrevistas cognitivas e piloto do questionário</w:t>
            </w: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p>
        </w:tc>
        <w:tc>
          <w:tcPr>
            <w:tcW w:w="620" w:type="dxa"/>
            <w:shd w:val="clear" w:color="auto" w:fill="E9F2EB"/>
            <w:vAlign w:val="top"/>
          </w:tcPr>
          <w:p>
            <w:pPr>
              <w:spacing w:before="0" w:after="0" w:line="252" w:lineRule="auto"/>
              <w:jc w:val="center"/>
            </w:pPr>
          </w:p>
        </w:tc>
      </w:tr>
      <w:tr>
        <w:trPr>
          <w:cantSplit/>
        </w:trPr>
        <w:tc>
          <w:tcPr>
            <w:tcW w:w="512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Listagem domiciliar e inquérito domiciliar</w:t>
            </w: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p>
        </w:tc>
        <w:tc>
          <w:tcPr>
            <w:tcW w:w="620" w:type="dxa"/>
            <w:shd w:val="clear" w:color="auto" w:fill="FFFFFF"/>
            <w:vAlign w:val="top"/>
          </w:tcPr>
          <w:p>
            <w:pPr>
              <w:spacing w:before="0" w:after="0" w:line="252" w:lineRule="auto"/>
              <w:jc w:val="center"/>
            </w:pPr>
          </w:p>
        </w:tc>
      </w:tr>
      <w:tr>
        <w:trPr>
          <w:cantSplit/>
        </w:trPr>
        <w:tc>
          <w:tcPr>
            <w:tcW w:w="512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Análise do inquérito e devolutiva por setor</w:t>
            </w: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p>
        </w:tc>
        <w:tc>
          <w:tcPr>
            <w:tcW w:w="620" w:type="dxa"/>
            <w:shd w:val="clear" w:color="auto" w:fill="E9F2EB"/>
            <w:vAlign w:val="top"/>
          </w:tcPr>
          <w:p>
            <w:pPr>
              <w:spacing w:before="0" w:after="0" w:line="252" w:lineRule="auto"/>
              <w:jc w:val="center"/>
            </w:pPr>
          </w:p>
        </w:tc>
      </w:tr>
      <w:tr>
        <w:trPr>
          <w:cantSplit/>
        </w:trPr>
        <w:tc>
          <w:tcPr>
            <w:tcW w:w="512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Onda 1 (ativação e cartografia)</w:t>
            </w: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p>
        </w:tc>
        <w:tc>
          <w:tcPr>
            <w:tcW w:w="620" w:type="dxa"/>
            <w:shd w:val="clear" w:color="auto" w:fill="FFFFFF"/>
            <w:vAlign w:val="top"/>
          </w:tcPr>
          <w:p>
            <w:pPr>
              <w:spacing w:before="0" w:after="0" w:line="252" w:lineRule="auto"/>
              <w:jc w:val="center"/>
            </w:pPr>
          </w:p>
        </w:tc>
      </w:tr>
      <w:tr>
        <w:trPr>
          <w:cantSplit/>
        </w:trPr>
        <w:tc>
          <w:tcPr>
            <w:tcW w:w="512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Onda 2 (início da operação das Salas)</w:t>
            </w: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E9F2EB"/>
            <w:vAlign w:val="top"/>
          </w:tcPr>
          <w:p>
            <w:pPr>
              <w:spacing w:before="0" w:after="0" w:line="252" w:lineRule="auto"/>
              <w:jc w:val="center"/>
            </w:pPr>
          </w:p>
        </w:tc>
        <w:tc>
          <w:tcPr>
            <w:tcW w:w="620" w:type="dxa"/>
            <w:shd w:val="clear" w:color="auto" w:fill="E9F2EB"/>
            <w:vAlign w:val="top"/>
          </w:tcPr>
          <w:p>
            <w:pPr>
              <w:spacing w:before="0" w:after="0" w:line="252" w:lineRule="auto"/>
              <w:jc w:val="center"/>
            </w:pPr>
          </w:p>
        </w:tc>
      </w:tr>
      <w:tr>
        <w:trPr>
          <w:cantSplit/>
        </w:trPr>
        <w:tc>
          <w:tcPr>
            <w:tcW w:w="512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Onda 3 (consolidação das Salas)</w:t>
            </w: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20"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r>
      <w:tr>
        <w:trPr>
          <w:cantSplit/>
        </w:trPr>
        <w:tc>
          <w:tcPr>
            <w:tcW w:w="512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Observação das Salas e oficinas</w:t>
            </w: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20"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r>
      <w:tr>
        <w:trPr>
          <w:cantSplit/>
        </w:trPr>
        <w:tc>
          <w:tcPr>
            <w:tcW w:w="512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Rastreamento de trajetórias</w:t>
            </w: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20"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r>
      <w:tr>
        <w:trPr>
          <w:cantSplit/>
        </w:trPr>
        <w:tc>
          <w:tcPr>
            <w:tcW w:w="512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Análise iterativa e revisão da teoria do programa</w:t>
            </w: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20"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r>
      <w:tr>
        <w:trPr>
          <w:cantSplit/>
        </w:trPr>
        <w:tc>
          <w:tcPr>
            <w:tcW w:w="512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Integração dos componentes (joint displays)</w:t>
            </w: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c>
          <w:tcPr>
            <w:tcW w:w="620" w:type="dxa"/>
            <w:shd w:val="clear" w:color="auto" w:fill="FFFFFF"/>
            <w:vAlign w:val="top"/>
          </w:tcPr>
          <w:p>
            <w:pPr>
              <w:spacing w:before="0" w:after="0" w:line="252" w:lineRule="auto"/>
              <w:jc w:val="center"/>
            </w:pPr>
            <w:r>
              <w:rPr>
                <w:rFonts w:ascii="Barlow" w:hAnsi="Barlow" w:cs="Barlow" w:eastAsia="Barlow"/>
                <w:color w:val="0F2440"/>
                <w:sz w:val="17"/>
                <w:szCs w:val="17"/>
              </w:rPr>
              <w:t xml:space="preserve">X</w:t>
            </w:r>
          </w:p>
        </w:tc>
      </w:tr>
      <w:tr>
        <w:trPr>
          <w:cantSplit/>
        </w:trPr>
        <w:tc>
          <w:tcPr>
            <w:tcW w:w="512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Oficinas de interpretação</w:t>
            </w: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19"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c>
          <w:tcPr>
            <w:tcW w:w="620" w:type="dxa"/>
            <w:shd w:val="clear" w:color="auto" w:fill="E9F2EB"/>
            <w:vAlign w:val="top"/>
          </w:tcPr>
          <w:p>
            <w:pPr>
              <w:spacing w:before="0" w:after="0" w:line="252" w:lineRule="auto"/>
              <w:jc w:val="center"/>
            </w:pPr>
            <w:r>
              <w:rPr>
                <w:rFonts w:ascii="Barlow" w:hAnsi="Barlow" w:cs="Barlow" w:eastAsia="Barlow"/>
                <w:color w:val="0F2440"/>
                <w:sz w:val="17"/>
                <w:szCs w:val="17"/>
              </w:rPr>
              <w:t xml:space="preserve">X</w:t>
            </w:r>
          </w:p>
        </w:tc>
      </w:tr>
      <w:tr>
        <w:trPr>
          <w:cantSplit/>
        </w:trPr>
        <w:tc>
          <w:tcPr>
            <w:tcW w:w="5129" w:type="dxa"/>
            <w:shd w:val="clear" w:color="auto" w:fill="FFFFFF"/>
            <w:vAlign w:val="top"/>
          </w:tcPr>
          <w:p>
            <w:pPr>
              <w:keepNext/>
              <w:spacing w:before="0" w:after="0" w:line="252" w:lineRule="auto"/>
              <w:jc w:val="left"/>
            </w:pPr>
            <w:r>
              <w:rPr>
                <w:rFonts w:ascii="Barlow SemiBold" w:hAnsi="Barlow SemiBold" w:cs="Barlow SemiBold" w:eastAsia="Barlow SemiBold"/>
                <w:color w:val="01366F"/>
                <w:sz w:val="17"/>
                <w:szCs w:val="17"/>
              </w:rPr>
              <w:t xml:space="preserve">Relatório final, devolutiva final e artigos</w:t>
            </w:r>
          </w:p>
        </w:tc>
        <w:tc>
          <w:tcPr>
            <w:tcW w:w="619" w:type="dxa"/>
            <w:shd w:val="clear" w:color="auto" w:fill="FFFFFF"/>
            <w:vAlign w:val="top"/>
          </w:tcPr>
          <w:p>
            <w:pPr>
              <w:keepNext/>
              <w:spacing w:before="0" w:after="0" w:line="252" w:lineRule="auto"/>
              <w:jc w:val="center"/>
            </w:pPr>
          </w:p>
        </w:tc>
        <w:tc>
          <w:tcPr>
            <w:tcW w:w="619" w:type="dxa"/>
            <w:shd w:val="clear" w:color="auto" w:fill="FFFFFF"/>
            <w:vAlign w:val="top"/>
          </w:tcPr>
          <w:p>
            <w:pPr>
              <w:keepNext/>
              <w:spacing w:before="0" w:after="0" w:line="252" w:lineRule="auto"/>
              <w:jc w:val="center"/>
            </w:pPr>
          </w:p>
        </w:tc>
        <w:tc>
          <w:tcPr>
            <w:tcW w:w="619" w:type="dxa"/>
            <w:shd w:val="clear" w:color="auto" w:fill="FFFFFF"/>
            <w:vAlign w:val="top"/>
          </w:tcPr>
          <w:p>
            <w:pPr>
              <w:keepNext/>
              <w:spacing w:before="0" w:after="0" w:line="252" w:lineRule="auto"/>
              <w:jc w:val="center"/>
            </w:pPr>
          </w:p>
        </w:tc>
        <w:tc>
          <w:tcPr>
            <w:tcW w:w="619" w:type="dxa"/>
            <w:shd w:val="clear" w:color="auto" w:fill="FFFFFF"/>
            <w:vAlign w:val="top"/>
          </w:tcPr>
          <w:p>
            <w:pPr>
              <w:keepNext/>
              <w:spacing w:before="0" w:after="0" w:line="252" w:lineRule="auto"/>
              <w:jc w:val="center"/>
            </w:pPr>
          </w:p>
        </w:tc>
        <w:tc>
          <w:tcPr>
            <w:tcW w:w="619" w:type="dxa"/>
            <w:shd w:val="clear" w:color="auto" w:fill="FFFFFF"/>
            <w:vAlign w:val="top"/>
          </w:tcPr>
          <w:p>
            <w:pPr>
              <w:keepNext/>
              <w:spacing w:before="0" w:after="0" w:line="252" w:lineRule="auto"/>
              <w:jc w:val="center"/>
            </w:pPr>
          </w:p>
        </w:tc>
        <w:tc>
          <w:tcPr>
            <w:tcW w:w="620" w:type="dxa"/>
            <w:shd w:val="clear" w:color="auto" w:fill="FFFFFF"/>
            <w:vAlign w:val="top"/>
          </w:tcPr>
          <w:p>
            <w:pPr>
              <w:keepNext/>
              <w:spacing w:before="0" w:after="0" w:line="252" w:lineRule="auto"/>
              <w:jc w:val="center"/>
            </w:pPr>
            <w:r>
              <w:rPr>
                <w:rFonts w:ascii="Barlow" w:hAnsi="Barlow" w:cs="Barlow" w:eastAsia="Barlow"/>
                <w:color w:val="0F2440"/>
                <w:sz w:val="17"/>
                <w:szCs w:val="17"/>
              </w:rPr>
              <w:t xml:space="preserve">X</w:t>
            </w:r>
          </w:p>
        </w:tc>
      </w:tr>
    </w:tbl>
    <w:p>
      <w:pPr>
        <w:spacing w:before="60" w:after="220" w:line="240" w:lineRule="auto"/>
        <w:jc w:val="left"/>
        <w:sectPr>
          <w:headerReference w:type="default" r:id="rId25"/>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pStyle w:val="Heading1"/>
        <w:pBdr>
          <w:bottom w:val="single" w:sz="12" w:space="10" w:color="007614"/>
        </w:pBdr>
        <w:spacing w:before="120" w:after="380" w:line="600" w:lineRule="exact"/>
        <w:jc w:val="left"/>
      </w:pPr>
      <w:bookmarkStart w:id="50" w:name="_h41"/>
      <w:r>
        <w:rPr>
          <w:rFonts w:ascii="Barlow Condensed" w:hAnsi="Barlow Condensed" w:cs="Barlow Condensed" w:eastAsia="Barlow Condensed"/>
          <w:b/>
          <w:bCs/>
          <w:color w:val="007614"/>
          <w:sz w:val="52"/>
          <w:szCs w:val="52"/>
        </w:rPr>
        <w:t xml:space="preserve">11 </w:t>
      </w:r>
      <w:r>
        <w:rPr>
          <w:rFonts w:ascii="Barlow Condensed" w:hAnsi="Barlow Condensed" w:cs="Barlow Condensed" w:eastAsia="Barlow Condensed"/>
          <w:b/>
          <w:bCs/>
          <w:color w:val="01366F"/>
          <w:sz w:val="52"/>
          <w:szCs w:val="52"/>
        </w:rPr>
        <w:t xml:space="preserve">RECURSOS E ORÇAMENTO</w:t>
      </w:r>
      <w:bookmarkEnd w:id="50"/>
    </w:p>
    <w:p>
      <w:pPr>
        <w:spacing w:before="0" w:after="140" w:line="300" w:lineRule="auto"/>
        <w:jc w:val="both"/>
      </w:pPr>
      <w:r>
        <w:rPr>
          <w:rFonts w:ascii="Barlow" w:hAnsi="Barlow" w:cs="Barlow" w:eastAsia="Barlow"/>
          <w:color w:val="0F2440"/>
          <w:sz w:val="20"/>
          <w:szCs w:val="20"/>
        </w:rPr>
        <w:t xml:space="preserve">O Quadro 9 apresenta as rubricas e as quantidades estimadas. Os valores serão definidos conforme a fonte de financiamento e deverão constar do formulário da Plataforma Brasil.</w:t>
      </w:r>
    </w:p>
    <w:p>
      <w:pPr>
        <w:keepNext/>
        <w:spacing w:before="200" w:after="100" w:line="264" w:lineRule="auto"/>
        <w:jc w:val="left"/>
      </w:pPr>
      <w:bookmarkStart w:id="51" w:name="_q_9"/>
      <w:r>
        <w:rPr>
          <w:rFonts w:ascii="Barlow Condensed SemiBold" w:hAnsi="Barlow Condensed SemiBold" w:cs="Barlow Condensed SemiBold" w:eastAsia="Barlow Condensed SemiBold"/>
          <w:color w:val="007614"/>
          <w:sz w:val="21"/>
          <w:szCs w:val="21"/>
        </w:rPr>
        <w:t xml:space="preserve">Quadro 9 – </w:t>
      </w:r>
      <w:r>
        <w:rPr>
          <w:rFonts w:ascii="Barlow Condensed SemiBold" w:hAnsi="Barlow Condensed SemiBold" w:cs="Barlow Condensed SemiBold" w:eastAsia="Barlow Condensed SemiBold"/>
          <w:color w:val="01366F"/>
          <w:sz w:val="21"/>
          <w:szCs w:val="21"/>
        </w:rPr>
        <w:t xml:space="preserve">Orçamento estimado</w:t>
      </w:r>
      <w:bookmarkEnd w:id="51"/>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2122"/>
        <w:gridCol w:w="4952"/>
        <w:gridCol w:w="1770"/>
      </w:tblGrid>
      <w:tr>
        <w:trPr>
          <w:tblHeader/>
          <w:cantSplit/>
        </w:trPr>
        <w:tc>
          <w:tcPr>
            <w:tcW w:w="2122"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Rubrica</w:t>
            </w:r>
          </w:p>
        </w:tc>
        <w:tc>
          <w:tcPr>
            <w:tcW w:w="4952"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Especificação e quantidade estimada</w:t>
            </w:r>
          </w:p>
        </w:tc>
        <w:tc>
          <w:tcPr>
            <w:tcW w:w="1770" w:type="dxa"/>
            <w:shd w:val="clear" w:color="auto" w:fill="01366F"/>
            <w:vAlign w:val="center"/>
          </w:tcPr>
          <w:p>
            <w:pPr>
              <w:spacing w:before="0" w:after="0" w:line="240" w:lineRule="auto"/>
              <w:jc w:val="center"/>
            </w:pPr>
            <w:r>
              <w:rPr>
                <w:rFonts w:ascii="Barlow Condensed SemiBold" w:hAnsi="Barlow Condensed SemiBold" w:cs="Barlow Condensed SemiBold" w:eastAsia="Barlow Condensed SemiBold"/>
                <w:color w:val="FFFFFF"/>
                <w:sz w:val="16"/>
                <w:szCs w:val="16"/>
              </w:rPr>
              <w:t xml:space="preserve">Valor (R$)</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Bolsas de pesquisa</w:t>
            </w:r>
          </w:p>
        </w:tc>
        <w:tc>
          <w:tcPr>
            <w:tcW w:w="495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Dois pesquisadores de campo (UnB) por 30 meses; um bolsista de apoio por 24 meses</w:t>
            </w:r>
          </w:p>
        </w:tc>
        <w:tc>
          <w:tcPr>
            <w:tcW w:w="177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 preencher]</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Transcrição</w:t>
            </w:r>
          </w:p>
        </w:tc>
        <w:tc>
          <w:tcPr>
            <w:tcW w:w="495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Cerca de 100 entrevistas de aproximadamente 60 minutos</w:t>
            </w:r>
          </w:p>
        </w:tc>
        <w:tc>
          <w:tcPr>
            <w:tcW w:w="177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 preencher]</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Inquérito domiciliar</w:t>
            </w:r>
          </w:p>
        </w:tc>
        <w:tc>
          <w:tcPr>
            <w:tcW w:w="495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Seis entrevistadores e um supervisor por cerca de quatro meses (listagem, piloto e 840 entrevistas); seguro e identificação de campo</w:t>
            </w:r>
          </w:p>
        </w:tc>
        <w:tc>
          <w:tcPr>
            <w:tcW w:w="177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 preencher]</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Equipamentos do inquérito</w:t>
            </w:r>
          </w:p>
        </w:tc>
        <w:tc>
          <w:tcPr>
            <w:tcW w:w="495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Oito tablets; aplicativo de coleta de uso gratuito (KoboToolbox); impressão de folhetos de serviços</w:t>
            </w:r>
          </w:p>
        </w:tc>
        <w:tc>
          <w:tcPr>
            <w:tcW w:w="177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 preencher]</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Software e equipamentos</w:t>
            </w:r>
          </w:p>
        </w:tc>
        <w:tc>
          <w:tcPr>
            <w:tcW w:w="495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Licença MAXQDA para a equipe; gravadores digitais; armazenamento institucional seguro</w:t>
            </w:r>
          </w:p>
        </w:tc>
        <w:tc>
          <w:tcPr>
            <w:tcW w:w="177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 preencher]</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Deslocamento</w:t>
            </w:r>
          </w:p>
        </w:tc>
        <w:tc>
          <w:tcPr>
            <w:tcW w:w="495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Transporte da equipe ao território durante 27 meses de campo</w:t>
            </w:r>
          </w:p>
        </w:tc>
        <w:tc>
          <w:tcPr>
            <w:tcW w:w="177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 preencher]</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Ressarcimento de participantes</w:t>
            </w:r>
          </w:p>
        </w:tc>
        <w:tc>
          <w:tcPr>
            <w:tcW w:w="495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Transporte e alimentação para entrevistas e oito oficinas de interpretação</w:t>
            </w:r>
          </w:p>
        </w:tc>
        <w:tc>
          <w:tcPr>
            <w:tcW w:w="177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 preencher]</w:t>
            </w:r>
          </w:p>
        </w:tc>
      </w:tr>
      <w:tr>
        <w:trPr>
          <w:cantSplit/>
        </w:trPr>
        <w:tc>
          <w:tcPr>
            <w:tcW w:w="21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Revisão externa</w:t>
            </w:r>
          </w:p>
        </w:tc>
        <w:tc>
          <w:tcPr>
            <w:tcW w:w="495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Analista independente para revisão da trilha de auditoria em três momentos</w:t>
            </w:r>
          </w:p>
        </w:tc>
        <w:tc>
          <w:tcPr>
            <w:tcW w:w="177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 preencher]</w:t>
            </w:r>
          </w:p>
        </w:tc>
      </w:tr>
      <w:tr>
        <w:trPr>
          <w:cantSplit/>
        </w:trPr>
        <w:tc>
          <w:tcPr>
            <w:tcW w:w="21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Divulgação</w:t>
            </w:r>
          </w:p>
        </w:tc>
        <w:tc>
          <w:tcPr>
            <w:tcW w:w="495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Materiais de devolutiva e publicação em acesso aberto</w:t>
            </w:r>
          </w:p>
        </w:tc>
        <w:tc>
          <w:tcPr>
            <w:tcW w:w="177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 preencher]</w:t>
            </w:r>
          </w:p>
        </w:tc>
      </w:tr>
      <w:tr>
        <w:trPr>
          <w:cantSplit/>
        </w:trPr>
        <w:tc>
          <w:tcPr>
            <w:tcW w:w="2122" w:type="dxa"/>
            <w:shd w:val="clear" w:color="auto" w:fill="E9F2EB"/>
            <w:vAlign w:val="top"/>
          </w:tcPr>
          <w:p>
            <w:pPr>
              <w:keepNext/>
              <w:spacing w:before="0" w:after="0" w:line="252" w:lineRule="auto"/>
              <w:jc w:val="left"/>
            </w:pPr>
            <w:r>
              <w:rPr>
                <w:rFonts w:ascii="Barlow SemiBold" w:hAnsi="Barlow SemiBold" w:cs="Barlow SemiBold" w:eastAsia="Barlow SemiBold"/>
                <w:color w:val="01366F"/>
                <w:sz w:val="17"/>
                <w:szCs w:val="17"/>
              </w:rPr>
              <w:t xml:space="preserve">Total</w:t>
            </w:r>
          </w:p>
        </w:tc>
        <w:tc>
          <w:tcPr>
            <w:tcW w:w="4952"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Fonte de financiamento: [a preencher]</w:t>
            </w:r>
          </w:p>
        </w:tc>
        <w:tc>
          <w:tcPr>
            <w:tcW w:w="1770"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[a preencher]</w:t>
            </w:r>
          </w:p>
        </w:tc>
      </w:tr>
    </w:tbl>
    <w:p>
      <w:pPr>
        <w:spacing w:before="60" w:after="220" w:line="240" w:lineRule="auto"/>
        <w:jc w:val="left"/>
        <w:sectPr>
          <w:headerReference w:type="default" r:id="rId26"/>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pStyle w:val="Heading1"/>
        <w:pBdr>
          <w:bottom w:val="single" w:sz="12" w:space="10" w:color="007614"/>
        </w:pBdr>
        <w:spacing w:before="120" w:after="380" w:line="600" w:lineRule="exact"/>
        <w:jc w:val="left"/>
      </w:pPr>
      <w:bookmarkStart w:id="52" w:name="_h42"/>
      <w:r>
        <w:rPr>
          <w:rFonts w:ascii="Barlow Condensed" w:hAnsi="Barlow Condensed" w:cs="Barlow Condensed" w:eastAsia="Barlow Condensed"/>
          <w:b/>
          <w:bCs/>
          <w:color w:val="01366F"/>
          <w:sz w:val="52"/>
          <w:szCs w:val="52"/>
        </w:rPr>
        <w:t xml:space="preserve">REFERÊNCIAS</w:t>
      </w:r>
      <w:bookmarkEnd w:id="52"/>
    </w:p>
    <w:p>
      <w:pPr>
        <w:spacing w:before="0" w:after="150" w:line="264" w:lineRule="auto"/>
        <w:jc w:val="left"/>
      </w:pPr>
      <w:r>
        <w:rPr>
          <w:rFonts w:ascii="Barlow" w:hAnsi="Barlow" w:cs="Barlow" w:eastAsia="Barlow"/>
          <w:color w:val="0F2440"/>
          <w:sz w:val="19"/>
          <w:szCs w:val="19"/>
        </w:rPr>
        <w:t xml:space="preserve">ABEP – ASSOCIAÇÃO BRASILEIRA DE EMPRESAS DE PESQUISA. </w:t>
      </w:r>
      <w:r>
        <w:rPr>
          <w:rFonts w:ascii="Barlow SemiBold" w:hAnsi="Barlow SemiBold" w:cs="Barlow SemiBold" w:eastAsia="Barlow SemiBold"/>
          <w:color w:val="0F2440"/>
          <w:sz w:val="19"/>
          <w:szCs w:val="19"/>
        </w:rPr>
        <w:t xml:space="preserve">Critério de Classificação Econômica Brasil 2026</w:t>
      </w:r>
      <w:r>
        <w:rPr>
          <w:rFonts w:ascii="Barlow" w:hAnsi="Barlow" w:cs="Barlow" w:eastAsia="Barlow"/>
          <w:color w:val="0F2440"/>
          <w:sz w:val="19"/>
          <w:szCs w:val="19"/>
        </w:rPr>
        <w:t xml:space="preserve">. São Paulo: ABEP, 2026.</w:t>
      </w:r>
    </w:p>
    <w:p>
      <w:pPr>
        <w:spacing w:before="0" w:after="150" w:line="264" w:lineRule="auto"/>
        <w:jc w:val="left"/>
      </w:pPr>
      <w:r>
        <w:rPr>
          <w:rFonts w:ascii="Barlow" w:hAnsi="Barlow" w:cs="Barlow" w:eastAsia="Barlow"/>
          <w:color w:val="0F2440"/>
          <w:sz w:val="19"/>
          <w:szCs w:val="19"/>
        </w:rPr>
        <w:t xml:space="preserve">ALVES, M. C. G. P. et al. Household sampling in slums in surveys. </w:t>
      </w:r>
      <w:r>
        <w:rPr>
          <w:rFonts w:ascii="Barlow SemiBold" w:hAnsi="Barlow SemiBold" w:cs="Barlow SemiBold" w:eastAsia="Barlow SemiBold"/>
          <w:color w:val="0F2440"/>
          <w:sz w:val="19"/>
          <w:szCs w:val="19"/>
        </w:rPr>
        <w:t xml:space="preserve">Revista de Saúde Pública</w:t>
      </w:r>
      <w:r>
        <w:rPr>
          <w:rFonts w:ascii="Barlow" w:hAnsi="Barlow" w:cs="Barlow" w:eastAsia="Barlow"/>
          <w:color w:val="0F2440"/>
          <w:sz w:val="19"/>
          <w:szCs w:val="19"/>
        </w:rPr>
        <w:t xml:space="preserve">, v. 45, n. 6, p. 1099-1109, 2011.</w:t>
      </w:r>
    </w:p>
    <w:p>
      <w:pPr>
        <w:spacing w:before="0" w:after="150" w:line="264" w:lineRule="auto"/>
        <w:jc w:val="left"/>
      </w:pPr>
      <w:r>
        <w:rPr>
          <w:rFonts w:ascii="Barlow" w:hAnsi="Barlow" w:cs="Barlow" w:eastAsia="Barlow"/>
          <w:color w:val="0F2440"/>
          <w:sz w:val="19"/>
          <w:szCs w:val="19"/>
        </w:rPr>
        <w:t xml:space="preserve">BASTOS, J. L. et al. Explicit discrimination and health: development and psychometric properties of an assessment instrument. </w:t>
      </w:r>
      <w:r>
        <w:rPr>
          <w:rFonts w:ascii="Barlow SemiBold" w:hAnsi="Barlow SemiBold" w:cs="Barlow SemiBold" w:eastAsia="Barlow SemiBold"/>
          <w:color w:val="0F2440"/>
          <w:sz w:val="19"/>
          <w:szCs w:val="19"/>
        </w:rPr>
        <w:t xml:space="preserve">Revista de Saúde Pública</w:t>
      </w:r>
      <w:r>
        <w:rPr>
          <w:rFonts w:ascii="Barlow" w:hAnsi="Barlow" w:cs="Barlow" w:eastAsia="Barlow"/>
          <w:color w:val="0F2440"/>
          <w:sz w:val="19"/>
          <w:szCs w:val="19"/>
        </w:rPr>
        <w:t xml:space="preserve">, v. 46, n. 2, p. 269-278, 2012.</w:t>
      </w:r>
    </w:p>
    <w:p>
      <w:pPr>
        <w:spacing w:before="0" w:after="150" w:line="264" w:lineRule="auto"/>
        <w:jc w:val="left"/>
      </w:pPr>
      <w:r>
        <w:rPr>
          <w:rFonts w:ascii="Barlow" w:hAnsi="Barlow" w:cs="Barlow" w:eastAsia="Barlow"/>
          <w:color w:val="0F2440"/>
          <w:sz w:val="19"/>
          <w:szCs w:val="19"/>
        </w:rPr>
        <w:t xml:space="preserve">BEATON, D. E. et al. Guidelines for the process of cross-cultural adaptation of self-report measures. </w:t>
      </w:r>
      <w:r>
        <w:rPr>
          <w:rFonts w:ascii="Barlow SemiBold" w:hAnsi="Barlow SemiBold" w:cs="Barlow SemiBold" w:eastAsia="Barlow SemiBold"/>
          <w:color w:val="0F2440"/>
          <w:sz w:val="19"/>
          <w:szCs w:val="19"/>
        </w:rPr>
        <w:t xml:space="preserve">Spine</w:t>
      </w:r>
      <w:r>
        <w:rPr>
          <w:rFonts w:ascii="Barlow" w:hAnsi="Barlow" w:cs="Barlow" w:eastAsia="Barlow"/>
          <w:color w:val="0F2440"/>
          <w:sz w:val="19"/>
          <w:szCs w:val="19"/>
        </w:rPr>
        <w:t xml:space="preserve">, v. 25, n. 24, p. 3186-3191, 2000.</w:t>
      </w:r>
    </w:p>
    <w:p>
      <w:pPr>
        <w:spacing w:before="0" w:after="150" w:line="264" w:lineRule="auto"/>
        <w:jc w:val="left"/>
      </w:pPr>
      <w:r>
        <w:rPr>
          <w:rFonts w:ascii="Barlow" w:hAnsi="Barlow" w:cs="Barlow" w:eastAsia="Barlow"/>
          <w:color w:val="0F2440"/>
          <w:sz w:val="19"/>
          <w:szCs w:val="19"/>
        </w:rPr>
        <w:t xml:space="preserve">BILLIOUX, A. et al. </w:t>
      </w:r>
      <w:r>
        <w:rPr>
          <w:rFonts w:ascii="Barlow SemiBold" w:hAnsi="Barlow SemiBold" w:cs="Barlow SemiBold" w:eastAsia="Barlow SemiBold"/>
          <w:color w:val="0F2440"/>
          <w:sz w:val="19"/>
          <w:szCs w:val="19"/>
        </w:rPr>
        <w:t xml:space="preserve">Standardized screening for health-related social needs in clinical settings</w:t>
      </w:r>
      <w:r>
        <w:rPr>
          <w:rFonts w:ascii="Barlow" w:hAnsi="Barlow" w:cs="Barlow" w:eastAsia="Barlow"/>
          <w:color w:val="0F2440"/>
          <w:sz w:val="19"/>
          <w:szCs w:val="19"/>
        </w:rPr>
        <w:t xml:space="preserve">: the Accountable Health Communities screening tool. Washington, DC: National Academy of Medicine, 2017. (NAM Perspectives. Discussion Paper).</w:t>
      </w:r>
    </w:p>
    <w:p>
      <w:pPr>
        <w:spacing w:before="0" w:after="150" w:line="264" w:lineRule="auto"/>
        <w:jc w:val="left"/>
      </w:pPr>
      <w:r>
        <w:rPr>
          <w:rFonts w:ascii="Barlow" w:hAnsi="Barlow" w:cs="Barlow" w:eastAsia="Barlow"/>
          <w:color w:val="0F2440"/>
          <w:sz w:val="19"/>
          <w:szCs w:val="19"/>
        </w:rPr>
        <w:t xml:space="preserve">BRASIL. [Constituição (1988)]. </w:t>
      </w:r>
      <w:r>
        <w:rPr>
          <w:rFonts w:ascii="Barlow SemiBold" w:hAnsi="Barlow SemiBold" w:cs="Barlow SemiBold" w:eastAsia="Barlow SemiBold"/>
          <w:color w:val="0F2440"/>
          <w:sz w:val="19"/>
          <w:szCs w:val="19"/>
        </w:rPr>
        <w:t xml:space="preserve">Constituição da República Federativa do Brasil de 1988</w:t>
      </w:r>
      <w:r>
        <w:rPr>
          <w:rFonts w:ascii="Barlow" w:hAnsi="Barlow" w:cs="Barlow" w:eastAsia="Barlow"/>
          <w:color w:val="0F2440"/>
          <w:sz w:val="19"/>
          <w:szCs w:val="19"/>
        </w:rPr>
        <w:t xml:space="preserve">. Brasília, DF: Presidência da República, 1988.</w:t>
      </w:r>
    </w:p>
    <w:p>
      <w:pPr>
        <w:spacing w:before="0" w:after="150" w:line="264" w:lineRule="auto"/>
        <w:jc w:val="left"/>
      </w:pPr>
      <w:r>
        <w:rPr>
          <w:rFonts w:ascii="Barlow" w:hAnsi="Barlow" w:cs="Barlow" w:eastAsia="Barlow"/>
          <w:color w:val="0F2440"/>
          <w:sz w:val="19"/>
          <w:szCs w:val="19"/>
        </w:rPr>
        <w:t xml:space="preserve">BRASIL. Lei nº 8.080, de 19 de setembro de 1990. Dispõe sobre as condições para a promoção, proteção e recuperação da saúde, a organização e o funcionamento dos serviços correspondentes e dá outras providências. </w:t>
      </w:r>
      <w:r>
        <w:rPr>
          <w:rFonts w:ascii="Barlow SemiBold" w:hAnsi="Barlow SemiBold" w:cs="Barlow SemiBold" w:eastAsia="Barlow SemiBold"/>
          <w:color w:val="0F2440"/>
          <w:sz w:val="19"/>
          <w:szCs w:val="19"/>
        </w:rPr>
        <w:t xml:space="preserve">Diário Oficial da União</w:t>
      </w:r>
      <w:r>
        <w:rPr>
          <w:rFonts w:ascii="Barlow" w:hAnsi="Barlow" w:cs="Barlow" w:eastAsia="Barlow"/>
          <w:color w:val="0F2440"/>
          <w:sz w:val="19"/>
          <w:szCs w:val="19"/>
        </w:rPr>
        <w:t xml:space="preserve">: seção 1, Brasília, DF, p. 18055, 20 set. 1990.</w:t>
      </w:r>
    </w:p>
    <w:p>
      <w:pPr>
        <w:spacing w:before="0" w:after="150" w:line="264" w:lineRule="auto"/>
        <w:jc w:val="left"/>
      </w:pPr>
      <w:r>
        <w:rPr>
          <w:rFonts w:ascii="Barlow" w:hAnsi="Barlow" w:cs="Barlow" w:eastAsia="Barlow"/>
          <w:color w:val="0F2440"/>
          <w:sz w:val="19"/>
          <w:szCs w:val="19"/>
        </w:rPr>
        <w:t xml:space="preserve">BRASIL. Lei nº 13.709, de 14 de agosto de 2018. Lei Geral de Proteção de Dados Pessoais (LGPD). </w:t>
      </w:r>
      <w:r>
        <w:rPr>
          <w:rFonts w:ascii="Barlow SemiBold" w:hAnsi="Barlow SemiBold" w:cs="Barlow SemiBold" w:eastAsia="Barlow SemiBold"/>
          <w:color w:val="0F2440"/>
          <w:sz w:val="19"/>
          <w:szCs w:val="19"/>
        </w:rPr>
        <w:t xml:space="preserve">Diário Oficial da União</w:t>
      </w:r>
      <w:r>
        <w:rPr>
          <w:rFonts w:ascii="Barlow" w:hAnsi="Barlow" w:cs="Barlow" w:eastAsia="Barlow"/>
          <w:color w:val="0F2440"/>
          <w:sz w:val="19"/>
          <w:szCs w:val="19"/>
        </w:rPr>
        <w:t xml:space="preserve">: seção 1, Brasília, DF, 15 ago. 2018.</w:t>
      </w:r>
    </w:p>
    <w:p>
      <w:pPr>
        <w:spacing w:before="0" w:after="150" w:line="264" w:lineRule="auto"/>
        <w:jc w:val="left"/>
      </w:pPr>
      <w:r>
        <w:rPr>
          <w:rFonts w:ascii="Barlow" w:hAnsi="Barlow" w:cs="Barlow" w:eastAsia="Barlow"/>
          <w:color w:val="0F2440"/>
          <w:sz w:val="19"/>
          <w:szCs w:val="19"/>
        </w:rPr>
        <w:t xml:space="preserve">BRASIL. Lei nº 14.874, de 28 de maio de 2024. Dispõe sobre a pesquisa com seres humanos e institui o Sistema Nacional de Ética em Pesquisa com Seres Humanos. </w:t>
      </w:r>
      <w:r>
        <w:rPr>
          <w:rFonts w:ascii="Barlow SemiBold" w:hAnsi="Barlow SemiBold" w:cs="Barlow SemiBold" w:eastAsia="Barlow SemiBold"/>
          <w:color w:val="0F2440"/>
          <w:sz w:val="19"/>
          <w:szCs w:val="19"/>
        </w:rPr>
        <w:t xml:space="preserve">Diário Oficial da União</w:t>
      </w:r>
      <w:r>
        <w:rPr>
          <w:rFonts w:ascii="Barlow" w:hAnsi="Barlow" w:cs="Barlow" w:eastAsia="Barlow"/>
          <w:color w:val="0F2440"/>
          <w:sz w:val="19"/>
          <w:szCs w:val="19"/>
        </w:rPr>
        <w:t xml:space="preserve">: seção 1, Brasília, DF, 29 maio 2024.</w:t>
      </w:r>
    </w:p>
    <w:p>
      <w:pPr>
        <w:spacing w:before="0" w:after="150" w:line="264" w:lineRule="auto"/>
        <w:jc w:val="left"/>
      </w:pPr>
      <w:r>
        <w:rPr>
          <w:rFonts w:ascii="Barlow" w:hAnsi="Barlow" w:cs="Barlow" w:eastAsia="Barlow"/>
          <w:color w:val="0F2440"/>
          <w:sz w:val="19"/>
          <w:szCs w:val="19"/>
        </w:rPr>
        <w:t xml:space="preserve">BRASIL. Decreto nº 12.651, de 7 de outubro de 2025. Regulamenta a Lei nº 14.874, de 28 de maio de 2024. </w:t>
      </w:r>
      <w:r>
        <w:rPr>
          <w:rFonts w:ascii="Barlow SemiBold" w:hAnsi="Barlow SemiBold" w:cs="Barlow SemiBold" w:eastAsia="Barlow SemiBold"/>
          <w:color w:val="0F2440"/>
          <w:sz w:val="19"/>
          <w:szCs w:val="19"/>
        </w:rPr>
        <w:t xml:space="preserve">Diário Oficial da União</w:t>
      </w:r>
      <w:r>
        <w:rPr>
          <w:rFonts w:ascii="Barlow" w:hAnsi="Barlow" w:cs="Barlow" w:eastAsia="Barlow"/>
          <w:color w:val="0F2440"/>
          <w:sz w:val="19"/>
          <w:szCs w:val="19"/>
        </w:rPr>
        <w:t xml:space="preserve">: seção 1, Brasília, DF, p. 3, 8 out. 2025.</w:t>
      </w:r>
    </w:p>
    <w:p>
      <w:pPr>
        <w:spacing w:before="0" w:after="150" w:line="264" w:lineRule="auto"/>
        <w:jc w:val="left"/>
      </w:pPr>
      <w:r>
        <w:rPr>
          <w:rFonts w:ascii="Barlow" w:hAnsi="Barlow" w:cs="Barlow" w:eastAsia="Barlow"/>
          <w:color w:val="0F2440"/>
          <w:sz w:val="19"/>
          <w:szCs w:val="19"/>
        </w:rPr>
        <w:t xml:space="preserve">BREILH, J. </w:t>
      </w:r>
      <w:r>
        <w:rPr>
          <w:rFonts w:ascii="Barlow SemiBold" w:hAnsi="Barlow SemiBold" w:cs="Barlow SemiBold" w:eastAsia="Barlow SemiBold"/>
          <w:color w:val="0F2440"/>
          <w:sz w:val="19"/>
          <w:szCs w:val="19"/>
        </w:rPr>
        <w:t xml:space="preserve">Epidemiologia crítica</w:t>
      </w:r>
      <w:r>
        <w:rPr>
          <w:rFonts w:ascii="Barlow" w:hAnsi="Barlow" w:cs="Barlow" w:eastAsia="Barlow"/>
          <w:color w:val="0F2440"/>
          <w:sz w:val="19"/>
          <w:szCs w:val="19"/>
        </w:rPr>
        <w:t xml:space="preserve">: ciência emancipadora e interculturalidade. Rio de Janeiro: Editora Fiocruz, 2006.</w:t>
      </w:r>
    </w:p>
    <w:p>
      <w:pPr>
        <w:spacing w:before="0" w:after="150" w:line="264" w:lineRule="auto"/>
        <w:jc w:val="left"/>
      </w:pPr>
      <w:r>
        <w:rPr>
          <w:rFonts w:ascii="Barlow" w:hAnsi="Barlow" w:cs="Barlow" w:eastAsia="Barlow"/>
          <w:color w:val="0F2440"/>
          <w:sz w:val="19"/>
          <w:szCs w:val="19"/>
        </w:rPr>
        <w:t xml:space="preserve">BUSS, P. M.; PELLEGRINI FILHO, A. A saúde e seus determinantes sociais. </w:t>
      </w:r>
      <w:r>
        <w:rPr>
          <w:rFonts w:ascii="Barlow SemiBold" w:hAnsi="Barlow SemiBold" w:cs="Barlow SemiBold" w:eastAsia="Barlow SemiBold"/>
          <w:color w:val="0F2440"/>
          <w:sz w:val="19"/>
          <w:szCs w:val="19"/>
        </w:rPr>
        <w:t xml:space="preserve">Physis</w:t>
      </w:r>
      <w:r>
        <w:rPr>
          <w:rFonts w:ascii="Barlow" w:hAnsi="Barlow" w:cs="Barlow" w:eastAsia="Barlow"/>
          <w:color w:val="0F2440"/>
          <w:sz w:val="19"/>
          <w:szCs w:val="19"/>
        </w:rPr>
        <w:t xml:space="preserve">: Revista de Saúde Coletiva, Rio de Janeiro, v. 17, n. 1, p. 77-93, 2007.</w:t>
      </w:r>
    </w:p>
    <w:p>
      <w:pPr>
        <w:spacing w:before="0" w:after="150" w:line="264" w:lineRule="auto"/>
        <w:jc w:val="left"/>
      </w:pPr>
      <w:r>
        <w:rPr>
          <w:rFonts w:ascii="Barlow" w:hAnsi="Barlow" w:cs="Barlow" w:eastAsia="Barlow"/>
          <w:color w:val="0F2440"/>
          <w:sz w:val="19"/>
          <w:szCs w:val="19"/>
        </w:rPr>
        <w:t xml:space="preserve">CALLON, M. Some elements of a sociology of translation: domestication of the scallops and the fishermen of St Brieuc Bay. In: LAW, J. (ed.). </w:t>
      </w:r>
      <w:r>
        <w:rPr>
          <w:rFonts w:ascii="Barlow SemiBold" w:hAnsi="Barlow SemiBold" w:cs="Barlow SemiBold" w:eastAsia="Barlow SemiBold"/>
          <w:color w:val="0F2440"/>
          <w:sz w:val="19"/>
          <w:szCs w:val="19"/>
        </w:rPr>
        <w:t xml:space="preserve">Power, action and belief</w:t>
      </w:r>
      <w:r>
        <w:rPr>
          <w:rFonts w:ascii="Barlow" w:hAnsi="Barlow" w:cs="Barlow" w:eastAsia="Barlow"/>
          <w:color w:val="0F2440"/>
          <w:sz w:val="19"/>
          <w:szCs w:val="19"/>
        </w:rPr>
        <w:t xml:space="preserve">: a new sociology of knowledge? London: Routledge, 1986. p. 196-223.</w:t>
      </w:r>
    </w:p>
    <w:p>
      <w:pPr>
        <w:spacing w:before="0" w:after="150" w:line="264" w:lineRule="auto"/>
        <w:jc w:val="left"/>
      </w:pPr>
      <w:r>
        <w:rPr>
          <w:rFonts w:ascii="Barlow" w:hAnsi="Barlow" w:cs="Barlow" w:eastAsia="Barlow"/>
          <w:color w:val="0F2440"/>
          <w:sz w:val="19"/>
          <w:szCs w:val="19"/>
        </w:rPr>
        <w:t xml:space="preserve">CONSELHO NACIONAL DE SAÚDE (Brasil). Resolução nº 466, de 12 de dezembro de 2012. Aprova diretrizes e normas regulamentadoras de pesquisas envolvendo seres humanos. </w:t>
      </w:r>
      <w:r>
        <w:rPr>
          <w:rFonts w:ascii="Barlow SemiBold" w:hAnsi="Barlow SemiBold" w:cs="Barlow SemiBold" w:eastAsia="Barlow SemiBold"/>
          <w:color w:val="0F2440"/>
          <w:sz w:val="19"/>
          <w:szCs w:val="19"/>
        </w:rPr>
        <w:t xml:space="preserve">Diário Oficial da União</w:t>
      </w:r>
      <w:r>
        <w:rPr>
          <w:rFonts w:ascii="Barlow" w:hAnsi="Barlow" w:cs="Barlow" w:eastAsia="Barlow"/>
          <w:color w:val="0F2440"/>
          <w:sz w:val="19"/>
          <w:szCs w:val="19"/>
        </w:rPr>
        <w:t xml:space="preserve">: seção 1, Brasília, DF, 13 jun. 2013.</w:t>
      </w:r>
    </w:p>
    <w:p>
      <w:pPr>
        <w:spacing w:before="0" w:after="150" w:line="264" w:lineRule="auto"/>
        <w:jc w:val="left"/>
      </w:pPr>
      <w:r>
        <w:rPr>
          <w:rFonts w:ascii="Barlow" w:hAnsi="Barlow" w:cs="Barlow" w:eastAsia="Barlow"/>
          <w:color w:val="0F2440"/>
          <w:sz w:val="19"/>
          <w:szCs w:val="19"/>
        </w:rPr>
        <w:t xml:space="preserve">CONSELHO NACIONAL DE SAÚDE (Brasil). Resolução nº 510, de 7 de abril de 2016. Dispõe sobre as normas aplicáveis a pesquisas em Ciências Humanas e Sociais. </w:t>
      </w:r>
      <w:r>
        <w:rPr>
          <w:rFonts w:ascii="Barlow SemiBold" w:hAnsi="Barlow SemiBold" w:cs="Barlow SemiBold" w:eastAsia="Barlow SemiBold"/>
          <w:color w:val="0F2440"/>
          <w:sz w:val="19"/>
          <w:szCs w:val="19"/>
        </w:rPr>
        <w:t xml:space="preserve">Diário Oficial da União</w:t>
      </w:r>
      <w:r>
        <w:rPr>
          <w:rFonts w:ascii="Barlow" w:hAnsi="Barlow" w:cs="Barlow" w:eastAsia="Barlow"/>
          <w:color w:val="0F2440"/>
          <w:sz w:val="19"/>
          <w:szCs w:val="19"/>
        </w:rPr>
        <w:t xml:space="preserve">: seção 1, Brasília, DF, 24 maio 2016.</w:t>
      </w:r>
    </w:p>
    <w:p>
      <w:pPr>
        <w:spacing w:before="0" w:after="150" w:line="264" w:lineRule="auto"/>
        <w:jc w:val="left"/>
      </w:pPr>
      <w:r>
        <w:rPr>
          <w:rFonts w:ascii="Barlow" w:hAnsi="Barlow" w:cs="Barlow" w:eastAsia="Barlow"/>
          <w:color w:val="0F2440"/>
          <w:sz w:val="19"/>
          <w:szCs w:val="19"/>
        </w:rPr>
        <w:t xml:space="preserve">CRESWELL, J. W.; PLANO CLARK, V. L. </w:t>
      </w:r>
      <w:r>
        <w:rPr>
          <w:rFonts w:ascii="Barlow SemiBold" w:hAnsi="Barlow SemiBold" w:cs="Barlow SemiBold" w:eastAsia="Barlow SemiBold"/>
          <w:color w:val="0F2440"/>
          <w:sz w:val="19"/>
          <w:szCs w:val="19"/>
        </w:rPr>
        <w:t xml:space="preserve">Designing and conducting mixed methods research</w:t>
      </w:r>
      <w:r>
        <w:rPr>
          <w:rFonts w:ascii="Barlow" w:hAnsi="Barlow" w:cs="Barlow" w:eastAsia="Barlow"/>
          <w:color w:val="0F2440"/>
          <w:sz w:val="19"/>
          <w:szCs w:val="19"/>
        </w:rPr>
        <w:t xml:space="preserve">. 3. ed. Thousand Oaks: Sage, 2018.</w:t>
      </w:r>
    </w:p>
    <w:p>
      <w:pPr>
        <w:spacing w:before="0" w:after="150" w:line="264" w:lineRule="auto"/>
        <w:jc w:val="left"/>
      </w:pPr>
      <w:r>
        <w:rPr>
          <w:rFonts w:ascii="Barlow" w:hAnsi="Barlow" w:cs="Barlow" w:eastAsia="Barlow"/>
          <w:color w:val="0F2440"/>
          <w:sz w:val="19"/>
          <w:szCs w:val="19"/>
        </w:rPr>
        <w:t xml:space="preserve">FALS BORDA, O. </w:t>
      </w:r>
      <w:r>
        <w:rPr>
          <w:rFonts w:ascii="Barlow SemiBold" w:hAnsi="Barlow SemiBold" w:cs="Barlow SemiBold" w:eastAsia="Barlow SemiBold"/>
          <w:color w:val="0F2440"/>
          <w:sz w:val="19"/>
          <w:szCs w:val="19"/>
        </w:rPr>
        <w:t xml:space="preserve">Conocimiento y poder popular</w:t>
      </w:r>
      <w:r>
        <w:rPr>
          <w:rFonts w:ascii="Barlow" w:hAnsi="Barlow" w:cs="Barlow" w:eastAsia="Barlow"/>
          <w:color w:val="0F2440"/>
          <w:sz w:val="19"/>
          <w:szCs w:val="19"/>
        </w:rPr>
        <w:t xml:space="preserve">: lecciones con campesinos de Nicaragua, México y Colombia. Bogotá: Punta de Lanza; Siglo XXI, 1985.</w:t>
      </w:r>
    </w:p>
    <w:p>
      <w:pPr>
        <w:spacing w:before="0" w:after="150" w:line="264" w:lineRule="auto"/>
        <w:jc w:val="left"/>
      </w:pPr>
      <w:r>
        <w:rPr>
          <w:rFonts w:ascii="Barlow" w:hAnsi="Barlow" w:cs="Barlow" w:eastAsia="Barlow"/>
          <w:color w:val="0F2440"/>
          <w:sz w:val="19"/>
          <w:szCs w:val="19"/>
        </w:rPr>
        <w:t xml:space="preserve">FETTERS, M. D.; CURRY, L. A.; CRESWELL, J. W. Achieving integration in mixed methods designs: principles and practices. </w:t>
      </w:r>
      <w:r>
        <w:rPr>
          <w:rFonts w:ascii="Barlow SemiBold" w:hAnsi="Barlow SemiBold" w:cs="Barlow SemiBold" w:eastAsia="Barlow SemiBold"/>
          <w:color w:val="0F2440"/>
          <w:sz w:val="19"/>
          <w:szCs w:val="19"/>
        </w:rPr>
        <w:t xml:space="preserve">Health Services Research</w:t>
      </w:r>
      <w:r>
        <w:rPr>
          <w:rFonts w:ascii="Barlow" w:hAnsi="Barlow" w:cs="Barlow" w:eastAsia="Barlow"/>
          <w:color w:val="0F2440"/>
          <w:sz w:val="19"/>
          <w:szCs w:val="19"/>
        </w:rPr>
        <w:t xml:space="preserve">, v. 48, n. 6, pt. 2, p. 2134-2156, 2013.</w:t>
      </w:r>
    </w:p>
    <w:p>
      <w:pPr>
        <w:spacing w:before="0" w:after="150" w:line="264" w:lineRule="auto"/>
        <w:jc w:val="left"/>
      </w:pPr>
      <w:r>
        <w:rPr>
          <w:rFonts w:ascii="Barlow" w:hAnsi="Barlow" w:cs="Barlow" w:eastAsia="Barlow"/>
          <w:color w:val="0F2440"/>
          <w:sz w:val="19"/>
          <w:szCs w:val="19"/>
        </w:rPr>
        <w:t xml:space="preserve">FIOCRUZ BRASÍLIA. </w:t>
      </w:r>
      <w:r>
        <w:rPr>
          <w:rFonts w:ascii="Barlow SemiBold" w:hAnsi="Barlow SemiBold" w:cs="Barlow SemiBold" w:eastAsia="Barlow SemiBold"/>
          <w:color w:val="0F2440"/>
          <w:sz w:val="19"/>
          <w:szCs w:val="19"/>
        </w:rPr>
        <w:t xml:space="preserve">Manual técnico-operacional de diagnóstico situacional para territórios</w:t>
      </w:r>
      <w:r>
        <w:rPr>
          <w:rFonts w:ascii="Barlow" w:hAnsi="Barlow" w:cs="Barlow" w:eastAsia="Barlow"/>
          <w:color w:val="0F2440"/>
          <w:sz w:val="19"/>
          <w:szCs w:val="19"/>
        </w:rPr>
        <w:t xml:space="preserve">: Diálogos Prospectivos Territoriais (DPT). Brasília: Fiocruz Brasília/PICAPS, 2026a.</w:t>
      </w:r>
    </w:p>
    <w:p>
      <w:pPr>
        <w:spacing w:before="0" w:after="150" w:line="264" w:lineRule="auto"/>
        <w:jc w:val="left"/>
      </w:pPr>
      <w:r>
        <w:rPr>
          <w:rFonts w:ascii="Barlow" w:hAnsi="Barlow" w:cs="Barlow" w:eastAsia="Barlow"/>
          <w:color w:val="0F2440"/>
          <w:sz w:val="19"/>
          <w:szCs w:val="19"/>
        </w:rPr>
        <w:t xml:space="preserve">FIOCRUZ BRASÍLIA. </w:t>
      </w:r>
      <w:r>
        <w:rPr>
          <w:rFonts w:ascii="Barlow SemiBold" w:hAnsi="Barlow SemiBold" w:cs="Barlow SemiBold" w:eastAsia="Barlow SemiBold"/>
          <w:color w:val="0F2440"/>
          <w:sz w:val="19"/>
          <w:szCs w:val="19"/>
        </w:rPr>
        <w:t xml:space="preserve">Protocolo de Inteligência Territorial</w:t>
      </w:r>
      <w:r>
        <w:rPr>
          <w:rFonts w:ascii="Barlow" w:hAnsi="Barlow" w:cs="Barlow" w:eastAsia="Barlow"/>
          <w:color w:val="0F2440"/>
          <w:sz w:val="19"/>
          <w:szCs w:val="19"/>
        </w:rPr>
        <w:t xml:space="preserve">. Brasília: Fiocruz Brasília/CoLaboratório CTIS/PICAPS, 2026b.</w:t>
      </w:r>
    </w:p>
    <w:p>
      <w:pPr>
        <w:spacing w:before="0" w:after="150" w:line="264" w:lineRule="auto"/>
        <w:jc w:val="left"/>
      </w:pPr>
      <w:r>
        <w:rPr>
          <w:rFonts w:ascii="Barlow" w:hAnsi="Barlow" w:cs="Barlow" w:eastAsia="Barlow"/>
          <w:color w:val="0F2440"/>
          <w:sz w:val="19"/>
          <w:szCs w:val="19"/>
        </w:rPr>
        <w:t xml:space="preserve">FIOCRUZ BRASÍLIA. </w:t>
      </w:r>
      <w:r>
        <w:rPr>
          <w:rFonts w:ascii="Barlow SemiBold" w:hAnsi="Barlow SemiBold" w:cs="Barlow SemiBold" w:eastAsia="Barlow SemiBold"/>
          <w:color w:val="0F2440"/>
          <w:sz w:val="19"/>
          <w:szCs w:val="19"/>
        </w:rPr>
        <w:t xml:space="preserve">Diagnóstico situacional do Distrito Federal</w:t>
      </w:r>
      <w:r>
        <w:rPr>
          <w:rFonts w:ascii="Barlow" w:hAnsi="Barlow" w:cs="Barlow" w:eastAsia="Barlow"/>
          <w:color w:val="0F2440"/>
          <w:sz w:val="19"/>
          <w:szCs w:val="19"/>
        </w:rPr>
        <w:t xml:space="preserve">. Brasília: Fiocruz Brasília/CoLaboratório CTIS, 2026c. (Série Diagnósticos Territoriais – PICAPS).</w:t>
      </w:r>
    </w:p>
    <w:p>
      <w:pPr>
        <w:spacing w:before="0" w:after="150" w:line="264" w:lineRule="auto"/>
        <w:jc w:val="left"/>
      </w:pPr>
      <w:r>
        <w:rPr>
          <w:rFonts w:ascii="Barlow" w:hAnsi="Barlow" w:cs="Barlow" w:eastAsia="Barlow"/>
          <w:color w:val="0F2440"/>
          <w:sz w:val="19"/>
          <w:szCs w:val="19"/>
        </w:rPr>
        <w:t xml:space="preserve">FREIRE, P. </w:t>
      </w:r>
      <w:r>
        <w:rPr>
          <w:rFonts w:ascii="Barlow SemiBold" w:hAnsi="Barlow SemiBold" w:cs="Barlow SemiBold" w:eastAsia="Barlow SemiBold"/>
          <w:color w:val="0F2440"/>
          <w:sz w:val="19"/>
          <w:szCs w:val="19"/>
        </w:rPr>
        <w:t xml:space="preserve">Pedagogia do oprimido</w:t>
      </w:r>
      <w:r>
        <w:rPr>
          <w:rFonts w:ascii="Barlow" w:hAnsi="Barlow" w:cs="Barlow" w:eastAsia="Barlow"/>
          <w:color w:val="0F2440"/>
          <w:sz w:val="19"/>
          <w:szCs w:val="19"/>
        </w:rPr>
        <w:t xml:space="preserve">. 17. ed. Rio de Janeiro: Paz e Terra, 1987.</w:t>
      </w:r>
    </w:p>
    <w:p>
      <w:pPr>
        <w:spacing w:before="0" w:after="150" w:line="264" w:lineRule="auto"/>
        <w:jc w:val="left"/>
      </w:pPr>
      <w:r>
        <w:rPr>
          <w:rFonts w:ascii="Barlow" w:hAnsi="Barlow" w:cs="Barlow" w:eastAsia="Barlow"/>
          <w:color w:val="0F2440"/>
          <w:sz w:val="19"/>
          <w:szCs w:val="19"/>
        </w:rPr>
        <w:t xml:space="preserve">FUNTOWICZ, S. O.; RAVETZ, J. R. Science for the post-normal age. </w:t>
      </w:r>
      <w:r>
        <w:rPr>
          <w:rFonts w:ascii="Barlow SemiBold" w:hAnsi="Barlow SemiBold" w:cs="Barlow SemiBold" w:eastAsia="Barlow SemiBold"/>
          <w:color w:val="0F2440"/>
          <w:sz w:val="19"/>
          <w:szCs w:val="19"/>
        </w:rPr>
        <w:t xml:space="preserve">Futures</w:t>
      </w:r>
      <w:r>
        <w:rPr>
          <w:rFonts w:ascii="Barlow" w:hAnsi="Barlow" w:cs="Barlow" w:eastAsia="Barlow"/>
          <w:color w:val="0F2440"/>
          <w:sz w:val="19"/>
          <w:szCs w:val="19"/>
        </w:rPr>
        <w:t xml:space="preserve">, v. 25, n. 7, p. 739-755, 1993.</w:t>
      </w:r>
    </w:p>
    <w:p>
      <w:pPr>
        <w:spacing w:before="0" w:after="150" w:line="264" w:lineRule="auto"/>
        <w:jc w:val="left"/>
      </w:pPr>
      <w:r>
        <w:rPr>
          <w:rFonts w:ascii="Barlow" w:hAnsi="Barlow" w:cs="Barlow" w:eastAsia="Barlow"/>
          <w:color w:val="0F2440"/>
          <w:sz w:val="19"/>
          <w:szCs w:val="19"/>
        </w:rPr>
        <w:t xml:space="preserve">GALE, N. K. et al. Using the framework method for the analysis of qualitative data in multi-disciplinary health research. </w:t>
      </w:r>
      <w:r>
        <w:rPr>
          <w:rFonts w:ascii="Barlow SemiBold" w:hAnsi="Barlow SemiBold" w:cs="Barlow SemiBold" w:eastAsia="Barlow SemiBold"/>
          <w:color w:val="0F2440"/>
          <w:sz w:val="19"/>
          <w:szCs w:val="19"/>
        </w:rPr>
        <w:t xml:space="preserve">BMC Medical Research Methodology</w:t>
      </w:r>
      <w:r>
        <w:rPr>
          <w:rFonts w:ascii="Barlow" w:hAnsi="Barlow" w:cs="Barlow" w:eastAsia="Barlow"/>
          <w:color w:val="0F2440"/>
          <w:sz w:val="19"/>
          <w:szCs w:val="19"/>
        </w:rPr>
        <w:t xml:space="preserve">, v. 13, art. 117, 2013.</w:t>
      </w:r>
    </w:p>
    <w:p>
      <w:pPr>
        <w:spacing w:before="0" w:after="150" w:line="264" w:lineRule="auto"/>
        <w:jc w:val="left"/>
      </w:pPr>
      <w:r>
        <w:rPr>
          <w:rFonts w:ascii="Barlow" w:hAnsi="Barlow" w:cs="Barlow" w:eastAsia="Barlow"/>
          <w:color w:val="0F2440"/>
          <w:sz w:val="19"/>
          <w:szCs w:val="19"/>
        </w:rPr>
        <w:t xml:space="preserve">GRANOVETTER, M. The strength of weak ties. </w:t>
      </w:r>
      <w:r>
        <w:rPr>
          <w:rFonts w:ascii="Barlow SemiBold" w:hAnsi="Barlow SemiBold" w:cs="Barlow SemiBold" w:eastAsia="Barlow SemiBold"/>
          <w:color w:val="0F2440"/>
          <w:sz w:val="19"/>
          <w:szCs w:val="19"/>
        </w:rPr>
        <w:t xml:space="preserve">American Journal of Sociology</w:t>
      </w:r>
      <w:r>
        <w:rPr>
          <w:rFonts w:ascii="Barlow" w:hAnsi="Barlow" w:cs="Barlow" w:eastAsia="Barlow"/>
          <w:color w:val="0F2440"/>
          <w:sz w:val="19"/>
          <w:szCs w:val="19"/>
        </w:rPr>
        <w:t xml:space="preserve">, v. 78, n. 6, p. 1360-1380, 1973.</w:t>
      </w:r>
    </w:p>
    <w:p>
      <w:pPr>
        <w:spacing w:before="0" w:after="150" w:line="264" w:lineRule="auto"/>
        <w:jc w:val="left"/>
      </w:pPr>
      <w:r>
        <w:rPr>
          <w:rFonts w:ascii="Barlow" w:hAnsi="Barlow" w:cs="Barlow" w:eastAsia="Barlow"/>
          <w:color w:val="0F2440"/>
          <w:sz w:val="19"/>
          <w:szCs w:val="19"/>
        </w:rPr>
        <w:t xml:space="preserve">GROSSOEHME, D.; LIPSTEIN, E. Analyzing longitudinal qualitative data: the application of trajectory and recurrent cross-sectional approaches. </w:t>
      </w:r>
      <w:r>
        <w:rPr>
          <w:rFonts w:ascii="Barlow SemiBold" w:hAnsi="Barlow SemiBold" w:cs="Barlow SemiBold" w:eastAsia="Barlow SemiBold"/>
          <w:color w:val="0F2440"/>
          <w:sz w:val="19"/>
          <w:szCs w:val="19"/>
        </w:rPr>
        <w:t xml:space="preserve">BMC Research Notes</w:t>
      </w:r>
      <w:r>
        <w:rPr>
          <w:rFonts w:ascii="Barlow" w:hAnsi="Barlow" w:cs="Barlow" w:eastAsia="Barlow"/>
          <w:color w:val="0F2440"/>
          <w:sz w:val="19"/>
          <w:szCs w:val="19"/>
        </w:rPr>
        <w:t xml:space="preserve">, v. 9, art. 136, 2016.</w:t>
      </w:r>
    </w:p>
    <w:p>
      <w:pPr>
        <w:spacing w:before="0" w:after="150" w:line="264" w:lineRule="auto"/>
        <w:jc w:val="left"/>
      </w:pPr>
      <w:r>
        <w:rPr>
          <w:rFonts w:ascii="Barlow" w:hAnsi="Barlow" w:cs="Barlow" w:eastAsia="Barlow"/>
          <w:color w:val="0F2440"/>
          <w:sz w:val="19"/>
          <w:szCs w:val="19"/>
        </w:rPr>
        <w:t xml:space="preserve">GUETTERMAN, T. C.; FETTERS, M. D.; CRESWELL, J. W. Integrating quantitative and qualitative results in health science mixed methods research through joint displays. </w:t>
      </w:r>
      <w:r>
        <w:rPr>
          <w:rFonts w:ascii="Barlow SemiBold" w:hAnsi="Barlow SemiBold" w:cs="Barlow SemiBold" w:eastAsia="Barlow SemiBold"/>
          <w:color w:val="0F2440"/>
          <w:sz w:val="19"/>
          <w:szCs w:val="19"/>
        </w:rPr>
        <w:t xml:space="preserve">Annals of Family Medicine</w:t>
      </w:r>
      <w:r>
        <w:rPr>
          <w:rFonts w:ascii="Barlow" w:hAnsi="Barlow" w:cs="Barlow" w:eastAsia="Barlow"/>
          <w:color w:val="0F2440"/>
          <w:sz w:val="19"/>
          <w:szCs w:val="19"/>
        </w:rPr>
        <w:t xml:space="preserve">, v. 13, n. 6, p. 554-561, 2015.</w:t>
      </w:r>
    </w:p>
    <w:p>
      <w:pPr>
        <w:spacing w:before="0" w:after="150" w:line="264" w:lineRule="auto"/>
        <w:jc w:val="left"/>
      </w:pPr>
      <w:r>
        <w:rPr>
          <w:rFonts w:ascii="Barlow" w:hAnsi="Barlow" w:cs="Barlow" w:eastAsia="Barlow"/>
          <w:color w:val="0F2440"/>
          <w:sz w:val="19"/>
          <w:szCs w:val="19"/>
        </w:rPr>
        <w:t xml:space="preserve">HENRIKSON, N. B. et al. Psychometric and pragmatic properties of social risk screening tools: a systematic review. </w:t>
      </w:r>
      <w:r>
        <w:rPr>
          <w:rFonts w:ascii="Barlow SemiBold" w:hAnsi="Barlow SemiBold" w:cs="Barlow SemiBold" w:eastAsia="Barlow SemiBold"/>
          <w:color w:val="0F2440"/>
          <w:sz w:val="19"/>
          <w:szCs w:val="19"/>
        </w:rPr>
        <w:t xml:space="preserve">American Journal of Preventive Medicine</w:t>
      </w:r>
      <w:r>
        <w:rPr>
          <w:rFonts w:ascii="Barlow" w:hAnsi="Barlow" w:cs="Barlow" w:eastAsia="Barlow"/>
          <w:color w:val="0F2440"/>
          <w:sz w:val="19"/>
          <w:szCs w:val="19"/>
        </w:rPr>
        <w:t xml:space="preserve">, v. 57, n. 6, supl. 1, p. S13-S24, 2019.</w:t>
      </w:r>
    </w:p>
    <w:p>
      <w:pPr>
        <w:spacing w:before="0" w:after="150" w:line="264" w:lineRule="auto"/>
        <w:jc w:val="left"/>
      </w:pPr>
      <w:r>
        <w:rPr>
          <w:rFonts w:ascii="Barlow" w:hAnsi="Barlow" w:cs="Barlow" w:eastAsia="Barlow"/>
          <w:color w:val="0F2440"/>
          <w:sz w:val="19"/>
          <w:szCs w:val="19"/>
        </w:rPr>
        <w:t xml:space="preserve">HOFFMANN, T. C. et al. Better reporting of interventions: template for intervention description and replication (TIDieR) checklist and guide. </w:t>
      </w:r>
      <w:r>
        <w:rPr>
          <w:rFonts w:ascii="Barlow SemiBold" w:hAnsi="Barlow SemiBold" w:cs="Barlow SemiBold" w:eastAsia="Barlow SemiBold"/>
          <w:color w:val="0F2440"/>
          <w:sz w:val="19"/>
          <w:szCs w:val="19"/>
        </w:rPr>
        <w:t xml:space="preserve">BMJ</w:t>
      </w:r>
      <w:r>
        <w:rPr>
          <w:rFonts w:ascii="Barlow" w:hAnsi="Barlow" w:cs="Barlow" w:eastAsia="Barlow"/>
          <w:color w:val="0F2440"/>
          <w:sz w:val="19"/>
          <w:szCs w:val="19"/>
        </w:rPr>
        <w:t xml:space="preserve">, v. 348, g1687, 2014.</w:t>
      </w:r>
    </w:p>
    <w:p>
      <w:pPr>
        <w:spacing w:before="0" w:after="150" w:line="264" w:lineRule="auto"/>
        <w:jc w:val="left"/>
      </w:pPr>
      <w:r>
        <w:rPr>
          <w:rFonts w:ascii="Barlow" w:hAnsi="Barlow" w:cs="Barlow" w:eastAsia="Barlow"/>
          <w:color w:val="0F2440"/>
          <w:sz w:val="19"/>
          <w:szCs w:val="19"/>
        </w:rPr>
        <w:t xml:space="preserve">IBGE. </w:t>
      </w:r>
      <w:r>
        <w:rPr>
          <w:rFonts w:ascii="Barlow SemiBold" w:hAnsi="Barlow SemiBold" w:cs="Barlow SemiBold" w:eastAsia="Barlow SemiBold"/>
          <w:color w:val="0F2440"/>
          <w:sz w:val="19"/>
          <w:szCs w:val="19"/>
        </w:rPr>
        <w:t xml:space="preserve">Pesquisa de orçamentos familiares 2017-2018</w:t>
      </w:r>
      <w:r>
        <w:rPr>
          <w:rFonts w:ascii="Barlow" w:hAnsi="Barlow" w:cs="Barlow" w:eastAsia="Barlow"/>
          <w:color w:val="0F2440"/>
          <w:sz w:val="19"/>
          <w:szCs w:val="19"/>
        </w:rPr>
        <w:t xml:space="preserve">: análise da segurança alimentar no Brasil. Rio de Janeiro: IBGE, 2020.</w:t>
      </w:r>
    </w:p>
    <w:p>
      <w:pPr>
        <w:spacing w:before="0" w:after="150" w:line="264" w:lineRule="auto"/>
        <w:jc w:val="left"/>
      </w:pPr>
      <w:r>
        <w:rPr>
          <w:rFonts w:ascii="Barlow" w:hAnsi="Barlow" w:cs="Barlow" w:eastAsia="Barlow"/>
          <w:color w:val="0F2440"/>
          <w:sz w:val="19"/>
          <w:szCs w:val="19"/>
        </w:rPr>
        <w:t xml:space="preserve">IBGE. </w:t>
      </w:r>
      <w:r>
        <w:rPr>
          <w:rFonts w:ascii="Barlow SemiBold" w:hAnsi="Barlow SemiBold" w:cs="Barlow SemiBold" w:eastAsia="Barlow SemiBold"/>
          <w:color w:val="0F2440"/>
          <w:sz w:val="19"/>
          <w:szCs w:val="19"/>
        </w:rPr>
        <w:t xml:space="preserve">Pesquisa Nacional de Saúde 2019</w:t>
      </w:r>
      <w:r>
        <w:rPr>
          <w:rFonts w:ascii="Barlow" w:hAnsi="Barlow" w:cs="Barlow" w:eastAsia="Barlow"/>
          <w:color w:val="0F2440"/>
          <w:sz w:val="19"/>
          <w:szCs w:val="19"/>
        </w:rPr>
        <w:t xml:space="preserve">: manual de entrevista de saúde. Rio de Janeiro: IBGE, 2021.</w:t>
      </w:r>
    </w:p>
    <w:p>
      <w:pPr>
        <w:spacing w:before="0" w:after="150" w:line="264" w:lineRule="auto"/>
        <w:jc w:val="left"/>
      </w:pPr>
      <w:r>
        <w:rPr>
          <w:rFonts w:ascii="Barlow" w:hAnsi="Barlow" w:cs="Barlow" w:eastAsia="Barlow"/>
          <w:color w:val="0F2440"/>
          <w:sz w:val="19"/>
          <w:szCs w:val="19"/>
        </w:rPr>
        <w:t xml:space="preserve">IBGE. </w:t>
      </w:r>
      <w:r>
        <w:rPr>
          <w:rFonts w:ascii="Barlow SemiBold" w:hAnsi="Barlow SemiBold" w:cs="Barlow SemiBold" w:eastAsia="Barlow SemiBold"/>
          <w:color w:val="0F2440"/>
          <w:sz w:val="19"/>
          <w:szCs w:val="19"/>
        </w:rPr>
        <w:t xml:space="preserve">Pesquisa Nacional por Amostra de Domicílios Contínua</w:t>
      </w:r>
      <w:r>
        <w:rPr>
          <w:rFonts w:ascii="Barlow" w:hAnsi="Barlow" w:cs="Barlow" w:eastAsia="Barlow"/>
          <w:color w:val="0F2440"/>
          <w:sz w:val="19"/>
          <w:szCs w:val="19"/>
        </w:rPr>
        <w:t xml:space="preserve">: manual de segurança alimentar. Rio de Janeiro: IBGE, 2025.</w:t>
      </w:r>
    </w:p>
    <w:p>
      <w:pPr>
        <w:spacing w:before="0" w:after="150" w:line="264" w:lineRule="auto"/>
        <w:jc w:val="left"/>
      </w:pPr>
      <w:r>
        <w:rPr>
          <w:rFonts w:ascii="Barlow" w:hAnsi="Barlow" w:cs="Barlow" w:eastAsia="Barlow"/>
          <w:color w:val="0F2440"/>
          <w:sz w:val="19"/>
          <w:szCs w:val="19"/>
        </w:rPr>
        <w:t xml:space="preserve">IPEDF – INSTITUTO DE PESQUISA E ESTATÍSTICA DO DISTRITO FEDERAL. </w:t>
      </w:r>
      <w:r>
        <w:rPr>
          <w:rFonts w:ascii="Barlow SemiBold" w:hAnsi="Barlow SemiBold" w:cs="Barlow SemiBold" w:eastAsia="Barlow SemiBold"/>
          <w:color w:val="0F2440"/>
          <w:sz w:val="19"/>
          <w:szCs w:val="19"/>
        </w:rPr>
        <w:t xml:space="preserve">Pesquisa Distrital por Amostra de Domicílios Ampliada – PDAD-A 2023</w:t>
      </w:r>
      <w:r>
        <w:rPr>
          <w:rFonts w:ascii="Barlow" w:hAnsi="Barlow" w:cs="Barlow" w:eastAsia="Barlow"/>
          <w:color w:val="0F2440"/>
          <w:sz w:val="19"/>
          <w:szCs w:val="19"/>
        </w:rPr>
        <w:t xml:space="preserve">: questionário. Brasília: IPEDF, 2023.</w:t>
      </w:r>
    </w:p>
    <w:p>
      <w:pPr>
        <w:spacing w:before="0" w:after="150" w:line="264" w:lineRule="auto"/>
        <w:jc w:val="left"/>
      </w:pPr>
      <w:r>
        <w:rPr>
          <w:rFonts w:ascii="Barlow" w:hAnsi="Barlow" w:cs="Barlow" w:eastAsia="Barlow"/>
          <w:color w:val="0F2440"/>
          <w:sz w:val="19"/>
          <w:szCs w:val="19"/>
        </w:rPr>
        <w:t xml:space="preserve">LAURELL, A. C. La salud-enfermedad como proceso social. </w:t>
      </w:r>
      <w:r>
        <w:rPr>
          <w:rFonts w:ascii="Barlow SemiBold" w:hAnsi="Barlow SemiBold" w:cs="Barlow SemiBold" w:eastAsia="Barlow SemiBold"/>
          <w:color w:val="0F2440"/>
          <w:sz w:val="19"/>
          <w:szCs w:val="19"/>
        </w:rPr>
        <w:t xml:space="preserve">Revista Latinoamericana de Salud</w:t>
      </w:r>
      <w:r>
        <w:rPr>
          <w:rFonts w:ascii="Barlow" w:hAnsi="Barlow" w:cs="Barlow" w:eastAsia="Barlow"/>
          <w:color w:val="0F2440"/>
          <w:sz w:val="19"/>
          <w:szCs w:val="19"/>
        </w:rPr>
        <w:t xml:space="preserve">, México, v. 2, p. 7-25, 1982.</w:t>
      </w:r>
    </w:p>
    <w:p>
      <w:pPr>
        <w:spacing w:before="0" w:after="150" w:line="264" w:lineRule="auto"/>
        <w:jc w:val="left"/>
      </w:pPr>
      <w:r>
        <w:rPr>
          <w:rFonts w:ascii="Barlow" w:hAnsi="Barlow" w:cs="Barlow" w:eastAsia="Barlow"/>
          <w:color w:val="0F2440"/>
          <w:sz w:val="19"/>
          <w:szCs w:val="19"/>
        </w:rPr>
        <w:t xml:space="preserve">LINCOLN, Y. S.; GUBA, E. G. </w:t>
      </w:r>
      <w:r>
        <w:rPr>
          <w:rFonts w:ascii="Barlow SemiBold" w:hAnsi="Barlow SemiBold" w:cs="Barlow SemiBold" w:eastAsia="Barlow SemiBold"/>
          <w:color w:val="0F2440"/>
          <w:sz w:val="19"/>
          <w:szCs w:val="19"/>
        </w:rPr>
        <w:t xml:space="preserve">Naturalistic inquiry</w:t>
      </w:r>
      <w:r>
        <w:rPr>
          <w:rFonts w:ascii="Barlow" w:hAnsi="Barlow" w:cs="Barlow" w:eastAsia="Barlow"/>
          <w:color w:val="0F2440"/>
          <w:sz w:val="19"/>
          <w:szCs w:val="19"/>
        </w:rPr>
        <w:t xml:space="preserve">. Beverly Hills: Sage, 1985.</w:t>
      </w:r>
    </w:p>
    <w:p>
      <w:pPr>
        <w:spacing w:before="0" w:after="150" w:line="264" w:lineRule="auto"/>
        <w:jc w:val="left"/>
      </w:pPr>
      <w:r>
        <w:rPr>
          <w:rFonts w:ascii="Barlow" w:hAnsi="Barlow" w:cs="Barlow" w:eastAsia="Barlow"/>
          <w:color w:val="0F2440"/>
          <w:sz w:val="19"/>
          <w:szCs w:val="19"/>
        </w:rPr>
        <w:t xml:space="preserve">LWANGA, S. K.; LEMESHOW, S. </w:t>
      </w:r>
      <w:r>
        <w:rPr>
          <w:rFonts w:ascii="Barlow SemiBold" w:hAnsi="Barlow SemiBold" w:cs="Barlow SemiBold" w:eastAsia="Barlow SemiBold"/>
          <w:color w:val="0F2440"/>
          <w:sz w:val="19"/>
          <w:szCs w:val="19"/>
        </w:rPr>
        <w:t xml:space="preserve">Sample size determination in health studies</w:t>
      </w:r>
      <w:r>
        <w:rPr>
          <w:rFonts w:ascii="Barlow" w:hAnsi="Barlow" w:cs="Barlow" w:eastAsia="Barlow"/>
          <w:color w:val="0F2440"/>
          <w:sz w:val="19"/>
          <w:szCs w:val="19"/>
        </w:rPr>
        <w:t xml:space="preserve">: a practical manual. Geneva: World Health Organization, 1991.</w:t>
      </w:r>
    </w:p>
    <w:p>
      <w:pPr>
        <w:spacing w:before="0" w:after="150" w:line="264" w:lineRule="auto"/>
        <w:jc w:val="left"/>
      </w:pPr>
      <w:r>
        <w:rPr>
          <w:rFonts w:ascii="Barlow" w:hAnsi="Barlow" w:cs="Barlow" w:eastAsia="Barlow"/>
          <w:color w:val="0F2440"/>
          <w:sz w:val="19"/>
          <w:szCs w:val="19"/>
        </w:rPr>
        <w:t xml:space="preserve">MACHADO, J. M. H. et al. Vigilância popular em saúde: conceitos, experiências e desafios no contexto brasileiro. </w:t>
      </w:r>
      <w:r>
        <w:rPr>
          <w:rFonts w:ascii="Barlow SemiBold" w:hAnsi="Barlow SemiBold" w:cs="Barlow SemiBold" w:eastAsia="Barlow SemiBold"/>
          <w:color w:val="0F2440"/>
          <w:sz w:val="19"/>
          <w:szCs w:val="19"/>
        </w:rPr>
        <w:t xml:space="preserve">Interface</w:t>
      </w:r>
      <w:r>
        <w:rPr>
          <w:rFonts w:ascii="Barlow" w:hAnsi="Barlow" w:cs="Barlow" w:eastAsia="Barlow"/>
          <w:color w:val="0F2440"/>
          <w:sz w:val="19"/>
          <w:szCs w:val="19"/>
        </w:rPr>
        <w:t xml:space="preserve">: Comunicação, Saúde, Educação, v. 28, e240304, 2024.</w:t>
      </w:r>
    </w:p>
    <w:p>
      <w:pPr>
        <w:spacing w:before="0" w:after="150" w:line="264" w:lineRule="auto"/>
        <w:jc w:val="left"/>
      </w:pPr>
      <w:r>
        <w:rPr>
          <w:rFonts w:ascii="Barlow" w:hAnsi="Barlow" w:cs="Barlow" w:eastAsia="Barlow"/>
          <w:color w:val="0F2440"/>
          <w:sz w:val="19"/>
          <w:szCs w:val="19"/>
        </w:rPr>
        <w:t xml:space="preserve">MALTERUD, K.; SIERSMA, V. D.; GUASSORA, A. D. Sample size in qualitative interview studies: guided by information power. </w:t>
      </w:r>
      <w:r>
        <w:rPr>
          <w:rFonts w:ascii="Barlow SemiBold" w:hAnsi="Barlow SemiBold" w:cs="Barlow SemiBold" w:eastAsia="Barlow SemiBold"/>
          <w:color w:val="0F2440"/>
          <w:sz w:val="19"/>
          <w:szCs w:val="19"/>
        </w:rPr>
        <w:t xml:space="preserve">Qualitative Health Research</w:t>
      </w:r>
      <w:r>
        <w:rPr>
          <w:rFonts w:ascii="Barlow" w:hAnsi="Barlow" w:cs="Barlow" w:eastAsia="Barlow"/>
          <w:color w:val="0F2440"/>
          <w:sz w:val="19"/>
          <w:szCs w:val="19"/>
        </w:rPr>
        <w:t xml:space="preserve">, v. 26, n. 13, p. 1753-1760, 2016.</w:t>
      </w:r>
    </w:p>
    <w:p>
      <w:pPr>
        <w:spacing w:before="0" w:after="150" w:line="264" w:lineRule="auto"/>
        <w:jc w:val="left"/>
      </w:pPr>
      <w:r>
        <w:rPr>
          <w:rFonts w:ascii="Barlow" w:hAnsi="Barlow" w:cs="Barlow" w:eastAsia="Barlow"/>
          <w:color w:val="0F2440"/>
          <w:sz w:val="19"/>
          <w:szCs w:val="19"/>
        </w:rPr>
        <w:t xml:space="preserve">MARTINS, W. J. et al. Plataforma de Inteligência Cooperativa com a Atenção Primária à Saúde (PICAPS): soluções tecnocientíficas em saúde digital no enfrentamento da COVID-19 e outras crises. </w:t>
      </w:r>
      <w:r>
        <w:rPr>
          <w:rFonts w:ascii="Barlow SemiBold" w:hAnsi="Barlow SemiBold" w:cs="Barlow SemiBold" w:eastAsia="Barlow SemiBold"/>
          <w:color w:val="0F2440"/>
          <w:sz w:val="19"/>
          <w:szCs w:val="19"/>
        </w:rPr>
        <w:t xml:space="preserve">Ciência &amp; Saúde Coletiva</w:t>
      </w:r>
      <w:r>
        <w:rPr>
          <w:rFonts w:ascii="Barlow" w:hAnsi="Barlow" w:cs="Barlow" w:eastAsia="Barlow"/>
          <w:color w:val="0F2440"/>
          <w:sz w:val="19"/>
          <w:szCs w:val="19"/>
        </w:rPr>
        <w:t xml:space="preserve">, v. 29, n. 10, e01622023, 2024.</w:t>
      </w:r>
    </w:p>
    <w:p>
      <w:pPr>
        <w:spacing w:before="0" w:after="150" w:line="264" w:lineRule="auto"/>
        <w:jc w:val="left"/>
      </w:pPr>
      <w:r>
        <w:rPr>
          <w:rFonts w:ascii="Barlow" w:hAnsi="Barlow" w:cs="Barlow" w:eastAsia="Barlow"/>
          <w:color w:val="0F2440"/>
          <w:sz w:val="19"/>
          <w:szCs w:val="19"/>
        </w:rPr>
        <w:t xml:space="preserve">MASSEY, M. Survey practice in non-survey-literate populations: lessons learned from a cognitive interview study in Brazil. </w:t>
      </w:r>
      <w:r>
        <w:rPr>
          <w:rFonts w:ascii="Barlow SemiBold" w:hAnsi="Barlow SemiBold" w:cs="Barlow SemiBold" w:eastAsia="Barlow SemiBold"/>
          <w:color w:val="0F2440"/>
          <w:sz w:val="19"/>
          <w:szCs w:val="19"/>
        </w:rPr>
        <w:t xml:space="preserve">Survey Practice</w:t>
      </w:r>
      <w:r>
        <w:rPr>
          <w:rFonts w:ascii="Barlow" w:hAnsi="Barlow" w:cs="Barlow" w:eastAsia="Barlow"/>
          <w:color w:val="0F2440"/>
          <w:sz w:val="19"/>
          <w:szCs w:val="19"/>
        </w:rPr>
        <w:t xml:space="preserve">, v. 19, 2025.</w:t>
      </w:r>
    </w:p>
    <w:p>
      <w:pPr>
        <w:spacing w:before="0" w:after="150" w:line="264" w:lineRule="auto"/>
        <w:jc w:val="left"/>
      </w:pPr>
      <w:r>
        <w:rPr>
          <w:rFonts w:ascii="Barlow" w:hAnsi="Barlow" w:cs="Barlow" w:eastAsia="Barlow"/>
          <w:color w:val="0F2440"/>
          <w:sz w:val="19"/>
          <w:szCs w:val="19"/>
        </w:rPr>
        <w:t xml:space="preserve">MATUS, C. </w:t>
      </w:r>
      <w:r>
        <w:rPr>
          <w:rFonts w:ascii="Barlow SemiBold" w:hAnsi="Barlow SemiBold" w:cs="Barlow SemiBold" w:eastAsia="Barlow SemiBold"/>
          <w:color w:val="0F2440"/>
          <w:sz w:val="19"/>
          <w:szCs w:val="19"/>
        </w:rPr>
        <w:t xml:space="preserve">Política, planificación y gobierno</w:t>
      </w:r>
      <w:r>
        <w:rPr>
          <w:rFonts w:ascii="Barlow" w:hAnsi="Barlow" w:cs="Barlow" w:eastAsia="Barlow"/>
          <w:color w:val="0F2440"/>
          <w:sz w:val="19"/>
          <w:szCs w:val="19"/>
        </w:rPr>
        <w:t xml:space="preserve">. Washington, DC: OPS/OMS, 1987.</w:t>
      </w:r>
    </w:p>
    <w:p>
      <w:pPr>
        <w:spacing w:before="0" w:after="150" w:line="264" w:lineRule="auto"/>
        <w:jc w:val="left"/>
      </w:pPr>
      <w:r>
        <w:rPr>
          <w:rFonts w:ascii="Barlow" w:hAnsi="Barlow" w:cs="Barlow" w:eastAsia="Barlow"/>
          <w:color w:val="0F2440"/>
          <w:sz w:val="19"/>
          <w:szCs w:val="19"/>
        </w:rPr>
        <w:t xml:space="preserve">MOORE, G. F. et al. Process evaluation of complex interventions: Medical Research Council guidance. </w:t>
      </w:r>
      <w:r>
        <w:rPr>
          <w:rFonts w:ascii="Barlow SemiBold" w:hAnsi="Barlow SemiBold" w:cs="Barlow SemiBold" w:eastAsia="Barlow SemiBold"/>
          <w:color w:val="0F2440"/>
          <w:sz w:val="19"/>
          <w:szCs w:val="19"/>
        </w:rPr>
        <w:t xml:space="preserve">BMJ</w:t>
      </w:r>
      <w:r>
        <w:rPr>
          <w:rFonts w:ascii="Barlow" w:hAnsi="Barlow" w:cs="Barlow" w:eastAsia="Barlow"/>
          <w:color w:val="0F2440"/>
          <w:sz w:val="19"/>
          <w:szCs w:val="19"/>
        </w:rPr>
        <w:t xml:space="preserve">, v. 350, h1258, 2015.</w:t>
      </w:r>
    </w:p>
    <w:p>
      <w:pPr>
        <w:spacing w:before="0" w:after="150" w:line="264" w:lineRule="auto"/>
        <w:jc w:val="left"/>
      </w:pPr>
      <w:r>
        <w:rPr>
          <w:rFonts w:ascii="Barlow" w:hAnsi="Barlow" w:cs="Barlow" w:eastAsia="Barlow"/>
          <w:color w:val="0F2440"/>
          <w:sz w:val="19"/>
          <w:szCs w:val="19"/>
        </w:rPr>
        <w:t xml:space="preserve">NACHC – NATIONAL ASSOCIATION OF COMMUNITY HEALTH CENTERS. </w:t>
      </w:r>
      <w:r>
        <w:rPr>
          <w:rFonts w:ascii="Barlow SemiBold" w:hAnsi="Barlow SemiBold" w:cs="Barlow SemiBold" w:eastAsia="Barlow SemiBold"/>
          <w:color w:val="0F2440"/>
          <w:sz w:val="19"/>
          <w:szCs w:val="19"/>
        </w:rPr>
        <w:t xml:space="preserve">PRAPARE</w:t>
      </w:r>
      <w:r>
        <w:rPr>
          <w:rFonts w:ascii="Barlow" w:hAnsi="Barlow" w:cs="Barlow" w:eastAsia="Barlow"/>
          <w:color w:val="0F2440"/>
          <w:sz w:val="19"/>
          <w:szCs w:val="19"/>
        </w:rPr>
        <w:t xml:space="preserve">: Protocol for Responding to and Assessing Patients' Assets, Risks, and Experiences. Bethesda: NACHC, 2016. Disponível em: https://prapare.org. Acesso em: 19 out. 2026.</w:t>
      </w:r>
    </w:p>
    <w:p>
      <w:pPr>
        <w:spacing w:before="0" w:after="150" w:line="264" w:lineRule="auto"/>
        <w:jc w:val="left"/>
      </w:pPr>
      <w:r>
        <w:rPr>
          <w:rFonts w:ascii="Barlow" w:hAnsi="Barlow" w:cs="Barlow" w:eastAsia="Barlow"/>
          <w:color w:val="0F2440"/>
          <w:sz w:val="19"/>
          <w:szCs w:val="19"/>
        </w:rPr>
        <w:t xml:space="preserve">NEALE, B. </w:t>
      </w:r>
      <w:r>
        <w:rPr>
          <w:rFonts w:ascii="Barlow SemiBold" w:hAnsi="Barlow SemiBold" w:cs="Barlow SemiBold" w:eastAsia="Barlow SemiBold"/>
          <w:color w:val="0F2440"/>
          <w:sz w:val="19"/>
          <w:szCs w:val="19"/>
        </w:rPr>
        <w:t xml:space="preserve">What is qualitative longitudinal research?</w:t>
      </w:r>
      <w:r>
        <w:rPr>
          <w:rFonts w:ascii="Barlow" w:hAnsi="Barlow" w:cs="Barlow" w:eastAsia="Barlow"/>
          <w:color w:val="0F2440"/>
          <w:sz w:val="19"/>
          <w:szCs w:val="19"/>
        </w:rPr>
        <w:t xml:space="preserve"> London: Bloomsbury Academic, 2019.</w:t>
      </w:r>
    </w:p>
    <w:p>
      <w:pPr>
        <w:spacing w:before="0" w:after="150" w:line="264" w:lineRule="auto"/>
        <w:jc w:val="left"/>
      </w:pPr>
      <w:r>
        <w:rPr>
          <w:rFonts w:ascii="Barlow" w:hAnsi="Barlow" w:cs="Barlow" w:eastAsia="Barlow"/>
          <w:color w:val="0F2440"/>
          <w:sz w:val="19"/>
          <w:szCs w:val="19"/>
        </w:rPr>
        <w:t xml:space="preserve">O'BRIEN, B. C. et al. Standards for reporting qualitative research: a synthesis of recommendations. </w:t>
      </w:r>
      <w:r>
        <w:rPr>
          <w:rFonts w:ascii="Barlow SemiBold" w:hAnsi="Barlow SemiBold" w:cs="Barlow SemiBold" w:eastAsia="Barlow SemiBold"/>
          <w:color w:val="0F2440"/>
          <w:sz w:val="19"/>
          <w:szCs w:val="19"/>
        </w:rPr>
        <w:t xml:space="preserve">Academic Medicine</w:t>
      </w:r>
      <w:r>
        <w:rPr>
          <w:rFonts w:ascii="Barlow" w:hAnsi="Barlow" w:cs="Barlow" w:eastAsia="Barlow"/>
          <w:color w:val="0F2440"/>
          <w:sz w:val="19"/>
          <w:szCs w:val="19"/>
        </w:rPr>
        <w:t xml:space="preserve">, v. 89, n. 9, p. 1245-1251, 2014.</w:t>
      </w:r>
    </w:p>
    <w:p>
      <w:pPr>
        <w:spacing w:before="0" w:after="150" w:line="264" w:lineRule="auto"/>
        <w:jc w:val="left"/>
      </w:pPr>
      <w:r>
        <w:rPr>
          <w:rFonts w:ascii="Barlow" w:hAnsi="Barlow" w:cs="Barlow" w:eastAsia="Barlow"/>
          <w:color w:val="0F2440"/>
          <w:sz w:val="19"/>
          <w:szCs w:val="19"/>
        </w:rPr>
        <w:t xml:space="preserve">O'CATHAIN, A.; THOMAS, K. J. "Any other comments?" Open questions on questionnaires: a bane or a bonus to research? </w:t>
      </w:r>
      <w:r>
        <w:rPr>
          <w:rFonts w:ascii="Barlow SemiBold" w:hAnsi="Barlow SemiBold" w:cs="Barlow SemiBold" w:eastAsia="Barlow SemiBold"/>
          <w:color w:val="0F2440"/>
          <w:sz w:val="19"/>
          <w:szCs w:val="19"/>
        </w:rPr>
        <w:t xml:space="preserve">BMC Medical Research Methodology</w:t>
      </w:r>
      <w:r>
        <w:rPr>
          <w:rFonts w:ascii="Barlow" w:hAnsi="Barlow" w:cs="Barlow" w:eastAsia="Barlow"/>
          <w:color w:val="0F2440"/>
          <w:sz w:val="19"/>
          <w:szCs w:val="19"/>
        </w:rPr>
        <w:t xml:space="preserve">, v. 4, art. 25, 2004.</w:t>
      </w:r>
    </w:p>
    <w:p>
      <w:pPr>
        <w:spacing w:before="0" w:after="150" w:line="264" w:lineRule="auto"/>
        <w:jc w:val="left"/>
      </w:pPr>
      <w:r>
        <w:rPr>
          <w:rFonts w:ascii="Barlow" w:hAnsi="Barlow" w:cs="Barlow" w:eastAsia="Barlow"/>
          <w:color w:val="0F2440"/>
          <w:sz w:val="19"/>
          <w:szCs w:val="19"/>
        </w:rPr>
        <w:t xml:space="preserve">OLIVEIRA, S. S. et al. Vigilância popular em saúde: conceitos, experiências e potencialidades. </w:t>
      </w:r>
      <w:r>
        <w:rPr>
          <w:rFonts w:ascii="Barlow SemiBold" w:hAnsi="Barlow SemiBold" w:cs="Barlow SemiBold" w:eastAsia="Barlow SemiBold"/>
          <w:color w:val="0F2440"/>
          <w:sz w:val="19"/>
          <w:szCs w:val="19"/>
        </w:rPr>
        <w:t xml:space="preserve">Ciência &amp; Saúde Coletiva</w:t>
      </w:r>
      <w:r>
        <w:rPr>
          <w:rFonts w:ascii="Barlow" w:hAnsi="Barlow" w:cs="Barlow" w:eastAsia="Barlow"/>
          <w:color w:val="0F2440"/>
          <w:sz w:val="19"/>
          <w:szCs w:val="19"/>
        </w:rPr>
        <w:t xml:space="preserve">, v. 29, n. 5, 2024.</w:t>
      </w:r>
    </w:p>
    <w:p>
      <w:pPr>
        <w:spacing w:before="0" w:after="150" w:line="264" w:lineRule="auto"/>
        <w:jc w:val="left"/>
      </w:pPr>
      <w:r>
        <w:rPr>
          <w:rFonts w:ascii="Barlow" w:hAnsi="Barlow" w:cs="Barlow" w:eastAsia="Barlow"/>
          <w:color w:val="0F2440"/>
          <w:sz w:val="19"/>
          <w:szCs w:val="19"/>
        </w:rPr>
        <w:t xml:space="preserve">PAIM, J. S. Sistema Único de Saúde (SUS) aos 30 anos. </w:t>
      </w:r>
      <w:r>
        <w:rPr>
          <w:rFonts w:ascii="Barlow SemiBold" w:hAnsi="Barlow SemiBold" w:cs="Barlow SemiBold" w:eastAsia="Barlow SemiBold"/>
          <w:color w:val="0F2440"/>
          <w:sz w:val="19"/>
          <w:szCs w:val="19"/>
        </w:rPr>
        <w:t xml:space="preserve">Ciência &amp; Saúde Coletiva</w:t>
      </w:r>
      <w:r>
        <w:rPr>
          <w:rFonts w:ascii="Barlow" w:hAnsi="Barlow" w:cs="Barlow" w:eastAsia="Barlow"/>
          <w:color w:val="0F2440"/>
          <w:sz w:val="19"/>
          <w:szCs w:val="19"/>
        </w:rPr>
        <w:t xml:space="preserve">, v. 23, n. 6, p. 1723-1728, 2018.</w:t>
      </w:r>
    </w:p>
    <w:p>
      <w:pPr>
        <w:spacing w:before="0" w:after="150" w:line="264" w:lineRule="auto"/>
        <w:jc w:val="left"/>
      </w:pPr>
      <w:r>
        <w:rPr>
          <w:rFonts w:ascii="Barlow" w:hAnsi="Barlow" w:cs="Barlow" w:eastAsia="Barlow"/>
          <w:color w:val="0F2440"/>
          <w:sz w:val="19"/>
          <w:szCs w:val="19"/>
        </w:rPr>
        <w:t xml:space="preserve">PAWSON, R.; TILLEY, N. </w:t>
      </w:r>
      <w:r>
        <w:rPr>
          <w:rFonts w:ascii="Barlow SemiBold" w:hAnsi="Barlow SemiBold" w:cs="Barlow SemiBold" w:eastAsia="Barlow SemiBold"/>
          <w:color w:val="0F2440"/>
          <w:sz w:val="19"/>
          <w:szCs w:val="19"/>
        </w:rPr>
        <w:t xml:space="preserve">Realistic evaluation</w:t>
      </w:r>
      <w:r>
        <w:rPr>
          <w:rFonts w:ascii="Barlow" w:hAnsi="Barlow" w:cs="Barlow" w:eastAsia="Barlow"/>
          <w:color w:val="0F2440"/>
          <w:sz w:val="19"/>
          <w:szCs w:val="19"/>
        </w:rPr>
        <w:t xml:space="preserve">. London: Sage, 1997.</w:t>
      </w:r>
    </w:p>
    <w:p>
      <w:pPr>
        <w:spacing w:before="0" w:after="150" w:line="264" w:lineRule="auto"/>
        <w:jc w:val="left"/>
      </w:pPr>
      <w:r>
        <w:rPr>
          <w:rFonts w:ascii="Barlow" w:hAnsi="Barlow" w:cs="Barlow" w:eastAsia="Barlow"/>
          <w:color w:val="0F2440"/>
          <w:sz w:val="19"/>
          <w:szCs w:val="19"/>
        </w:rPr>
        <w:t xml:space="preserve">RODRIGUES, L. A. R. L. et al. Plano de amostragem e aspectos metodológicos: inquérito de saúde domiciliar no Piauí. </w:t>
      </w:r>
      <w:r>
        <w:rPr>
          <w:rFonts w:ascii="Barlow SemiBold" w:hAnsi="Barlow SemiBold" w:cs="Barlow SemiBold" w:eastAsia="Barlow SemiBold"/>
          <w:color w:val="0F2440"/>
          <w:sz w:val="19"/>
          <w:szCs w:val="19"/>
        </w:rPr>
        <w:t xml:space="preserve">Revista de Saúde Pública</w:t>
      </w:r>
      <w:r>
        <w:rPr>
          <w:rFonts w:ascii="Barlow" w:hAnsi="Barlow" w:cs="Barlow" w:eastAsia="Barlow"/>
          <w:color w:val="0F2440"/>
          <w:sz w:val="19"/>
          <w:szCs w:val="19"/>
        </w:rPr>
        <w:t xml:space="preserve">, v. 55, art. 118, 2021.</w:t>
      </w:r>
    </w:p>
    <w:p>
      <w:pPr>
        <w:spacing w:before="0" w:after="150" w:line="264" w:lineRule="auto"/>
        <w:jc w:val="left"/>
      </w:pPr>
      <w:r>
        <w:rPr>
          <w:rFonts w:ascii="Barlow" w:hAnsi="Barlow" w:cs="Barlow" w:eastAsia="Barlow"/>
          <w:color w:val="0F2440"/>
          <w:sz w:val="19"/>
          <w:szCs w:val="19"/>
        </w:rPr>
        <w:t xml:space="preserve">SALDAÑA, J. </w:t>
      </w:r>
      <w:r>
        <w:rPr>
          <w:rFonts w:ascii="Barlow SemiBold" w:hAnsi="Barlow SemiBold" w:cs="Barlow SemiBold" w:eastAsia="Barlow SemiBold"/>
          <w:color w:val="0F2440"/>
          <w:sz w:val="19"/>
          <w:szCs w:val="19"/>
        </w:rPr>
        <w:t xml:space="preserve">Longitudinal qualitative research</w:t>
      </w:r>
      <w:r>
        <w:rPr>
          <w:rFonts w:ascii="Barlow" w:hAnsi="Barlow" w:cs="Barlow" w:eastAsia="Barlow"/>
          <w:color w:val="0F2440"/>
          <w:sz w:val="19"/>
          <w:szCs w:val="19"/>
        </w:rPr>
        <w:t xml:space="preserve">: analyzing change through time. Walnut Creek: AltaMira Press, 2003.</w:t>
      </w:r>
    </w:p>
    <w:p>
      <w:pPr>
        <w:spacing w:before="0" w:after="150" w:line="264" w:lineRule="auto"/>
        <w:jc w:val="left"/>
      </w:pPr>
      <w:r>
        <w:rPr>
          <w:rFonts w:ascii="Barlow" w:hAnsi="Barlow" w:cs="Barlow" w:eastAsia="Barlow"/>
          <w:color w:val="0F2440"/>
          <w:sz w:val="19"/>
          <w:szCs w:val="19"/>
        </w:rPr>
        <w:t xml:space="preserve">SANTOS, M. </w:t>
      </w:r>
      <w:r>
        <w:rPr>
          <w:rFonts w:ascii="Barlow SemiBold" w:hAnsi="Barlow SemiBold" w:cs="Barlow SemiBold" w:eastAsia="Barlow SemiBold"/>
          <w:color w:val="0F2440"/>
          <w:sz w:val="19"/>
          <w:szCs w:val="19"/>
        </w:rPr>
        <w:t xml:space="preserve">A natureza do espaço</w:t>
      </w:r>
      <w:r>
        <w:rPr>
          <w:rFonts w:ascii="Barlow" w:hAnsi="Barlow" w:cs="Barlow" w:eastAsia="Barlow"/>
          <w:color w:val="0F2440"/>
          <w:sz w:val="19"/>
          <w:szCs w:val="19"/>
        </w:rPr>
        <w:t xml:space="preserve">: técnica e tempo, razão e emoção. 3. ed. São Paulo: Edusp, 2002.</w:t>
      </w:r>
    </w:p>
    <w:p>
      <w:pPr>
        <w:spacing w:before="0" w:after="150" w:line="264" w:lineRule="auto"/>
        <w:jc w:val="left"/>
      </w:pPr>
      <w:r>
        <w:rPr>
          <w:rFonts w:ascii="Barlow" w:hAnsi="Barlow" w:cs="Barlow" w:eastAsia="Barlow"/>
          <w:color w:val="0F2440"/>
          <w:sz w:val="19"/>
          <w:szCs w:val="19"/>
        </w:rPr>
        <w:t xml:space="preserve">SANTOS, S. M. et al. Adaptação transcultural e confiabilidade de medidas de características autorreferidas de vizinhança no ELSA-Brasil. </w:t>
      </w:r>
      <w:r>
        <w:rPr>
          <w:rFonts w:ascii="Barlow SemiBold" w:hAnsi="Barlow SemiBold" w:cs="Barlow SemiBold" w:eastAsia="Barlow SemiBold"/>
          <w:color w:val="0F2440"/>
          <w:sz w:val="19"/>
          <w:szCs w:val="19"/>
        </w:rPr>
        <w:t xml:space="preserve">Revista de Saúde Pública</w:t>
      </w:r>
      <w:r>
        <w:rPr>
          <w:rFonts w:ascii="Barlow" w:hAnsi="Barlow" w:cs="Barlow" w:eastAsia="Barlow"/>
          <w:color w:val="0F2440"/>
          <w:sz w:val="19"/>
          <w:szCs w:val="19"/>
        </w:rPr>
        <w:t xml:space="preserve">, v. 47, supl. 2, p. 122-130, 2013.</w:t>
      </w:r>
    </w:p>
    <w:p>
      <w:pPr>
        <w:spacing w:before="0" w:after="150" w:line="264" w:lineRule="auto"/>
        <w:jc w:val="left"/>
      </w:pPr>
      <w:r>
        <w:rPr>
          <w:rFonts w:ascii="Barlow" w:hAnsi="Barlow" w:cs="Barlow" w:eastAsia="Barlow"/>
          <w:color w:val="0F2440"/>
          <w:sz w:val="19"/>
          <w:szCs w:val="19"/>
        </w:rPr>
        <w:t xml:space="preserve">SELLERA, P. E. G. et al. A ativação de redes sociotécnicas na Cidade Estrutural/DF: um território saudável e sustentável. </w:t>
      </w:r>
      <w:r>
        <w:rPr>
          <w:rFonts w:ascii="Barlow SemiBold" w:hAnsi="Barlow SemiBold" w:cs="Barlow SemiBold" w:eastAsia="Barlow SemiBold"/>
          <w:color w:val="0F2440"/>
          <w:sz w:val="19"/>
          <w:szCs w:val="19"/>
        </w:rPr>
        <w:t xml:space="preserve">Ciência &amp; Saúde Coletiva</w:t>
      </w:r>
      <w:r>
        <w:rPr>
          <w:rFonts w:ascii="Barlow" w:hAnsi="Barlow" w:cs="Barlow" w:eastAsia="Barlow"/>
          <w:color w:val="0F2440"/>
          <w:sz w:val="19"/>
          <w:szCs w:val="19"/>
        </w:rPr>
        <w:t xml:space="preserve">, v. 24, n. 9, p. 3423-3434, 2019.</w:t>
      </w:r>
    </w:p>
    <w:p>
      <w:pPr>
        <w:spacing w:before="0" w:after="150" w:line="264" w:lineRule="auto"/>
        <w:jc w:val="left"/>
      </w:pPr>
      <w:r>
        <w:rPr>
          <w:rFonts w:ascii="Barlow" w:hAnsi="Barlow" w:cs="Barlow" w:eastAsia="Barlow"/>
          <w:color w:val="0F2440"/>
          <w:sz w:val="19"/>
          <w:szCs w:val="19"/>
        </w:rPr>
        <w:t xml:space="preserve">SINGER, E.; COUPER, M. P. Some methodological uses of responses to open questions and other verbatim comments in quantitative surveys. </w:t>
      </w:r>
      <w:r>
        <w:rPr>
          <w:rFonts w:ascii="Barlow SemiBold" w:hAnsi="Barlow SemiBold" w:cs="Barlow SemiBold" w:eastAsia="Barlow SemiBold"/>
          <w:color w:val="0F2440"/>
          <w:sz w:val="19"/>
          <w:szCs w:val="19"/>
        </w:rPr>
        <w:t xml:space="preserve">methods, data, analyses</w:t>
      </w:r>
      <w:r>
        <w:rPr>
          <w:rFonts w:ascii="Barlow" w:hAnsi="Barlow" w:cs="Barlow" w:eastAsia="Barlow"/>
          <w:color w:val="0F2440"/>
          <w:sz w:val="19"/>
          <w:szCs w:val="19"/>
        </w:rPr>
        <w:t xml:space="preserve">, v. 11, n. 2, p. 115-134, 2017.</w:t>
      </w:r>
    </w:p>
    <w:p>
      <w:pPr>
        <w:spacing w:before="0" w:after="150" w:line="264" w:lineRule="auto"/>
        <w:jc w:val="left"/>
      </w:pPr>
      <w:r>
        <w:rPr>
          <w:rFonts w:ascii="Barlow" w:hAnsi="Barlow" w:cs="Barlow" w:eastAsia="Barlow"/>
          <w:color w:val="0F2440"/>
          <w:sz w:val="19"/>
          <w:szCs w:val="19"/>
        </w:rPr>
        <w:t xml:space="preserve">SKIVINGTON, K. et al. A new framework for developing and evaluating complex interventions: update of Medical Research Council guidance. </w:t>
      </w:r>
      <w:r>
        <w:rPr>
          <w:rFonts w:ascii="Barlow SemiBold" w:hAnsi="Barlow SemiBold" w:cs="Barlow SemiBold" w:eastAsia="Barlow SemiBold"/>
          <w:color w:val="0F2440"/>
          <w:sz w:val="19"/>
          <w:szCs w:val="19"/>
        </w:rPr>
        <w:t xml:space="preserve">BMJ</w:t>
      </w:r>
      <w:r>
        <w:rPr>
          <w:rFonts w:ascii="Barlow" w:hAnsi="Barlow" w:cs="Barlow" w:eastAsia="Barlow"/>
          <w:color w:val="0F2440"/>
          <w:sz w:val="19"/>
          <w:szCs w:val="19"/>
        </w:rPr>
        <w:t xml:space="preserve">, v. 374, n2061, 2021.</w:t>
      </w:r>
    </w:p>
    <w:p>
      <w:pPr>
        <w:spacing w:before="0" w:after="150" w:line="264" w:lineRule="auto"/>
        <w:jc w:val="left"/>
      </w:pPr>
      <w:r>
        <w:rPr>
          <w:rFonts w:ascii="Barlow" w:hAnsi="Barlow" w:cs="Barlow" w:eastAsia="Barlow"/>
          <w:color w:val="0F2440"/>
          <w:sz w:val="19"/>
          <w:szCs w:val="19"/>
        </w:rPr>
        <w:t xml:space="preserve">SOLAR, O.; IRWIN, A. </w:t>
      </w:r>
      <w:r>
        <w:rPr>
          <w:rFonts w:ascii="Barlow SemiBold" w:hAnsi="Barlow SemiBold" w:cs="Barlow SemiBold" w:eastAsia="Barlow SemiBold"/>
          <w:color w:val="0F2440"/>
          <w:sz w:val="19"/>
          <w:szCs w:val="19"/>
        </w:rPr>
        <w:t xml:space="preserve">A conceptual framework for action on the social determinants of health</w:t>
      </w:r>
      <w:r>
        <w:rPr>
          <w:rFonts w:ascii="Barlow" w:hAnsi="Barlow" w:cs="Barlow" w:eastAsia="Barlow"/>
          <w:color w:val="0F2440"/>
          <w:sz w:val="19"/>
          <w:szCs w:val="19"/>
        </w:rPr>
        <w:t xml:space="preserve">. Geneva: World Health Organization, 2010. (Social Determinants of Health Discussion Paper 2: Policy and Practice).</w:t>
      </w:r>
    </w:p>
    <w:p>
      <w:pPr>
        <w:spacing w:before="0" w:after="150" w:line="264" w:lineRule="auto"/>
        <w:jc w:val="left"/>
      </w:pPr>
      <w:r>
        <w:rPr>
          <w:rFonts w:ascii="Barlow" w:hAnsi="Barlow" w:cs="Barlow" w:eastAsia="Barlow"/>
          <w:color w:val="0F2440"/>
          <w:sz w:val="19"/>
          <w:szCs w:val="19"/>
        </w:rPr>
        <w:t xml:space="preserve">STAR, S. L.; GRIESEMER, J. R. Institutional ecology, 'translations' and boundary objects: amateurs and professionals in Berkeley's Museum of Vertebrate Zoology, 1907-39. </w:t>
      </w:r>
      <w:r>
        <w:rPr>
          <w:rFonts w:ascii="Barlow SemiBold" w:hAnsi="Barlow SemiBold" w:cs="Barlow SemiBold" w:eastAsia="Barlow SemiBold"/>
          <w:color w:val="0F2440"/>
          <w:sz w:val="19"/>
          <w:szCs w:val="19"/>
        </w:rPr>
        <w:t xml:space="preserve">Social Studies of Science</w:t>
      </w:r>
      <w:r>
        <w:rPr>
          <w:rFonts w:ascii="Barlow" w:hAnsi="Barlow" w:cs="Barlow" w:eastAsia="Barlow"/>
          <w:color w:val="0F2440"/>
          <w:sz w:val="19"/>
          <w:szCs w:val="19"/>
        </w:rPr>
        <w:t xml:space="preserve">, v. 19, n. 3, p. 387-420, 1989.</w:t>
      </w:r>
    </w:p>
    <w:p>
      <w:pPr>
        <w:spacing w:before="0" w:after="150" w:line="264" w:lineRule="auto"/>
        <w:jc w:val="left"/>
      </w:pPr>
      <w:r>
        <w:rPr>
          <w:rFonts w:ascii="Barlow" w:hAnsi="Barlow" w:cs="Barlow" w:eastAsia="Barlow"/>
          <w:color w:val="0F2440"/>
          <w:sz w:val="19"/>
          <w:szCs w:val="19"/>
        </w:rPr>
        <w:t xml:space="preserve">THIOLLENT, M. </w:t>
      </w:r>
      <w:r>
        <w:rPr>
          <w:rFonts w:ascii="Barlow SemiBold" w:hAnsi="Barlow SemiBold" w:cs="Barlow SemiBold" w:eastAsia="Barlow SemiBold"/>
          <w:color w:val="0F2440"/>
          <w:sz w:val="19"/>
          <w:szCs w:val="19"/>
        </w:rPr>
        <w:t xml:space="preserve">Metodologia da pesquisa-ação</w:t>
      </w:r>
      <w:r>
        <w:rPr>
          <w:rFonts w:ascii="Barlow" w:hAnsi="Barlow" w:cs="Barlow" w:eastAsia="Barlow"/>
          <w:color w:val="0F2440"/>
          <w:sz w:val="19"/>
          <w:szCs w:val="19"/>
        </w:rPr>
        <w:t xml:space="preserve">. São Paulo: Cortez, 2011.</w:t>
      </w:r>
    </w:p>
    <w:p>
      <w:pPr>
        <w:spacing w:before="0" w:after="150" w:line="264" w:lineRule="auto"/>
        <w:jc w:val="left"/>
      </w:pPr>
      <w:r>
        <w:rPr>
          <w:rFonts w:ascii="Barlow" w:hAnsi="Barlow" w:cs="Barlow" w:eastAsia="Barlow"/>
          <w:color w:val="0F2440"/>
          <w:sz w:val="19"/>
          <w:szCs w:val="19"/>
        </w:rPr>
        <w:t xml:space="preserve">TONG, A.; SAINSBURY, P.; CRAIG, J. Consolidated criteria for reporting qualitative research (COREQ): a 32-item checklist for interviews and focus groups. </w:t>
      </w:r>
      <w:r>
        <w:rPr>
          <w:rFonts w:ascii="Barlow SemiBold" w:hAnsi="Barlow SemiBold" w:cs="Barlow SemiBold" w:eastAsia="Barlow SemiBold"/>
          <w:color w:val="0F2440"/>
          <w:sz w:val="19"/>
          <w:szCs w:val="19"/>
        </w:rPr>
        <w:t xml:space="preserve">International Journal for Quality in Health Care</w:t>
      </w:r>
      <w:r>
        <w:rPr>
          <w:rFonts w:ascii="Barlow" w:hAnsi="Barlow" w:cs="Barlow" w:eastAsia="Barlow"/>
          <w:color w:val="0F2440"/>
          <w:sz w:val="19"/>
          <w:szCs w:val="19"/>
        </w:rPr>
        <w:t xml:space="preserve">, v. 19, n. 6, p. 349-357, 2007.</w:t>
      </w:r>
    </w:p>
    <w:p>
      <w:pPr>
        <w:spacing w:before="0" w:after="150" w:line="264" w:lineRule="auto"/>
        <w:jc w:val="left"/>
      </w:pPr>
      <w:r>
        <w:rPr>
          <w:rFonts w:ascii="Barlow" w:hAnsi="Barlow" w:cs="Barlow" w:eastAsia="Barlow"/>
          <w:color w:val="0F2440"/>
          <w:sz w:val="19"/>
          <w:szCs w:val="19"/>
        </w:rPr>
        <w:t xml:space="preserve">TRAD, L. A. B.; ESPERIDIÃO, M. A. Gestão participativa e corresponsabilidade em saúde: limites e possibilidades no âmbito da Estratégia de Saúde da Família. </w:t>
      </w:r>
      <w:r>
        <w:rPr>
          <w:rFonts w:ascii="Barlow SemiBold" w:hAnsi="Barlow SemiBold" w:cs="Barlow SemiBold" w:eastAsia="Barlow SemiBold"/>
          <w:color w:val="0F2440"/>
          <w:sz w:val="19"/>
          <w:szCs w:val="19"/>
        </w:rPr>
        <w:t xml:space="preserve">Interface</w:t>
      </w:r>
      <w:r>
        <w:rPr>
          <w:rFonts w:ascii="Barlow" w:hAnsi="Barlow" w:cs="Barlow" w:eastAsia="Barlow"/>
          <w:color w:val="0F2440"/>
          <w:sz w:val="19"/>
          <w:szCs w:val="19"/>
        </w:rPr>
        <w:t xml:space="preserve">: Comunicação, Saúde, Educação, v. 13, n. 31, p. 557-570, 2009.</w:t>
      </w:r>
    </w:p>
    <w:p>
      <w:pPr>
        <w:spacing w:before="0" w:after="150" w:line="264" w:lineRule="auto"/>
        <w:jc w:val="left"/>
      </w:pPr>
      <w:r>
        <w:rPr>
          <w:rFonts w:ascii="Barlow" w:hAnsi="Barlow" w:cs="Barlow" w:eastAsia="Barlow"/>
          <w:color w:val="0F2440"/>
          <w:sz w:val="19"/>
          <w:szCs w:val="19"/>
        </w:rPr>
        <w:t xml:space="preserve">WILLIS, G. B. </w:t>
      </w:r>
      <w:r>
        <w:rPr>
          <w:rFonts w:ascii="Barlow SemiBold" w:hAnsi="Barlow SemiBold" w:cs="Barlow SemiBold" w:eastAsia="Barlow SemiBold"/>
          <w:color w:val="0F2440"/>
          <w:sz w:val="19"/>
          <w:szCs w:val="19"/>
        </w:rPr>
        <w:t xml:space="preserve">Cognitive interviewing</w:t>
      </w:r>
      <w:r>
        <w:rPr>
          <w:rFonts w:ascii="Barlow" w:hAnsi="Barlow" w:cs="Barlow" w:eastAsia="Barlow"/>
          <w:color w:val="0F2440"/>
          <w:sz w:val="19"/>
          <w:szCs w:val="19"/>
        </w:rPr>
        <w:t xml:space="preserve">: a tool for improving questionnaire design. Thousand Oaks: Sage, 2005.</w:t>
      </w:r>
    </w:p>
    <w:p>
      <w:pPr>
        <w:spacing w:before="0" w:after="150" w:line="264" w:lineRule="auto"/>
        <w:jc w:val="left"/>
      </w:pPr>
      <w:r>
        <w:rPr>
          <w:rFonts w:ascii="Barlow" w:hAnsi="Barlow" w:cs="Barlow" w:eastAsia="Barlow"/>
          <w:color w:val="0F2440"/>
          <w:sz w:val="19"/>
          <w:szCs w:val="19"/>
        </w:rPr>
        <w:t xml:space="preserve">YIN, R. K. </w:t>
      </w:r>
      <w:r>
        <w:rPr>
          <w:rFonts w:ascii="Barlow SemiBold" w:hAnsi="Barlow SemiBold" w:cs="Barlow SemiBold" w:eastAsia="Barlow SemiBold"/>
          <w:color w:val="0F2440"/>
          <w:sz w:val="19"/>
          <w:szCs w:val="19"/>
        </w:rPr>
        <w:t xml:space="preserve">Estudo de caso</w:t>
      </w:r>
      <w:r>
        <w:rPr>
          <w:rFonts w:ascii="Barlow" w:hAnsi="Barlow" w:cs="Barlow" w:eastAsia="Barlow"/>
          <w:color w:val="0F2440"/>
          <w:sz w:val="19"/>
          <w:szCs w:val="19"/>
        </w:rPr>
        <w:t xml:space="preserve">: planejamento e métodos. 5. ed. Porto Alegre: Bookman, 2015.</w:t>
      </w:r>
    </w:p>
    <w:p>
      <w:pPr>
        <w:spacing w:before="0" w:after="150" w:line="264" w:lineRule="auto"/>
        <w:jc w:val="left"/>
      </w:pPr>
      <w:r>
        <w:rPr>
          <w:rFonts w:ascii="Barlow" w:hAnsi="Barlow" w:cs="Barlow" w:eastAsia="Barlow"/>
          <w:color w:val="0F2440"/>
          <w:sz w:val="19"/>
          <w:szCs w:val="19"/>
        </w:rPr>
        <w:t xml:space="preserve">YOUNG, S. L. et al. The Household Water InSecurity Experiences (HWISE) Scale: development and validation of a household water insecurity measure for low-income and middle-income countries. </w:t>
      </w:r>
      <w:r>
        <w:rPr>
          <w:rFonts w:ascii="Barlow SemiBold" w:hAnsi="Barlow SemiBold" w:cs="Barlow SemiBold" w:eastAsia="Barlow SemiBold"/>
          <w:color w:val="0F2440"/>
          <w:sz w:val="19"/>
          <w:szCs w:val="19"/>
        </w:rPr>
        <w:t xml:space="preserve">BMJ Global Health</w:t>
      </w:r>
      <w:r>
        <w:rPr>
          <w:rFonts w:ascii="Barlow" w:hAnsi="Barlow" w:cs="Barlow" w:eastAsia="Barlow"/>
          <w:color w:val="0F2440"/>
          <w:sz w:val="19"/>
          <w:szCs w:val="19"/>
        </w:rPr>
        <w:t xml:space="preserve">, v. 4, n. 5, e001750, 2019.</w:t>
      </w:r>
    </w:p>
    <w:p>
      <w:pPr>
        <w:spacing w:before="0" w:after="150" w:line="264" w:lineRule="auto"/>
        <w:jc w:val="left"/>
      </w:pPr>
      <w:r>
        <w:rPr>
          <w:rFonts w:ascii="Barlow" w:hAnsi="Barlow" w:cs="Barlow" w:eastAsia="Barlow"/>
          <w:color w:val="0F2440"/>
          <w:sz w:val="19"/>
          <w:szCs w:val="19"/>
        </w:rPr>
        <w:t xml:space="preserve">YOUNG, S. L. et al. Validity of a four-item Household Water Insecurity Experiences Scale for assessing water issues related to health and well-being. </w:t>
      </w:r>
      <w:r>
        <w:rPr>
          <w:rFonts w:ascii="Barlow SemiBold" w:hAnsi="Barlow SemiBold" w:cs="Barlow SemiBold" w:eastAsia="Barlow SemiBold"/>
          <w:color w:val="0F2440"/>
          <w:sz w:val="19"/>
          <w:szCs w:val="19"/>
        </w:rPr>
        <w:t xml:space="preserve">American Journal of Tropical Medicine and Hygiene</w:t>
      </w:r>
      <w:r>
        <w:rPr>
          <w:rFonts w:ascii="Barlow" w:hAnsi="Barlow" w:cs="Barlow" w:eastAsia="Barlow"/>
          <w:color w:val="0F2440"/>
          <w:sz w:val="19"/>
          <w:szCs w:val="19"/>
        </w:rPr>
        <w:t xml:space="preserve">, v. 104, n. 1, p. 391-394, 2021.</w:t>
      </w:r>
    </w:p>
    <w:p>
      <w:pPr>
        <w:spacing w:before="0" w:after="150" w:line="264" w:lineRule="auto"/>
        <w:jc w:val="left"/>
        <w:sectPr>
          <w:headerReference w:type="default" r:id="rId27"/>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w:hAnsi="Barlow" w:cs="Barlow" w:eastAsia="Barlow"/>
          <w:color w:val="0F2440"/>
          <w:sz w:val="19"/>
          <w:szCs w:val="19"/>
        </w:rPr>
        <w:t xml:space="preserve">ZELEKE, A. A. et al. Data quality and cost-effectiveness analyses of electronic and paper-based interviewer-administered public health surveys: systematic review. </w:t>
      </w:r>
      <w:r>
        <w:rPr>
          <w:rFonts w:ascii="Barlow SemiBold" w:hAnsi="Barlow SemiBold" w:cs="Barlow SemiBold" w:eastAsia="Barlow SemiBold"/>
          <w:color w:val="0F2440"/>
          <w:sz w:val="19"/>
          <w:szCs w:val="19"/>
        </w:rPr>
        <w:t xml:space="preserve">Journal of Medical Internet Research</w:t>
      </w:r>
      <w:r>
        <w:rPr>
          <w:rFonts w:ascii="Barlow" w:hAnsi="Barlow" w:cs="Barlow" w:eastAsia="Barlow"/>
          <w:color w:val="0F2440"/>
          <w:sz w:val="19"/>
          <w:szCs w:val="19"/>
        </w:rPr>
        <w:t xml:space="preserve">, v. 23, n. 1, e21382, 2021.</w:t>
      </w:r>
    </w:p>
    <w:p>
      <w:pPr>
        <w:pStyle w:val="Heading1"/>
        <w:pBdr>
          <w:bottom w:val="single" w:sz="12" w:space="10" w:color="007614"/>
        </w:pBdr>
        <w:spacing w:before="120" w:after="380" w:line="600" w:lineRule="exact"/>
        <w:jc w:val="left"/>
      </w:pPr>
      <w:bookmarkStart w:id="53" w:name="_h43"/>
      <w:r>
        <w:rPr>
          <w:rFonts w:ascii="Barlow Condensed" w:hAnsi="Barlow Condensed" w:cs="Barlow Condensed" w:eastAsia="Barlow Condensed"/>
          <w:b/>
          <w:bCs/>
          <w:color w:val="007614"/>
          <w:sz w:val="52"/>
          <w:szCs w:val="52"/>
        </w:rPr>
        <w:t xml:space="preserve">APÊNDICE A – </w:t>
      </w:r>
      <w:r>
        <w:rPr>
          <w:rFonts w:ascii="Barlow Condensed" w:hAnsi="Barlow Condensed" w:cs="Barlow Condensed" w:eastAsia="Barlow Condensed"/>
          <w:b/>
          <w:bCs/>
          <w:color w:val="01366F"/>
          <w:sz w:val="52"/>
          <w:szCs w:val="52"/>
        </w:rPr>
        <w:t xml:space="preserve">ROTEIRO-BASE DE ENTREVISTA COM PESQUISADORES POPULARES</w:t>
      </w:r>
      <w:bookmarkEnd w:id="53"/>
    </w:p>
    <w:p>
      <w:pPr>
        <w:spacing w:before="0" w:after="140" w:line="300" w:lineRule="auto"/>
        <w:jc w:val="both"/>
      </w:pPr>
      <w:r>
        <w:rPr>
          <w:rFonts w:ascii="Barlow" w:hAnsi="Barlow" w:cs="Barlow" w:eastAsia="Barlow"/>
          <w:color w:val="0F2440"/>
          <w:sz w:val="20"/>
          <w:szCs w:val="20"/>
        </w:rPr>
        <w:t xml:space="preserve">O roteiro abaixo é a versão-base para o painel de pesquisadores populares. Roteiros específicos para os demais grupos seguem a mesma estrutura e serão testados na Fase 1. Em cada onda, o entrevistador retoma o que o participante relatou na onda anterior.</w:t>
      </w:r>
    </w:p>
    <w:p>
      <w:pPr>
        <w:pStyle w:val="Heading3"/>
        <w:keepNext/>
        <w:spacing w:before="260" w:after="100" w:line="264" w:lineRule="auto"/>
        <w:jc w:val="left"/>
      </w:pPr>
      <w:bookmarkStart w:id="54" w:name="_h44"/>
      <w:r>
        <w:rPr>
          <w:rFonts w:ascii="Barlow Condensed SemiBold" w:hAnsi="Barlow Condensed SemiBold" w:cs="Barlow Condensed SemiBold" w:eastAsia="Barlow Condensed SemiBold"/>
          <w:color w:val="01366F"/>
          <w:sz w:val="25"/>
          <w:szCs w:val="25"/>
        </w:rPr>
        <w:t xml:space="preserve">Onda 1 – ativação e cartografia</w:t>
      </w:r>
      <w:bookmarkEnd w:id="54"/>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como você conheceu a PICAPS e o que o levou a participar;</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quem mais participou das primeiras reuniões, e quem você esperava ver e não estava;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conte uma situação da cartografia social em que um problema do território foi discutido: o que foi dito, quem falou, o que foi decidido;</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o que você espera que mude no território com esse processo.</w:t>
      </w:r>
    </w:p>
    <w:p>
      <w:pPr>
        <w:pStyle w:val="Heading3"/>
        <w:keepNext/>
        <w:spacing w:before="260" w:after="100" w:line="264" w:lineRule="auto"/>
        <w:jc w:val="left"/>
      </w:pPr>
      <w:bookmarkStart w:id="55" w:name="_h45"/>
      <w:r>
        <w:rPr>
          <w:rFonts w:ascii="Barlow Condensed SemiBold" w:hAnsi="Barlow Condensed SemiBold" w:cs="Barlow Condensed SemiBold" w:eastAsia="Barlow Condensed SemiBold"/>
          <w:color w:val="01366F"/>
          <w:sz w:val="25"/>
          <w:szCs w:val="25"/>
        </w:rPr>
        <w:t xml:space="preserve">Onda 2 – início da Sala de Cooperação Social</w:t>
      </w:r>
      <w:bookmarkEnd w:id="55"/>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como foi a formação para você: o que fez sentido e o que não fez;</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conte o último alerta ou demanda que você registrou: o que aconteceu depois;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como as decisões são tomadas nas reuniões da Sala, e quem tem mais influência;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como os profissionais da UBS têm recebido o que vocês levam.</w:t>
      </w:r>
    </w:p>
    <w:p>
      <w:pPr>
        <w:pStyle w:val="Heading3"/>
        <w:keepNext/>
        <w:spacing w:before="260" w:after="100" w:line="264" w:lineRule="auto"/>
        <w:jc w:val="left"/>
      </w:pPr>
      <w:bookmarkStart w:id="56" w:name="_h46"/>
      <w:r>
        <w:rPr>
          <w:rFonts w:ascii="Barlow Condensed SemiBold" w:hAnsi="Barlow Condensed SemiBold" w:cs="Barlow Condensed SemiBold" w:eastAsia="Barlow Condensed SemiBold"/>
          <w:color w:val="01366F"/>
          <w:sz w:val="25"/>
          <w:szCs w:val="25"/>
        </w:rPr>
        <w:t xml:space="preserve">Onda 3 – consolidação</w:t>
      </w:r>
      <w:bookmarkEnd w:id="56"/>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o que mudou na sua atuação e na Sala desde a nossa última conversa;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conte um caso que avançou e um caso que não avançou: o que explica a diferença;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o que custa para você participar, em tempo, dinheiro, relações e riscos;</w:t>
      </w:r>
    </w:p>
    <w:p>
      <w:pPr>
        <w:spacing w:before="0" w:after="90" w:line="300" w:lineRule="auto"/>
        <w:ind w:left="420" w:hanging="300"/>
        <w:jc w:val="both"/>
        <w:sectPr>
          <w:headerReference w:type="default" r:id="rId28"/>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se a Sala deixasse de existir amanhã, o que se perderia, e o que continuaria.</w:t>
      </w:r>
    </w:p>
    <w:p>
      <w:pPr>
        <w:pStyle w:val="Heading1"/>
        <w:pBdr>
          <w:bottom w:val="single" w:sz="12" w:space="10" w:color="007614"/>
        </w:pBdr>
        <w:spacing w:before="120" w:after="380" w:line="600" w:lineRule="exact"/>
        <w:jc w:val="left"/>
      </w:pPr>
      <w:bookmarkStart w:id="57" w:name="_h47"/>
      <w:r>
        <w:rPr>
          <w:rFonts w:ascii="Barlow Condensed" w:hAnsi="Barlow Condensed" w:cs="Barlow Condensed" w:eastAsia="Barlow Condensed"/>
          <w:b/>
          <w:bCs/>
          <w:color w:val="007614"/>
          <w:sz w:val="52"/>
          <w:szCs w:val="52"/>
        </w:rPr>
        <w:t xml:space="preserve">APÊNDICE B – </w:t>
      </w:r>
      <w:r>
        <w:rPr>
          <w:rFonts w:ascii="Barlow Condensed" w:hAnsi="Barlow Condensed" w:cs="Barlow Condensed" w:eastAsia="Barlow Condensed"/>
          <w:b/>
          <w:bCs/>
          <w:color w:val="01366F"/>
          <w:sz w:val="52"/>
          <w:szCs w:val="52"/>
        </w:rPr>
        <w:t xml:space="preserve">GUIA DE OBSERVAÇÃO DAS REUNIÕES DAS SALAS DE COOPERAÇÃO SOCIAL</w:t>
      </w:r>
      <w:bookmarkEnd w:id="57"/>
    </w:p>
    <w:p>
      <w:pPr>
        <w:spacing w:before="0" w:after="140" w:line="300" w:lineRule="auto"/>
        <w:jc w:val="both"/>
      </w:pPr>
      <w:r>
        <w:rPr>
          <w:rFonts w:ascii="Barlow" w:hAnsi="Barlow" w:cs="Barlow" w:eastAsia="Barlow"/>
          <w:color w:val="0F2440"/>
          <w:sz w:val="20"/>
          <w:szCs w:val="20"/>
        </w:rPr>
        <w:t xml:space="preserve">O diário de campo de cada reunião registra, em seções separadas, a descrição dos fatos e a interpretação do pesquisador.</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contexto</w:t>
      </w:r>
      <w:r>
        <w:rPr>
          <w:rFonts w:ascii="Barlow" w:hAnsi="Barlow" w:cs="Barlow" w:eastAsia="Barlow"/>
          <w:color w:val="0F2440"/>
          <w:sz w:val="20"/>
          <w:szCs w:val="20"/>
        </w:rPr>
        <w:t xml:space="preserve">: data, local, duração, número e perfil dos presentes (sem identificação nominal), presença de profissionais de APS e de vigilância;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pauta e encaminhamentos</w:t>
      </w:r>
      <w:r>
        <w:rPr>
          <w:rFonts w:ascii="Barlow" w:hAnsi="Barlow" w:cs="Barlow" w:eastAsia="Barlow"/>
          <w:color w:val="0F2440"/>
          <w:sz w:val="20"/>
          <w:szCs w:val="20"/>
        </w:rPr>
        <w:t xml:space="preserve">: temas tratados, origem de cada tema (alerta, Plano Popular, demanda externa), decisões tomadas e responsáveis;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dinâmica deliberativa</w:t>
      </w:r>
      <w:r>
        <w:rPr>
          <w:rFonts w:ascii="Barlow" w:hAnsi="Barlow" w:cs="Barlow" w:eastAsia="Barlow"/>
          <w:color w:val="0F2440"/>
          <w:sz w:val="20"/>
          <w:szCs w:val="20"/>
        </w:rPr>
        <w:t xml:space="preserve">: quem propõe, quem contesta, quem decide; temas encerrados sem deliberação; uso de dados, mapas ou do painel territorial;</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relação com os serviços</w:t>
      </w:r>
      <w:r>
        <w:rPr>
          <w:rFonts w:ascii="Barlow" w:hAnsi="Barlow" w:cs="Barlow" w:eastAsia="Barlow"/>
          <w:color w:val="0F2440"/>
          <w:sz w:val="20"/>
          <w:szCs w:val="20"/>
        </w:rPr>
        <w:t xml:space="preserve">: retornos recebidos sobre encaminhamentos anteriores, ausência de retorno, reações do grupo;</w:t>
      </w:r>
    </w:p>
    <w:p>
      <w:pPr>
        <w:spacing w:before="0" w:after="90" w:line="300" w:lineRule="auto"/>
        <w:ind w:left="420" w:hanging="300"/>
        <w:jc w:val="both"/>
        <w:sectPr>
          <w:headerReference w:type="default" r:id="rId29"/>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Condensed SemiBold" w:hAnsi="Barlow Condensed SemiBold" w:cs="Barlow Condensed SemiBold" w:eastAsia="Barlow Condensed SemiBold"/>
          <w:color w:val="007614"/>
          <w:sz w:val="20"/>
          <w:szCs w:val="20"/>
        </w:rPr>
        <w:t xml:space="preserve">e)</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reflexividade</w:t>
      </w:r>
      <w:r>
        <w:rPr>
          <w:rFonts w:ascii="Barlow" w:hAnsi="Barlow" w:cs="Barlow" w:eastAsia="Barlow"/>
          <w:color w:val="0F2440"/>
          <w:sz w:val="20"/>
          <w:szCs w:val="20"/>
        </w:rPr>
        <w:t xml:space="preserve">: impressões, desconfortos e possíveis efeitos da presença do pesquisador.</w:t>
      </w:r>
    </w:p>
    <w:p>
      <w:pPr>
        <w:pStyle w:val="Heading1"/>
        <w:pBdr>
          <w:bottom w:val="single" w:sz="12" w:space="10" w:color="007614"/>
        </w:pBdr>
        <w:spacing w:before="120" w:after="380" w:line="600" w:lineRule="exact"/>
        <w:jc w:val="left"/>
      </w:pPr>
      <w:bookmarkStart w:id="58" w:name="_h48"/>
      <w:r>
        <w:rPr>
          <w:rFonts w:ascii="Barlow Condensed" w:hAnsi="Barlow Condensed" w:cs="Barlow Condensed" w:eastAsia="Barlow Condensed"/>
          <w:b/>
          <w:bCs/>
          <w:color w:val="007614"/>
          <w:sz w:val="52"/>
          <w:szCs w:val="52"/>
        </w:rPr>
        <w:t xml:space="preserve">APÊNDICE C – </w:t>
      </w:r>
      <w:r>
        <w:rPr>
          <w:rFonts w:ascii="Barlow Condensed" w:hAnsi="Barlow Condensed" w:cs="Barlow Condensed" w:eastAsia="Barlow Condensed"/>
          <w:b/>
          <w:bCs/>
          <w:color w:val="01366F"/>
          <w:sz w:val="52"/>
          <w:szCs w:val="52"/>
        </w:rPr>
        <w:t xml:space="preserve">FICHA DE RASTREAMENTO DE TRAJETÓRIA</w:t>
      </w:r>
      <w:bookmarkEnd w:id="58"/>
    </w:p>
    <w:p>
      <w:pPr>
        <w:spacing w:before="0" w:after="140" w:line="300" w:lineRule="auto"/>
        <w:jc w:val="both"/>
      </w:pPr>
      <w:r>
        <w:rPr>
          <w:rFonts w:ascii="Barlow" w:hAnsi="Barlow" w:cs="Barlow" w:eastAsia="Barlow"/>
          <w:color w:val="0F2440"/>
          <w:sz w:val="20"/>
          <w:szCs w:val="20"/>
        </w:rPr>
        <w:t xml:space="preserve">Cada episódio rastreado (alerta da vigilância popular ou demanda do Plano Popular) é registrado nesta ficha, preenchida a partir de documentos e de entrevistas curtas com os atores envolvidos.</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a)</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identificação</w:t>
      </w:r>
      <w:r>
        <w:rPr>
          <w:rFonts w:ascii="Barlow" w:hAnsi="Barlow" w:cs="Barlow" w:eastAsia="Barlow"/>
          <w:color w:val="0F2440"/>
          <w:sz w:val="20"/>
          <w:szCs w:val="20"/>
        </w:rPr>
        <w:t xml:space="preserve">: código do episódio, setor, tipo (alerta ou demanda), data do registro inicial;</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b)</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origem</w:t>
      </w:r>
      <w:r>
        <w:rPr>
          <w:rFonts w:ascii="Barlow" w:hAnsi="Barlow" w:cs="Barlow" w:eastAsia="Barlow"/>
          <w:color w:val="0F2440"/>
          <w:sz w:val="20"/>
          <w:szCs w:val="20"/>
        </w:rPr>
        <w:t xml:space="preserve">: como o problema foi percebido, por quem e com que categorias foi descrito;</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c)</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percurso</w:t>
      </w:r>
      <w:r>
        <w:rPr>
          <w:rFonts w:ascii="Barlow" w:hAnsi="Barlow" w:cs="Barlow" w:eastAsia="Barlow"/>
          <w:color w:val="0F2440"/>
          <w:sz w:val="20"/>
          <w:szCs w:val="20"/>
        </w:rPr>
        <w:t xml:space="preserve">: cada passagem entre atores (pesquisador popular, Sala, UBS, vigilância, gestão), com data, forma de comunicação e tradução realizada;</w:t>
      </w:r>
    </w:p>
    <w:p>
      <w:pPr>
        <w:spacing w:before="0" w:after="90" w:line="300" w:lineRule="auto"/>
        <w:ind w:left="420" w:hanging="300"/>
        <w:jc w:val="both"/>
      </w:pPr>
      <w:r>
        <w:rPr>
          <w:rFonts w:ascii="Barlow Condensed SemiBold" w:hAnsi="Barlow Condensed SemiBold" w:cs="Barlow Condensed SemiBold" w:eastAsia="Barlow Condensed SemiBold"/>
          <w:color w:val="007614"/>
          <w:sz w:val="20"/>
          <w:szCs w:val="20"/>
        </w:rPr>
        <w:t xml:space="preserve">d)</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desfecho</w:t>
      </w:r>
      <w:r>
        <w:rPr>
          <w:rFonts w:ascii="Barlow" w:hAnsi="Barlow" w:cs="Barlow" w:eastAsia="Barlow"/>
          <w:color w:val="0F2440"/>
          <w:sz w:val="20"/>
          <w:szCs w:val="20"/>
        </w:rPr>
        <w:t xml:space="preserve">: resposta, recusa, reclassificação ou ausência de resposta, com data e justificativa apresentada;</w:t>
      </w:r>
    </w:p>
    <w:p>
      <w:pPr>
        <w:spacing w:before="0" w:after="90" w:line="300" w:lineRule="auto"/>
        <w:ind w:left="420" w:hanging="300"/>
        <w:jc w:val="both"/>
        <w:sectPr>
          <w:headerReference w:type="default" r:id="rId30"/>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Condensed SemiBold" w:hAnsi="Barlow Condensed SemiBold" w:cs="Barlow Condensed SemiBold" w:eastAsia="Barlow Condensed SemiBold"/>
          <w:color w:val="007614"/>
          <w:sz w:val="20"/>
          <w:szCs w:val="20"/>
        </w:rPr>
        <w:t xml:space="preserve">e)</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interpretação</w:t>
      </w:r>
      <w:r>
        <w:rPr>
          <w:rFonts w:ascii="Barlow" w:hAnsi="Barlow" w:cs="Barlow" w:eastAsia="Barlow"/>
          <w:color w:val="0F2440"/>
          <w:sz w:val="20"/>
          <w:szCs w:val="20"/>
        </w:rPr>
        <w:t xml:space="preserve">: condições que explicam o desfecho, segundo cada ator e segundo a análise da equipe, e configuração contexto–mecanismo–resultado associada.</w:t>
      </w:r>
    </w:p>
    <w:p>
      <w:pPr>
        <w:pStyle w:val="Heading1"/>
        <w:pBdr>
          <w:bottom w:val="single" w:sz="12" w:space="10" w:color="007614"/>
        </w:pBdr>
        <w:spacing w:before="120" w:after="380" w:line="600" w:lineRule="exact"/>
        <w:jc w:val="left"/>
      </w:pPr>
      <w:bookmarkStart w:id="59" w:name="_h49"/>
      <w:r>
        <w:rPr>
          <w:rFonts w:ascii="Barlow Condensed" w:hAnsi="Barlow Condensed" w:cs="Barlow Condensed" w:eastAsia="Barlow Condensed"/>
          <w:b/>
          <w:bCs/>
          <w:color w:val="007614"/>
          <w:sz w:val="52"/>
          <w:szCs w:val="52"/>
        </w:rPr>
        <w:t xml:space="preserve">APÊNDICE D – </w:t>
      </w:r>
      <w:r>
        <w:rPr>
          <w:rFonts w:ascii="Barlow Condensed" w:hAnsi="Barlow Condensed" w:cs="Barlow Condensed" w:eastAsia="Barlow Condensed"/>
          <w:b/>
          <w:bCs/>
          <w:color w:val="01366F"/>
          <w:sz w:val="52"/>
          <w:szCs w:val="52"/>
        </w:rPr>
        <w:t xml:space="preserve">QUESTIONÁRIO MISTO SOBRE DETERMINANTES SOCIAIS DA SAÚDE</w:t>
      </w:r>
      <w:bookmarkEnd w:id="59"/>
    </w:p>
    <w:p>
      <w:pPr>
        <w:spacing w:before="0" w:after="140" w:line="300" w:lineRule="auto"/>
        <w:jc w:val="both"/>
      </w:pPr>
      <w:r>
        <w:rPr>
          <w:rFonts w:ascii="Barlow" w:hAnsi="Barlow" w:cs="Barlow" w:eastAsia="Barlow"/>
          <w:color w:val="0F2440"/>
          <w:sz w:val="20"/>
          <w:szCs w:val="20"/>
        </w:rPr>
        <w:t xml:space="preserve">Questionário para entrevista face a face, aplicado por entrevistador treinado a um morador de 18 anos ou mais, preferencialmente a pessoa responsável pelo domicílio ou seu cônjuge. Todas as perguntas admitem as respostas "não sabe" (código 98) e "não quis responder" (código 99), que não são lidas ao entrevistado. A coluna "Origem" indica o instrumento de referência. A indicação "adaptado" sinaliza alteração de redação em relação à fonte; os itens adaptados e os itens próprios passarão por entrevistas cognitivas antes do piloto. Esta é a versão 1.0, sujeita a ajustes após o teste cognitivo.</w:t>
      </w: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BLOCO A – </w:t>
      </w:r>
      <w:r>
        <w:rPr>
          <w:rFonts w:ascii="Barlow Condensed SemiBold" w:hAnsi="Barlow Condensed SemiBold" w:cs="Barlow Condensed SemiBold" w:eastAsia="Barlow Condensed SemiBold"/>
          <w:color w:val="01366F"/>
          <w:sz w:val="21"/>
          <w:szCs w:val="21"/>
        </w:rPr>
        <w:t xml:space="preserve">CONTROLE (preenchido pelo entrevistador)</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619"/>
        <w:gridCol w:w="3803"/>
        <w:gridCol w:w="2830"/>
        <w:gridCol w:w="1592"/>
      </w:tblGrid>
      <w:tr>
        <w:trPr>
          <w:tblHeader/>
          <w:cantSplit/>
        </w:trPr>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Nº</w:t>
            </w:r>
          </w:p>
        </w:tc>
        <w:tc>
          <w:tcPr>
            <w:tcW w:w="380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Pergunta</w:t>
            </w:r>
          </w:p>
        </w:tc>
        <w:tc>
          <w:tcPr>
            <w:tcW w:w="283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Opções de resposta</w:t>
            </w:r>
          </w:p>
        </w:tc>
        <w:tc>
          <w:tcPr>
            <w:tcW w:w="159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Origem</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A1</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Setor do território</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Trecho 1; 2 Trecho 2; 3 Trecho 3; 4 Pôr do Sol</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Próprio</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A2</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Código do setor censitário</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Código IBGE (Censo 2022)</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IBGE</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A3</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Número do domicílio na listagem</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Número</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Próprio</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A4</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Código do entrevistador</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Código</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Próprio</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A5</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Data e hora de início</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dd/mm/aaaa; hh:mm</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Próprio</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A6</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Resultado da visita</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entrevista realizada; 2 recusa; 3 morador ausente após três visitas; 4 domicílio vago ou não residencial; 5 outro</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Próprio</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A7</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 Termo de Consentimento foi lido, as dúvidas esclarecidas e o consentimento registrado?</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sim; 2 não (encerrar)</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Próprio</w:t>
            </w:r>
          </w:p>
        </w:tc>
      </w:tr>
    </w:tbl>
    <w:p>
      <w:pPr>
        <w:spacing w:before="0" w:after="0" w:line="220" w:lineRule="exact"/>
        <w:jc w:val="both"/>
      </w:pP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BLOCO B – </w:t>
      </w:r>
      <w:r>
        <w:rPr>
          <w:rFonts w:ascii="Barlow Condensed SemiBold" w:hAnsi="Barlow Condensed SemiBold" w:cs="Barlow Condensed SemiBold" w:eastAsia="Barlow Condensed SemiBold"/>
          <w:color w:val="01366F"/>
          <w:sz w:val="21"/>
          <w:szCs w:val="21"/>
        </w:rPr>
        <w:t xml:space="preserve">MORADORES E RESPONDENTE</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619"/>
        <w:gridCol w:w="3803"/>
        <w:gridCol w:w="2830"/>
        <w:gridCol w:w="1592"/>
      </w:tblGrid>
      <w:tr>
        <w:trPr>
          <w:tblHeader/>
          <w:cantSplit/>
        </w:trPr>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Nº</w:t>
            </w:r>
          </w:p>
        </w:tc>
        <w:tc>
          <w:tcPr>
            <w:tcW w:w="380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Pergunta</w:t>
            </w:r>
          </w:p>
        </w:tc>
        <w:tc>
          <w:tcPr>
            <w:tcW w:w="283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Opções de resposta</w:t>
            </w:r>
          </w:p>
        </w:tc>
        <w:tc>
          <w:tcPr>
            <w:tcW w:w="159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Origem</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B1</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Quantas pessoas moram neste domicílio, incluindo o(a) Sr(a)?</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Número</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PNS 2019</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B2</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Quantas delas têm menos de 18 anos?</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Número (define a versão da EBIA)</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PNS 2019</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B3</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Quantas têm 60 anos ou mais?</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Número</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PNS 2019</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B4</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Algum morador tem deficiência ou limitação permanente que dificulte as atividades do dia a dia?</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sim; 2 não</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Próprio</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B5</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Qual é a sua idade?</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Anos completos</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PNS 2019</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B6</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Qual é o seu sexo?</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masculino; 2 feminino</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PNS 2019</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B7</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Como o(a) Sr(a) se identifica quanto ao gênero?</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mulher; 2 homem; 3 mulher trans ou travesti; 4 homem trans; 5 pessoa não binária; 6 outro</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PDAD-A 2023 (adaptado)</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B8</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 sua cor ou raça é:</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branca; 2 preta; 3 amarela; 4 parda; 5 indígena</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IBGE</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B9</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Até que série ou ano o(a) Sr(a) estudou?</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0 sem instrução; 1 fundamental incompleto; 2 fundamental completo; 3 médio incompleto; 4 médio completo; 5 superior incompleto; 6 superior completo</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ABEP 2026</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B10</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O(a) Sr(a) é a pessoa responsável pelo domicílio?</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sim (ir para B12); 2 não</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Próprio</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B11</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Até que série ou ano estudou a pessoa responsável pelo domicílio?</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Mesmas opções de B9</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ABEP 2026</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B12</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Há quanto tempo o(a) Sr(a) mora no Sol Nascente/Pôr do Sol?</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Anos (menos de 1 = 0)</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Próprio</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B13</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Antes de morar aqui, onde o(a) Sr(a) morava?</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sempre morou aqui; 2 outra Região Administrativa do DF (qual?); 3 outro estado (qual?)</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Próprio</w:t>
            </w:r>
          </w:p>
        </w:tc>
      </w:tr>
    </w:tbl>
    <w:p>
      <w:pPr>
        <w:spacing w:before="0" w:after="0" w:line="220" w:lineRule="exact"/>
        <w:jc w:val="both"/>
      </w:pP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BLOCO C – </w:t>
      </w:r>
      <w:r>
        <w:rPr>
          <w:rFonts w:ascii="Barlow Condensed SemiBold" w:hAnsi="Barlow Condensed SemiBold" w:cs="Barlow Condensed SemiBold" w:eastAsia="Barlow Condensed SemiBold"/>
          <w:color w:val="01366F"/>
          <w:sz w:val="21"/>
          <w:szCs w:val="21"/>
        </w:rPr>
        <w:t xml:space="preserve">TRABALHO, RENDA E PROTEÇÃO SOCIAL</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619"/>
        <w:gridCol w:w="3803"/>
        <w:gridCol w:w="2830"/>
        <w:gridCol w:w="1592"/>
      </w:tblGrid>
      <w:tr>
        <w:trPr>
          <w:tblHeader/>
          <w:cantSplit/>
        </w:trPr>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Nº</w:t>
            </w:r>
          </w:p>
        </w:tc>
        <w:tc>
          <w:tcPr>
            <w:tcW w:w="380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Pergunta</w:t>
            </w:r>
          </w:p>
        </w:tc>
        <w:tc>
          <w:tcPr>
            <w:tcW w:w="283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Opções de resposta</w:t>
            </w:r>
          </w:p>
        </w:tc>
        <w:tc>
          <w:tcPr>
            <w:tcW w:w="159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Origem</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C1</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Na semana passada, o(a) Sr(a) trabalhou ou fez algum bico?</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sim, com carteira assinada; 2 sim, sem carteira; 3 sim, por conta própria ou bico; 4 sim, servidor público; 5 não, mas procurou trabalho; 6 não e não procurou</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PNS 2019 (adaptado)</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C2</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Nos últimos 12 meses, algum morador perdeu o trabalho ou teve redução importante da renda?</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sim; 2 não</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Próprio</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C3</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Somando tudo o que os moradores receberam no mês passado (salários, bicos, aposentadorias e benefícios), qual foi a renda total do domicílio?</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Valor em R$; se não souber, faixa: 1 até 1 salário mínimo; 2 mais de 1 a 2; 3 mais de 2 a 3; 4 mais de 3 a 5; 5 mais de 5</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PDAD-A 2023 (adaptado)</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C4</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Algum morador recebe o Bolsa Família?</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sim; 2 não</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Próprio</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C5</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Algum morador recebe o Benefício de Prestação Continuada (BPC)?</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sim; 2 não</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Próprio</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C6</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 domicílio está inscrito no Cadastro Único?</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sim; 2 não; 98 não sabe</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Próprio</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C7</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Nos últimos 12 meses, houve alguma vez em que não foi possível pagar o aluguel, a conta de água ou a conta de luz?</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sim; 2 não</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Próprio (domínio AHC)</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C8</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Nos últimos 12 meses, a água ou a luz deste domicílio foi cortada por falta de pagamento?</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sim; 2 não</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Próprio (domínio AHC)</w:t>
            </w:r>
          </w:p>
        </w:tc>
      </w:tr>
    </w:tbl>
    <w:p>
      <w:pPr>
        <w:spacing w:before="0" w:after="0" w:line="220" w:lineRule="exact"/>
        <w:jc w:val="both"/>
      </w:pP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BLOCO D – </w:t>
      </w:r>
      <w:r>
        <w:rPr>
          <w:rFonts w:ascii="Barlow Condensed SemiBold" w:hAnsi="Barlow Condensed SemiBold" w:cs="Barlow Condensed SemiBold" w:eastAsia="Barlow Condensed SemiBold"/>
          <w:color w:val="01366F"/>
          <w:sz w:val="21"/>
          <w:szCs w:val="21"/>
        </w:rPr>
        <w:t xml:space="preserve">DOMICÍLIO, SANEAMENTO E ENTORNO</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619"/>
        <w:gridCol w:w="3803"/>
        <w:gridCol w:w="2830"/>
        <w:gridCol w:w="1592"/>
      </w:tblGrid>
      <w:tr>
        <w:trPr>
          <w:tblHeader/>
          <w:cantSplit/>
        </w:trPr>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Nº</w:t>
            </w:r>
          </w:p>
        </w:tc>
        <w:tc>
          <w:tcPr>
            <w:tcW w:w="380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Pergunta</w:t>
            </w:r>
          </w:p>
        </w:tc>
        <w:tc>
          <w:tcPr>
            <w:tcW w:w="283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Opções de resposta</w:t>
            </w:r>
          </w:p>
        </w:tc>
        <w:tc>
          <w:tcPr>
            <w:tcW w:w="159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Origem</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D1</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Este domicílio é:</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próprio, já pago; 2 próprio, ainda pagando; 3 alugado; 4 cedido; 5 ocupação; 6 outro</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PNS 2019; PDAD-A 2023</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D2</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Qual é o material que predomina nas paredes externas?</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alvenaria com revestimento; 2 alvenaria sem revestimento; 3 madeira apropriada para construção; 4 madeira aproveitada ou taipa; 5 outro</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PNS 2019</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D3</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Quantos cômodos são usados para dormir?</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Número</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PNS 2019</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D4</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Quantos banheiros de uso exclusivo dos moradores, com chuveiro e vaso sanitário, existem no domicílio?</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0; 1; 2; 3; 4 ou mais</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ABEP 2026</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D5</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 domicílio é atendido por rede geral de distribuição de água?</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sim; 2 não</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ABEP 2026</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D6</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Com que frequência a água da rede geral chega a este domicílio?</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diariamente; 2 de 4 a 6 dias por semana; 3 de 1 a 3 dias por semana; 4 outra; 5 não se aplica</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PNS 2019 (adaptado)</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D7</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Para onde vai o esgoto do banheiro?</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rede geral; 2 fossa séptica ligada à rede; 3 fossa séptica não ligada à rede; 4 fossa rudimentar; 5 vala ou céu aberto; 6 outro</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PNS 2019</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D8</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 que é feito com o lixo deste domicílio?</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coletado diretamente; 2 colocado em caçamba; 3 queimado ou enterrado; 4 jogado em terreno baldio ou na rua; 5 outro</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PNS 2019</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D9</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Próximo ao domicílio existem ruas que alagam?</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sim; 2 não</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PDAD-A 2023</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D10</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Próximo ao domicílio existe esgoto a céu aberto?</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sim; 2 não</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PDAD-A 2023</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D11</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 rua principal de acesso a este domicílio tem iluminação?</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sim; 2 não</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PDAD-A 2023</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D12</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Nas proximidades do domicílio existe policiamento regular?</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sim; 2 não</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PDAD-A 2023</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D13</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Nos últimos 12 meses, este domicílio foi atingido por alagamento, enxurrada ou erosão?</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sim; 2 não</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Próprio</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D14</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Nos últimos 12 meses, o calor dentro de casa prejudicou o sono ou a saúde de algum morador?</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nunca; 2 às vezes; 3 frequentemente</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Próprio</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D15</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Quantos destes itens existem no domicílio: a) automóvel de passeio; b) geladeira; c) microcomputador (computador de mesa, notebook ou similar); d) máquina de lavar louça; e) máquina de lavar roupa (exceto tanquinho); f) forno de micro-ondas?</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Para cada item: 0; 1; 2; 3; 4 ou mais</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ABEP 2026</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D16</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Há trabalhador(a) doméstico(a) mensalista no domicílio, que trabalhe cinco dias ou mais por semana?</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sim; 2 não</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ABEP 2026</w:t>
            </w:r>
          </w:p>
        </w:tc>
      </w:tr>
    </w:tbl>
    <w:p>
      <w:pPr>
        <w:spacing w:before="0" w:after="0" w:line="220" w:lineRule="exact"/>
        <w:jc w:val="both"/>
      </w:pP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BLOCO E – </w:t>
      </w:r>
      <w:r>
        <w:rPr>
          <w:rFonts w:ascii="Barlow Condensed SemiBold" w:hAnsi="Barlow Condensed SemiBold" w:cs="Barlow Condensed SemiBold" w:eastAsia="Barlow Condensed SemiBold"/>
          <w:color w:val="01366F"/>
          <w:sz w:val="21"/>
          <w:szCs w:val="21"/>
        </w:rPr>
        <w:t xml:space="preserve">ÁGUA (tradução preliminar da HWISE-4, a adaptar)</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619"/>
        <w:gridCol w:w="3803"/>
        <w:gridCol w:w="2830"/>
        <w:gridCol w:w="1592"/>
      </w:tblGrid>
      <w:tr>
        <w:trPr>
          <w:tblHeader/>
          <w:cantSplit/>
        </w:trPr>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Nº</w:t>
            </w:r>
          </w:p>
        </w:tc>
        <w:tc>
          <w:tcPr>
            <w:tcW w:w="380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Pergunta</w:t>
            </w:r>
          </w:p>
        </w:tc>
        <w:tc>
          <w:tcPr>
            <w:tcW w:w="283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Opções de resposta</w:t>
            </w:r>
          </w:p>
        </w:tc>
        <w:tc>
          <w:tcPr>
            <w:tcW w:w="159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Origem</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E1</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Nas últimas 4 semanas, com que frequência o(a) Sr(a) ou alguém do domicílio se preocupou por não ter água suficiente para todas as necessidades da casa?</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0 nunca; 1 raramente (1 a 2 vezes); 2 às vezes (3 a 10 vezes); 3 frequentemente (11 a 20 vezes); 3 sempre (mais de 20 vezes)</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HWISE-4</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E2</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Nas últimas 4 semanas, com que frequência vocês tiveram de mudar planos ou atividades por problemas com a água?</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0 nunca; 1 raramente (1 a 2 vezes); 2 às vezes (3 a 10 vezes); 3 frequentemente (11 a 20 vezes); 3 sempre (mais de 20 vezes)</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HWISE-4</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E3</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Nas últimas 4 semanas, com que frequência não houve água suficiente para beber, como gostariam?</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0 nunca; 1 raramente (1 a 2 vezes); 2 às vezes (3 a 10 vezes); 3 frequentemente (11 a 20 vezes); 3 sempre (mais de 20 vezes)</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HWISE-4</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E4</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Nas últimas 4 semanas, com que frequência não houve água suficiente para lavar as mãos depois de atividades sujas, como usar o banheiro ou trocar fraldas?</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0 nunca; 1 raramente (1 a 2 vezes); 2 às vezes (3 a 10 vezes); 3 frequentemente (11 a 20 vezes); 3 sempre (mais de 20 vezes)</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HWISE-4</w:t>
            </w:r>
          </w:p>
        </w:tc>
      </w:tr>
    </w:tbl>
    <w:p>
      <w:pPr>
        <w:spacing w:before="0" w:after="0" w:line="220" w:lineRule="exact"/>
        <w:jc w:val="both"/>
      </w:pPr>
    </w:p>
    <w:p>
      <w:pPr>
        <w:spacing w:before="0" w:after="140" w:line="300" w:lineRule="auto"/>
        <w:jc w:val="both"/>
      </w:pPr>
      <w:r>
        <w:rPr>
          <w:rFonts w:ascii="Barlow" w:hAnsi="Barlow" w:cs="Barlow" w:eastAsia="Barlow"/>
          <w:color w:val="0F2440"/>
          <w:sz w:val="20"/>
          <w:szCs w:val="20"/>
        </w:rPr>
        <w:t xml:space="preserve">Pontuação da HWISE-4: soma de 0 a 12; escore igual ou superior a 4 indica insegurança hídrica (YOUNG et al., 2021).</w:t>
      </w: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BLOCO F – </w:t>
      </w:r>
      <w:r>
        <w:rPr>
          <w:rFonts w:ascii="Barlow Condensed SemiBold" w:hAnsi="Barlow Condensed SemiBold" w:cs="Barlow Condensed SemiBold" w:eastAsia="Barlow Condensed SemiBold"/>
          <w:color w:val="01366F"/>
          <w:sz w:val="21"/>
          <w:szCs w:val="21"/>
        </w:rPr>
        <w:t xml:space="preserve">SEGURANÇA ALIMENTAR</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619"/>
        <w:gridCol w:w="3803"/>
        <w:gridCol w:w="2830"/>
        <w:gridCol w:w="1592"/>
      </w:tblGrid>
      <w:tr>
        <w:trPr>
          <w:tblHeader/>
          <w:cantSplit/>
        </w:trPr>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Nº</w:t>
            </w:r>
          </w:p>
        </w:tc>
        <w:tc>
          <w:tcPr>
            <w:tcW w:w="380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Pergunta</w:t>
            </w:r>
          </w:p>
        </w:tc>
        <w:tc>
          <w:tcPr>
            <w:tcW w:w="283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Opções de resposta</w:t>
            </w:r>
          </w:p>
        </w:tc>
        <w:tc>
          <w:tcPr>
            <w:tcW w:w="159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Origem</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F1 a F14</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Aplicar a Escala Brasileira de Insegurança Alimentar (EBIA) conforme o Anexo A. Os itens F9 a F14 só se aplicam a domicílios com moradores de menos de 18 anos (B2 maior que 0).</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sim; 2 não (em cada item)</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EBIA (IBGE, 2025)</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F15</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Nos últimos 12 meses, o domicílio recebeu cesta básica ou doação de alimentos?</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sim; 2 não</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Próprio</w:t>
            </w:r>
          </w:p>
        </w:tc>
      </w:tr>
    </w:tbl>
    <w:p>
      <w:pPr>
        <w:spacing w:before="0" w:after="0" w:line="220" w:lineRule="exact"/>
        <w:jc w:val="both"/>
      </w:pPr>
    </w:p>
    <w:p>
      <w:pPr>
        <w:spacing w:before="0" w:after="140" w:line="300" w:lineRule="auto"/>
        <w:jc w:val="both"/>
      </w:pPr>
      <w:r>
        <w:rPr>
          <w:rFonts w:ascii="Barlow" w:hAnsi="Barlow" w:cs="Barlow" w:eastAsia="Barlow"/>
          <w:color w:val="0F2440"/>
          <w:sz w:val="20"/>
          <w:szCs w:val="20"/>
        </w:rPr>
        <w:t xml:space="preserve">Para o bloco G, o entrevistador explica: "Vou ler algumas frases sobre a sua vizinhança, isto é, a área que dá para percorrer a pé em cerca de 10 minutos a partir da sua casa. Diga o quanto concorda com cada uma." Os itens G1 a G5 deverão ter a redação harmonizada com a versão validada no ELSA-Brasil (SANTOS, S. M. et al., 2013) antes do teste cognitivo.</w:t>
      </w: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BLOCO G – </w:t>
      </w:r>
      <w:r>
        <w:rPr>
          <w:rFonts w:ascii="Barlow Condensed SemiBold" w:hAnsi="Barlow Condensed SemiBold" w:cs="Barlow Condensed SemiBold" w:eastAsia="Barlow Condensed SemiBold"/>
          <w:color w:val="01366F"/>
          <w:sz w:val="21"/>
          <w:szCs w:val="21"/>
        </w:rPr>
        <w:t xml:space="preserve">VIZINHANÇA, SEGURANÇA E COESÃO</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619"/>
        <w:gridCol w:w="3803"/>
        <w:gridCol w:w="2830"/>
        <w:gridCol w:w="1592"/>
      </w:tblGrid>
      <w:tr>
        <w:trPr>
          <w:tblHeader/>
          <w:cantSplit/>
        </w:trPr>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Nº</w:t>
            </w:r>
          </w:p>
        </w:tc>
        <w:tc>
          <w:tcPr>
            <w:tcW w:w="380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Pergunta</w:t>
            </w:r>
          </w:p>
        </w:tc>
        <w:tc>
          <w:tcPr>
            <w:tcW w:w="283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Opções de resposta</w:t>
            </w:r>
          </w:p>
        </w:tc>
        <w:tc>
          <w:tcPr>
            <w:tcW w:w="159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Origem</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G1</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As pessoas desta vizinhança estão dispostas a ajudar seus vizinhos.</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concorda totalmente; 2 concorda; 3 nem concorda nem discorda; 4 discorda; 5 discorda totalmente</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ELSA-Brasil (adaptado)</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G2</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Esta é uma vizinhança unida.</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concorda totalmente; 2 concorda; 3 nem concorda nem discorda; 4 discorda; 5 discorda totalmente</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ELSA-Brasil (adaptado)</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G3</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Pode-se confiar nas pessoas desta vizinhança.</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concorda totalmente; 2 concorda; 3 nem concorda nem discorda; 4 discorda; 5 discorda totalmente</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ELSA-Brasil (adaptado)</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G4</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As pessoas desta vizinhança geralmente não se dão bem umas com as outras.</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concorda totalmente; 2 concorda; 3 nem concorda nem discorda; 4 discorda; 5 discorda totalmente (pontuação invertida)</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ELSA-Brasil (adaptado)</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G5</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As pessoas desta vizinhança não têm os mesmos valores.</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concorda totalmente; 2 concorda; 3 nem concorda nem discorda; 4 discorda; 5 discorda totalmente (pontuação invertida)</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ELSA-Brasil (adaptado)</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G6</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O(a) Sr(a) se sente seguro(a) andando na sua vizinhança durante o dia?</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sim; 2 não</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Próprio</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G7</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 à noite?</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sim; 2 não</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Próprio</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G8</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Nos últimos 6 meses, com que frequência houve brigas com armas, tiroteios ou outras formas de violência na sua vizinhança?</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nunca; 2 raramente; 3 às vezes; 4 frequentemente</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ELSA-Brasil (adaptado)</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G9</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Nos últimos 12 meses, algum morador deste domicílio foi vítima de assalto, furto, agressão ou outra violência na vizinhança?</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sim; 2 não</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ELSA-Brasil (adaptado)</w:t>
            </w:r>
          </w:p>
        </w:tc>
      </w:tr>
    </w:tbl>
    <w:p>
      <w:pPr>
        <w:spacing w:before="0" w:after="0" w:line="220" w:lineRule="exact"/>
        <w:jc w:val="both"/>
      </w:pP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BLOCO H – </w:t>
      </w:r>
      <w:r>
        <w:rPr>
          <w:rFonts w:ascii="Barlow Condensed SemiBold" w:hAnsi="Barlow Condensed SemiBold" w:cs="Barlow Condensed SemiBold" w:eastAsia="Barlow Condensed SemiBold"/>
          <w:color w:val="01366F"/>
          <w:sz w:val="21"/>
          <w:szCs w:val="21"/>
        </w:rPr>
        <w:t xml:space="preserve">APOIO SOCIAL E PARTICIPAÇÃO</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619"/>
        <w:gridCol w:w="3803"/>
        <w:gridCol w:w="2830"/>
        <w:gridCol w:w="1592"/>
      </w:tblGrid>
      <w:tr>
        <w:trPr>
          <w:tblHeader/>
          <w:cantSplit/>
        </w:trPr>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Nº</w:t>
            </w:r>
          </w:p>
        </w:tc>
        <w:tc>
          <w:tcPr>
            <w:tcW w:w="380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Pergunta</w:t>
            </w:r>
          </w:p>
        </w:tc>
        <w:tc>
          <w:tcPr>
            <w:tcW w:w="283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Opções de resposta</w:t>
            </w:r>
          </w:p>
        </w:tc>
        <w:tc>
          <w:tcPr>
            <w:tcW w:w="159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Origem</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H1</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Com quantos familiares ou parentes o(a) Sr(a) pode contar em momentos bons ou ruins?</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Número</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PNS 2019 (módulo M)</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H2</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Com quantos amigos próximos o(a) Sr(a) pode contar em momentos bons ou ruins?</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Número</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PNS 2019 (módulo M)</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H3</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Nos últimos 12 meses, com que frequência o(a) Sr(a) participou de: a) associação de moradores ou movimento social; b) atividades religiosas coletivas; c) conselho de saúde ou outro conselho; d) trabalho voluntário?</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Para cada item: 1 nunca; 2 uma vez no ano ou menos; 3 algumas vezes no ano; 4 uma vez por mês ou mais</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PNS 2019 (módulo M, adaptado)</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H4</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O(a) Sr(a) conhece ou já ouviu falar: a) da PICAPS; b) da Sala de Cooperação Social do seu setor; c) dos pesquisadores populares?</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Para cada item: 1 conhece; 2 já ouviu falar; 3 não conhece</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Próprio</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H5</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O(a) Sr(a) ou alguém deste domicílio já participou de alguma atividade da PICAPS, como reunião, cartografia ou oficina?</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sim; 2 não; 98 não sabe</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Próprio</w:t>
            </w:r>
          </w:p>
        </w:tc>
      </w:tr>
    </w:tbl>
    <w:p>
      <w:pPr>
        <w:spacing w:before="0" w:after="0" w:line="220" w:lineRule="exact"/>
        <w:jc w:val="both"/>
      </w:pP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BLOCO I – </w:t>
      </w:r>
      <w:r>
        <w:rPr>
          <w:rFonts w:ascii="Barlow Condensed SemiBold" w:hAnsi="Barlow Condensed SemiBold" w:cs="Barlow Condensed SemiBold" w:eastAsia="Barlow Condensed SemiBold"/>
          <w:color w:val="01366F"/>
          <w:sz w:val="21"/>
          <w:szCs w:val="21"/>
        </w:rPr>
        <w:t xml:space="preserve">DISCRIMINAÇÃO</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619"/>
        <w:gridCol w:w="3803"/>
        <w:gridCol w:w="2830"/>
        <w:gridCol w:w="1592"/>
      </w:tblGrid>
      <w:tr>
        <w:trPr>
          <w:tblHeader/>
          <w:cantSplit/>
        </w:trPr>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Nº</w:t>
            </w:r>
          </w:p>
        </w:tc>
        <w:tc>
          <w:tcPr>
            <w:tcW w:w="380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Pergunta</w:t>
            </w:r>
          </w:p>
        </w:tc>
        <w:tc>
          <w:tcPr>
            <w:tcW w:w="283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Opções de resposta</w:t>
            </w:r>
          </w:p>
        </w:tc>
        <w:tc>
          <w:tcPr>
            <w:tcW w:w="159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Origem</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I1</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Nos últimos 12 meses, o(a) Sr(a) foi tratado(a) de forma injusta ou discriminado(a): a) em serviços de saúde; b) ao procurar emprego ou no trabalho; c) por policiais; d) em lojas, bancos ou comércio; e) em escolas ou outros órgãos públicos; f) por vizinhos ou na comunidade?</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Para cada situação: 1 sim; 2 não</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EDE (adaptado)</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I2</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Se houve alguma dessas situações: por qual motivo o(a) Sr(a) acha que foi tratado(a) assim? (aceita mais de uma resposta)</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cor ou raça; 2 lugar onde mora; 3 renda ou classe social; 4 sexo; 5 orientação sexual ou identidade de gênero; 6 idade; 7 religião; 8 aparência ou modo de vestir; 9 deficiência; 10 outro</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EDE (adaptado)</w:t>
            </w:r>
          </w:p>
        </w:tc>
      </w:tr>
    </w:tbl>
    <w:p>
      <w:pPr>
        <w:spacing w:before="0" w:after="0" w:line="220" w:lineRule="exact"/>
        <w:jc w:val="both"/>
      </w:pP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BLOCO J – </w:t>
      </w:r>
      <w:r>
        <w:rPr>
          <w:rFonts w:ascii="Barlow Condensed SemiBold" w:hAnsi="Barlow Condensed SemiBold" w:cs="Barlow Condensed SemiBold" w:eastAsia="Barlow Condensed SemiBold"/>
          <w:color w:val="01366F"/>
          <w:sz w:val="21"/>
          <w:szCs w:val="21"/>
        </w:rPr>
        <w:t xml:space="preserve">SAÚDE E ACESSO AOS SERVIÇOS</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619"/>
        <w:gridCol w:w="3803"/>
        <w:gridCol w:w="2830"/>
        <w:gridCol w:w="1592"/>
      </w:tblGrid>
      <w:tr>
        <w:trPr>
          <w:tblHeader/>
          <w:cantSplit/>
        </w:trPr>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Nº</w:t>
            </w:r>
          </w:p>
        </w:tc>
        <w:tc>
          <w:tcPr>
            <w:tcW w:w="380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Pergunta</w:t>
            </w:r>
          </w:p>
        </w:tc>
        <w:tc>
          <w:tcPr>
            <w:tcW w:w="283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Opções de resposta</w:t>
            </w:r>
          </w:p>
        </w:tc>
        <w:tc>
          <w:tcPr>
            <w:tcW w:w="159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Origem</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J1</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Em geral, como o(a) Sr(a) avalia a sua saúde?</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muito boa; 2 boa; 3 regular; 4 ruim; 5 muito ruim</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PNS 2019 (N1)</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J2</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Algum médico já lhe deu o diagnóstico de hipertensão arterial (pressão alta)?</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sim; 2 não</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PNS 2019 (Q2a)</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J3</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Algum médico já lhe deu o diagnóstico de diabetes?</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sim; 2 não</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PNS 2019 (Q30a)</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J4</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Algum médico ou profissional de saúde mental já lhe deu o diagnóstico de depressão?</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sim; 2 não</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PNS 2019 (adaptado)</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J5</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 seu domicílio está cadastrado na unidade de Saúde da Família?</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sim; 2 não; 3 não sabe</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PNS 2019 (B1)</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J6</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Nos últimos doze meses, com que frequência o seu domicílio recebeu uma visita de algum Agente Comunitário ou algum membro da Equipe de Saúde da Família?</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mensalmente; 2 a cada 2 meses; 3 de 2 a 4 vezes; 4 uma vez; 5 nunca recebeu</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PNS 2019 (B3)</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J7</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Quando o(a) Sr(a) precisa de atendimento de saúde, onde costuma procurar primeiro?</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Unidade Básica de Saúde; 2 UPA ou pronto-socorro; 3 hospital público; 4 farmácia; 5 serviço particular ou plano de saúde; 6 outro</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PNS 2019 (adaptado)</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J8</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Nos últimos 12 meses, o(a) Sr(a) ou alguém deste domicílio precisou de atendimento de saúde e não conseguiu?</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sim; 2 não</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Próprio</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J9</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Se sim: por quê? (aceita mais de uma resposta)</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não havia vaga ou ficha; 2 demora; 3 distância ou falta de transporte; 4 horário incompatível com o trabalho; 5 não sabia onde procurar; 6 custo; 7 outro</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Próprio</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J10</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Nos últimos 12 meses, a falta de transporte ou de dinheiro para a passagem impediu o(a) Sr(a) de ir a consultas, ao trabalho ou a outros serviços?</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sim; 2 não</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Próprio (domínio AHC)</w:t>
            </w:r>
          </w:p>
        </w:tc>
      </w:tr>
    </w:tbl>
    <w:p>
      <w:pPr>
        <w:spacing w:before="0" w:after="0" w:line="220" w:lineRule="exact"/>
        <w:jc w:val="both"/>
      </w:pP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BLOCO K – </w:t>
      </w:r>
      <w:r>
        <w:rPr>
          <w:rFonts w:ascii="Barlow Condensed SemiBold" w:hAnsi="Barlow Condensed SemiBold" w:cs="Barlow Condensed SemiBold" w:eastAsia="Barlow Condensed SemiBold"/>
          <w:color w:val="01366F"/>
          <w:sz w:val="21"/>
          <w:szCs w:val="21"/>
        </w:rPr>
        <w:t xml:space="preserve">ACESSO DIGITAL</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619"/>
        <w:gridCol w:w="3803"/>
        <w:gridCol w:w="2830"/>
        <w:gridCol w:w="1592"/>
      </w:tblGrid>
      <w:tr>
        <w:trPr>
          <w:tblHeader/>
          <w:cantSplit/>
        </w:trPr>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Nº</w:t>
            </w:r>
          </w:p>
        </w:tc>
        <w:tc>
          <w:tcPr>
            <w:tcW w:w="380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Pergunta</w:t>
            </w:r>
          </w:p>
        </w:tc>
        <w:tc>
          <w:tcPr>
            <w:tcW w:w="283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Opções de resposta</w:t>
            </w:r>
          </w:p>
        </w:tc>
        <w:tc>
          <w:tcPr>
            <w:tcW w:w="159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Origem</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K1</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Algum morador tem telefone celular com acesso à internet?</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sim; 2 não</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Próprio</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K2</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 domicílio tem acesso à internet, por rede, wi-fi ou dados móveis?</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sim; 2 não</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PNS 2019 (adaptado)</w:t>
            </w:r>
          </w:p>
        </w:tc>
      </w:tr>
    </w:tbl>
    <w:p>
      <w:pPr>
        <w:spacing w:before="0" w:after="0" w:line="220" w:lineRule="exact"/>
        <w:jc w:val="both"/>
      </w:pPr>
    </w:p>
    <w:p>
      <w:pPr>
        <w:spacing w:before="0" w:after="140" w:line="300" w:lineRule="auto"/>
        <w:jc w:val="both"/>
      </w:pPr>
      <w:r>
        <w:rPr>
          <w:rFonts w:ascii="Barlow" w:hAnsi="Barlow" w:cs="Barlow" w:eastAsia="Barlow"/>
          <w:color w:val="0F2440"/>
          <w:sz w:val="20"/>
          <w:szCs w:val="20"/>
        </w:rPr>
        <w:t xml:space="preserve">Para o bloco L, o entrevistador lê cada pergunta sem sugerir respostas, registra a fala literalmente, usando as palavras do entrevistado, e pode estimular com "Pode me contar mais?".</w:t>
      </w: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BLOCO L – </w:t>
      </w:r>
      <w:r>
        <w:rPr>
          <w:rFonts w:ascii="Barlow Condensed SemiBold" w:hAnsi="Barlow Condensed SemiBold" w:cs="Barlow Condensed SemiBold" w:eastAsia="Barlow Condensed SemiBold"/>
          <w:color w:val="01366F"/>
          <w:sz w:val="21"/>
          <w:szCs w:val="21"/>
        </w:rPr>
        <w:t xml:space="preserve">QUESTÕES ABERTAS</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619"/>
        <w:gridCol w:w="3803"/>
        <w:gridCol w:w="2830"/>
        <w:gridCol w:w="1592"/>
      </w:tblGrid>
      <w:tr>
        <w:trPr>
          <w:tblHeader/>
          <w:cantSplit/>
        </w:trPr>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Nº</w:t>
            </w:r>
          </w:p>
        </w:tc>
        <w:tc>
          <w:tcPr>
            <w:tcW w:w="380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Pergunta</w:t>
            </w:r>
          </w:p>
        </w:tc>
        <w:tc>
          <w:tcPr>
            <w:tcW w:w="283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Finalidade</w:t>
            </w:r>
          </w:p>
        </w:tc>
        <w:tc>
          <w:tcPr>
            <w:tcW w:w="159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Questão de pesquisa</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L1</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Na sua opinião, quais são os principais problemas que afetam a saúde das pessoas que moram nesta rua ou quadra?</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Profundidade; comparação com a cartografia social</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Q1, Q3</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L2</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 que precisaria mudar neste bairro para que as pessoas vivessem com mais saúde?</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Profundidade</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Q1, Q3</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L3</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Conte uma situação recente em que o(a) Sr(a) ou alguém desta casa precisou de um serviço de saúde ou de outro serviço público. Como foi?</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Profundidade sobre a experiência com os serviços</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Q4</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L4</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Quando surge um problema no bairro, como lixo, esgoto, violência ou uma doença que se espalha, a quem as pessoas recorrem? O que costuma acontecer?</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Profundidade sobre os caminhos de resolução</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Q3, Q4</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L5</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Se o(a) Sr(a) pudesse levar um problema do bairro para a unidade de saúde ou para o governo, qual seria? Por quê?</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Comparação com o Plano Popular</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Q3</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L6</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Há algo mais sobre a vida e a saúde neste bairro que não perguntamos e que o(a) Sr(a) gostaria de dizer?</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Rede de segurança</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Todas</w:t>
            </w:r>
          </w:p>
        </w:tc>
      </w:tr>
    </w:tbl>
    <w:p>
      <w:pPr>
        <w:spacing w:before="0" w:after="0" w:line="220" w:lineRule="exact"/>
        <w:jc w:val="both"/>
      </w:pP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BLOCO M – </w:t>
      </w:r>
      <w:r>
        <w:rPr>
          <w:rFonts w:ascii="Barlow Condensed SemiBold" w:hAnsi="Barlow Condensed SemiBold" w:cs="Barlow Condensed SemiBold" w:eastAsia="Barlow Condensed SemiBold"/>
          <w:color w:val="01366F"/>
          <w:sz w:val="21"/>
          <w:szCs w:val="21"/>
        </w:rPr>
        <w:t xml:space="preserve">ENCERRAMENTO</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619"/>
        <w:gridCol w:w="3803"/>
        <w:gridCol w:w="2830"/>
        <w:gridCol w:w="1592"/>
      </w:tblGrid>
      <w:tr>
        <w:trPr>
          <w:tblHeader/>
          <w:cantSplit/>
        </w:trPr>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Nº</w:t>
            </w:r>
          </w:p>
        </w:tc>
        <w:tc>
          <w:tcPr>
            <w:tcW w:w="380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Pergunta</w:t>
            </w:r>
          </w:p>
        </w:tc>
        <w:tc>
          <w:tcPr>
            <w:tcW w:w="283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Opções de resposta</w:t>
            </w:r>
          </w:p>
        </w:tc>
        <w:tc>
          <w:tcPr>
            <w:tcW w:w="159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Origem</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M1</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Podemos entrar em contato novamente para convidá-lo(a) para uma conversa mais longa sobre a vida e a saúde no bairro? A participação é voluntária.</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 sim (registrar o contato em formulário separado); 2 não</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Próprio</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M2</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Entrega do folheto com os serviços de saúde, assistência social e proteção do território (realizada em todos os domicílios)</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entregue</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Próprio</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M3</w:t>
            </w:r>
          </w:p>
        </w:tc>
        <w:tc>
          <w:tcPr>
            <w:tcW w:w="38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Hora de término</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hh:mm</w:t>
            </w:r>
          </w:p>
        </w:tc>
        <w:tc>
          <w:tcPr>
            <w:tcW w:w="159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Próprio</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M4</w:t>
            </w:r>
          </w:p>
        </w:tc>
        <w:tc>
          <w:tcPr>
            <w:tcW w:w="38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Observações do entrevistador: presença de outras pessoas, interrupções, dificuldades de compreensão</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Texto</w:t>
            </w:r>
          </w:p>
        </w:tc>
        <w:tc>
          <w:tcPr>
            <w:tcW w:w="159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Próprio</w:t>
            </w:r>
          </w:p>
        </w:tc>
      </w:tr>
    </w:tbl>
    <w:p>
      <w:pPr>
        <w:spacing w:before="0" w:after="0" w:line="220" w:lineRule="exact"/>
        <w:jc w:val="both"/>
        <w:sectPr>
          <w:headerReference w:type="default" r:id="rId31"/>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p>
    <w:p>
      <w:pPr>
        <w:pStyle w:val="Heading1"/>
        <w:pBdr>
          <w:bottom w:val="single" w:sz="12" w:space="10" w:color="007614"/>
        </w:pBdr>
        <w:spacing w:before="120" w:after="380" w:line="600" w:lineRule="exact"/>
        <w:jc w:val="left"/>
      </w:pPr>
      <w:bookmarkStart w:id="60" w:name="_h50"/>
      <w:r>
        <w:rPr>
          <w:rFonts w:ascii="Barlow Condensed" w:hAnsi="Barlow Condensed" w:cs="Barlow Condensed" w:eastAsia="Barlow Condensed"/>
          <w:b/>
          <w:bCs/>
          <w:color w:val="007614"/>
          <w:sz w:val="52"/>
          <w:szCs w:val="52"/>
        </w:rPr>
        <w:t xml:space="preserve">ANEXO A – </w:t>
      </w:r>
      <w:r>
        <w:rPr>
          <w:rFonts w:ascii="Barlow Condensed" w:hAnsi="Barlow Condensed" w:cs="Barlow Condensed" w:eastAsia="Barlow Condensed"/>
          <w:b/>
          <w:bCs/>
          <w:color w:val="01366F"/>
          <w:sz w:val="52"/>
          <w:szCs w:val="52"/>
        </w:rPr>
        <w:t xml:space="preserve">ESCALA BRASILEIRA DE INSEGURANÇA ALIMENTAR (EBIA)</w:t>
      </w:r>
      <w:bookmarkEnd w:id="60"/>
    </w:p>
    <w:p>
      <w:pPr>
        <w:spacing w:before="0" w:after="140" w:line="300" w:lineRule="auto"/>
        <w:jc w:val="both"/>
      </w:pPr>
      <w:r>
        <w:rPr>
          <w:rFonts w:ascii="Barlow" w:hAnsi="Barlow" w:cs="Barlow" w:eastAsia="Barlow"/>
          <w:color w:val="0F2440"/>
          <w:sz w:val="20"/>
          <w:szCs w:val="20"/>
        </w:rPr>
        <w:t xml:space="preserve">Itens reproduzidos do manual de segurança alimentar da PNAD Contínua (IBGE, 2025), com resposta sim ou não e período de referência dos últimos três meses. Os itens 9 a 14 aplicam-se apenas a domicílios com moradores de menos de 18 anos. A classificação soma as respostas afirmativas, segundo os pontos de corte adotados pelo IBGE (IBGE, 2020).</w:t>
      </w:r>
    </w:p>
    <w:p>
      <w:pPr>
        <w:keepNext/>
        <w:spacing w:before="0" w:after="0" w:line="160" w:lineRule="exact"/>
        <w:jc w:val="both"/>
      </w:pP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884"/>
        <w:gridCol w:w="7960"/>
      </w:tblGrid>
      <w:tr>
        <w:trPr>
          <w:tblHeader/>
          <w:cantSplit/>
        </w:trPr>
        <w:tc>
          <w:tcPr>
            <w:tcW w:w="88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Item</w:t>
            </w:r>
          </w:p>
        </w:tc>
        <w:tc>
          <w:tcPr>
            <w:tcW w:w="796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Pergunta</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F1</w:t>
            </w:r>
          </w:p>
        </w:tc>
        <w:tc>
          <w:tcPr>
            <w:tcW w:w="796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Nos últimos três meses, os moradores deste domicílio tiveram a preocupação de que os alimentos acabassem antes de poderem comprar ou receber mais comida?</w:t>
            </w:r>
          </w:p>
        </w:tc>
      </w:tr>
      <w:tr>
        <w:trPr>
          <w:cantSplit/>
        </w:trPr>
        <w:tc>
          <w:tcPr>
            <w:tcW w:w="88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F2</w:t>
            </w:r>
          </w:p>
        </w:tc>
        <w:tc>
          <w:tcPr>
            <w:tcW w:w="796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Nos últimos três meses, os alimentos acabaram antes que os moradores deste domicílio tivessem dinheiro para comprar mais comida?</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F3</w:t>
            </w:r>
          </w:p>
        </w:tc>
        <w:tc>
          <w:tcPr>
            <w:tcW w:w="796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Nos últimos três meses, os moradores deste domicílio ficaram sem dinheiro para ter uma alimentação saudável e variada?</w:t>
            </w:r>
          </w:p>
        </w:tc>
      </w:tr>
      <w:tr>
        <w:trPr>
          <w:cantSplit/>
        </w:trPr>
        <w:tc>
          <w:tcPr>
            <w:tcW w:w="88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F4</w:t>
            </w:r>
          </w:p>
        </w:tc>
        <w:tc>
          <w:tcPr>
            <w:tcW w:w="796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Nos últimos três meses, os moradores deste domicílio comeram apenas alguns poucos tipos de alimentos que ainda tinham por que o dinheiro acabou?</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F5</w:t>
            </w:r>
          </w:p>
        </w:tc>
        <w:tc>
          <w:tcPr>
            <w:tcW w:w="796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Nos últimos três meses, algum morador de 18 anos ou mais de idade, deixou de fazer alguma refeição porque não havia dinheiro para comprar a comida?</w:t>
            </w:r>
          </w:p>
        </w:tc>
      </w:tr>
      <w:tr>
        <w:trPr>
          <w:cantSplit/>
        </w:trPr>
        <w:tc>
          <w:tcPr>
            <w:tcW w:w="88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F6</w:t>
            </w:r>
          </w:p>
        </w:tc>
        <w:tc>
          <w:tcPr>
            <w:tcW w:w="796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Nos últimos três meses, algum morador de 18 anos ou mais de idade, alguma vez comeu menos do que achou que devia porque não havia dinheiro para comprar comida?</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F7</w:t>
            </w:r>
          </w:p>
        </w:tc>
        <w:tc>
          <w:tcPr>
            <w:tcW w:w="796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Nos últimos três meses, algum morador de 18 anos ou mais de idade, alguma vez sentiu fome, mas não comeu porque não havia dinheiro para comprar comida?</w:t>
            </w:r>
          </w:p>
        </w:tc>
      </w:tr>
      <w:tr>
        <w:trPr>
          <w:cantSplit/>
        </w:trPr>
        <w:tc>
          <w:tcPr>
            <w:tcW w:w="88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F8</w:t>
            </w:r>
          </w:p>
        </w:tc>
        <w:tc>
          <w:tcPr>
            <w:tcW w:w="796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Nos últimos três meses, algum morador de 18 anos ou mais de idade, alguma vez, fez apenas uma refeição ao dia ou ficou um dia inteiro sem comer porque não havia dinheiro para comprar comida?</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F9</w:t>
            </w:r>
          </w:p>
        </w:tc>
        <w:tc>
          <w:tcPr>
            <w:tcW w:w="796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Nos últimos três meses, algum morador com menos de 18 anos de idade, alguma vez, deixou de ter uma alimentação saudável e variada porque não havia dinheiro para comprar comida?</w:t>
            </w:r>
          </w:p>
        </w:tc>
      </w:tr>
      <w:tr>
        <w:trPr>
          <w:cantSplit/>
        </w:trPr>
        <w:tc>
          <w:tcPr>
            <w:tcW w:w="88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F10</w:t>
            </w:r>
          </w:p>
        </w:tc>
        <w:tc>
          <w:tcPr>
            <w:tcW w:w="796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Nos últimos três meses, algum morador com menos de 18 anos de idade, alguma vez, comeu menos do que deveria porque não havia dinheiro para comprar a comida?</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F11</w:t>
            </w:r>
          </w:p>
        </w:tc>
        <w:tc>
          <w:tcPr>
            <w:tcW w:w="796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Nos últimos três meses, alguma vez, foi diminuída a quantidade de alimentos das refeições de algum morador com menos de 18 anos de idade, porque não havia dinheiro para comprar comida?</w:t>
            </w:r>
          </w:p>
        </w:tc>
      </w:tr>
      <w:tr>
        <w:trPr>
          <w:cantSplit/>
        </w:trPr>
        <w:tc>
          <w:tcPr>
            <w:tcW w:w="88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F12</w:t>
            </w:r>
          </w:p>
        </w:tc>
        <w:tc>
          <w:tcPr>
            <w:tcW w:w="796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Nos últimos três meses, alguma vez, algum morador com menos de 18 anos de idade, deixou de fazer alguma refeição, porque não havia dinheiro para comprar comida?</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F13</w:t>
            </w:r>
          </w:p>
        </w:tc>
        <w:tc>
          <w:tcPr>
            <w:tcW w:w="796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Nos últimos três meses, alguma vez, algum morador com menos de 18 anos de idade, sentiu fome, mas não comeu porque não havia dinheiro para comprar comida?</w:t>
            </w:r>
          </w:p>
        </w:tc>
      </w:tr>
      <w:tr>
        <w:trPr>
          <w:cantSplit/>
        </w:trPr>
        <w:tc>
          <w:tcPr>
            <w:tcW w:w="88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F14</w:t>
            </w:r>
          </w:p>
        </w:tc>
        <w:tc>
          <w:tcPr>
            <w:tcW w:w="796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Nos últimos três meses, alguma vez, algum morador com menos de 18 anos de idade, fez apenas uma refeição ao dia ou ficou sem comer por um dia inteiro porque não havia dinheiro para comprar comida?</w:t>
            </w:r>
          </w:p>
        </w:tc>
      </w:tr>
    </w:tbl>
    <w:p>
      <w:pPr>
        <w:spacing w:before="0" w:after="0" w:line="220" w:lineRule="exact"/>
        <w:jc w:val="both"/>
      </w:pPr>
    </w:p>
    <w:p>
      <w:pPr>
        <w:keepNext/>
        <w:spacing w:before="0" w:after="0" w:line="160" w:lineRule="exact"/>
        <w:jc w:val="both"/>
      </w:pP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3006"/>
        <w:gridCol w:w="2918"/>
        <w:gridCol w:w="2920"/>
      </w:tblGrid>
      <w:tr>
        <w:trPr>
          <w:tblHeader/>
          <w:cantSplit/>
        </w:trPr>
        <w:tc>
          <w:tcPr>
            <w:tcW w:w="300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Classificação</w:t>
            </w:r>
          </w:p>
        </w:tc>
        <w:tc>
          <w:tcPr>
            <w:tcW w:w="2918"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Domicílios com moradores de menos de 18 anos (0 a 14)</w:t>
            </w:r>
          </w:p>
        </w:tc>
        <w:tc>
          <w:tcPr>
            <w:tcW w:w="292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Domicílios sem moradores de menos de 18 anos (0 a 8)</w:t>
            </w:r>
          </w:p>
        </w:tc>
      </w:tr>
      <w:tr>
        <w:trPr>
          <w:cantSplit/>
        </w:trPr>
        <w:tc>
          <w:tcPr>
            <w:tcW w:w="300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Segurança alimentar</w:t>
            </w:r>
          </w:p>
        </w:tc>
        <w:tc>
          <w:tcPr>
            <w:tcW w:w="291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0</w:t>
            </w:r>
          </w:p>
        </w:tc>
        <w:tc>
          <w:tcPr>
            <w:tcW w:w="292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0</w:t>
            </w:r>
          </w:p>
        </w:tc>
      </w:tr>
      <w:tr>
        <w:trPr>
          <w:cantSplit/>
        </w:trPr>
        <w:tc>
          <w:tcPr>
            <w:tcW w:w="3006"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Insegurança alimentar leve</w:t>
            </w:r>
          </w:p>
        </w:tc>
        <w:tc>
          <w:tcPr>
            <w:tcW w:w="291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a 5</w:t>
            </w:r>
          </w:p>
        </w:tc>
        <w:tc>
          <w:tcPr>
            <w:tcW w:w="292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 a 3</w:t>
            </w:r>
          </w:p>
        </w:tc>
      </w:tr>
      <w:tr>
        <w:trPr>
          <w:cantSplit/>
        </w:trPr>
        <w:tc>
          <w:tcPr>
            <w:tcW w:w="300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Insegurança alimentar moderada</w:t>
            </w:r>
          </w:p>
        </w:tc>
        <w:tc>
          <w:tcPr>
            <w:tcW w:w="291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6 a 9</w:t>
            </w:r>
          </w:p>
        </w:tc>
        <w:tc>
          <w:tcPr>
            <w:tcW w:w="292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4 a 5</w:t>
            </w:r>
          </w:p>
        </w:tc>
      </w:tr>
      <w:tr>
        <w:trPr>
          <w:cantSplit/>
        </w:trPr>
        <w:tc>
          <w:tcPr>
            <w:tcW w:w="3006" w:type="dxa"/>
            <w:shd w:val="clear" w:color="auto" w:fill="E9F2EB"/>
            <w:vAlign w:val="top"/>
          </w:tcPr>
          <w:p>
            <w:pPr>
              <w:keepNext/>
              <w:spacing w:before="0" w:after="0" w:line="252" w:lineRule="auto"/>
              <w:jc w:val="left"/>
            </w:pPr>
            <w:r>
              <w:rPr>
                <w:rFonts w:ascii="Barlow SemiBold" w:hAnsi="Barlow SemiBold" w:cs="Barlow SemiBold" w:eastAsia="Barlow SemiBold"/>
                <w:color w:val="01366F"/>
                <w:sz w:val="17"/>
                <w:szCs w:val="17"/>
              </w:rPr>
              <w:t xml:space="preserve">Insegurança alimentar grave</w:t>
            </w:r>
          </w:p>
        </w:tc>
        <w:tc>
          <w:tcPr>
            <w:tcW w:w="2918"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10 a 14</w:t>
            </w:r>
          </w:p>
        </w:tc>
        <w:tc>
          <w:tcPr>
            <w:tcW w:w="2920"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6 a 8</w:t>
            </w:r>
          </w:p>
        </w:tc>
      </w:tr>
    </w:tbl>
    <w:p>
      <w:pPr>
        <w:spacing w:before="60" w:after="220" w:line="240" w:lineRule="auto"/>
        <w:jc w:val="left"/>
        <w:sectPr>
          <w:headerReference w:type="default" r:id="rId32"/>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IBGE (2020; 2025).</w:t>
      </w:r>
    </w:p>
    <w:p>
      <w:pPr>
        <w:pStyle w:val="Heading1"/>
        <w:pBdr>
          <w:bottom w:val="single" w:sz="12" w:space="10" w:color="007614"/>
        </w:pBdr>
        <w:spacing w:before="120" w:after="380" w:line="600" w:lineRule="exact"/>
        <w:jc w:val="left"/>
      </w:pPr>
      <w:bookmarkStart w:id="61" w:name="_h51"/>
      <w:r>
        <w:rPr>
          <w:rFonts w:ascii="Barlow Condensed" w:hAnsi="Barlow Condensed" w:cs="Barlow Condensed" w:eastAsia="Barlow Condensed"/>
          <w:b/>
          <w:bCs/>
          <w:color w:val="007614"/>
          <w:sz w:val="52"/>
          <w:szCs w:val="52"/>
        </w:rPr>
        <w:t xml:space="preserve">ANEXO B – </w:t>
      </w:r>
      <w:r>
        <w:rPr>
          <w:rFonts w:ascii="Barlow Condensed" w:hAnsi="Barlow Condensed" w:cs="Barlow Condensed" w:eastAsia="Barlow Condensed"/>
          <w:b/>
          <w:bCs/>
          <w:color w:val="01366F"/>
          <w:sz w:val="52"/>
          <w:szCs w:val="52"/>
        </w:rPr>
        <w:t xml:space="preserve">CRITÉRIO DE CLASSIFICAÇÃO ECONÔMICA BRASIL 2026</w:t>
      </w:r>
      <w:bookmarkEnd w:id="61"/>
    </w:p>
    <w:p>
      <w:pPr>
        <w:spacing w:before="0" w:after="140" w:line="300" w:lineRule="auto"/>
        <w:jc w:val="both"/>
      </w:pPr>
      <w:r>
        <w:rPr>
          <w:rFonts w:ascii="Barlow" w:hAnsi="Barlow" w:cs="Barlow" w:eastAsia="Barlow"/>
          <w:color w:val="0F2440"/>
          <w:sz w:val="20"/>
          <w:szCs w:val="20"/>
        </w:rPr>
        <w:t xml:space="preserve">Sistema de pontos do Critério de Classificação Econômica Brasil, versão vigente desde fevereiro de 2026 (ABEP, 2026), aplicado a partir dos itens B9 ou B11, D4, D5, D15 e D16 do questionário. A pontuação deve ser conferida com o documento oficial da ABEP antes do uso.</w:t>
      </w:r>
    </w:p>
    <w:p>
      <w:pPr>
        <w:keepNext/>
        <w:spacing w:before="0" w:after="0" w:line="160" w:lineRule="exact"/>
        <w:jc w:val="both"/>
      </w:pP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2830"/>
        <w:gridCol w:w="1203"/>
        <w:gridCol w:w="1203"/>
        <w:gridCol w:w="1203"/>
        <w:gridCol w:w="1203"/>
        <w:gridCol w:w="1202"/>
      </w:tblGrid>
      <w:tr>
        <w:trPr>
          <w:tblHeader/>
          <w:cantSplit/>
        </w:trPr>
        <w:tc>
          <w:tcPr>
            <w:tcW w:w="283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Item</w:t>
            </w:r>
          </w:p>
        </w:tc>
        <w:tc>
          <w:tcPr>
            <w:tcW w:w="120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0</w:t>
            </w:r>
          </w:p>
        </w:tc>
        <w:tc>
          <w:tcPr>
            <w:tcW w:w="120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1</w:t>
            </w:r>
          </w:p>
        </w:tc>
        <w:tc>
          <w:tcPr>
            <w:tcW w:w="120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2</w:t>
            </w:r>
          </w:p>
        </w:tc>
        <w:tc>
          <w:tcPr>
            <w:tcW w:w="120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3</w:t>
            </w:r>
          </w:p>
        </w:tc>
        <w:tc>
          <w:tcPr>
            <w:tcW w:w="120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4 ou mais</w:t>
            </w:r>
          </w:p>
        </w:tc>
      </w:tr>
      <w:tr>
        <w:trPr>
          <w:cantSplit/>
        </w:trPr>
        <w:tc>
          <w:tcPr>
            <w:tcW w:w="2830"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Automóveis</w:t>
            </w:r>
          </w:p>
        </w:tc>
        <w:tc>
          <w:tcPr>
            <w:tcW w:w="12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0</w:t>
            </w:r>
          </w:p>
        </w:tc>
        <w:tc>
          <w:tcPr>
            <w:tcW w:w="12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4</w:t>
            </w:r>
          </w:p>
        </w:tc>
        <w:tc>
          <w:tcPr>
            <w:tcW w:w="12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8</w:t>
            </w:r>
          </w:p>
        </w:tc>
        <w:tc>
          <w:tcPr>
            <w:tcW w:w="12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10</w:t>
            </w:r>
          </w:p>
        </w:tc>
        <w:tc>
          <w:tcPr>
            <w:tcW w:w="120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11</w:t>
            </w:r>
          </w:p>
        </w:tc>
      </w:tr>
      <w:tr>
        <w:trPr>
          <w:cantSplit/>
        </w:trPr>
        <w:tc>
          <w:tcPr>
            <w:tcW w:w="2830"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Geladeiras</w:t>
            </w:r>
          </w:p>
        </w:tc>
        <w:tc>
          <w:tcPr>
            <w:tcW w:w="12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0</w:t>
            </w:r>
          </w:p>
        </w:tc>
        <w:tc>
          <w:tcPr>
            <w:tcW w:w="12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6</w:t>
            </w:r>
          </w:p>
        </w:tc>
        <w:tc>
          <w:tcPr>
            <w:tcW w:w="12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10</w:t>
            </w:r>
          </w:p>
        </w:tc>
        <w:tc>
          <w:tcPr>
            <w:tcW w:w="12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12</w:t>
            </w:r>
          </w:p>
        </w:tc>
        <w:tc>
          <w:tcPr>
            <w:tcW w:w="120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13</w:t>
            </w:r>
          </w:p>
        </w:tc>
      </w:tr>
      <w:tr>
        <w:trPr>
          <w:cantSplit/>
        </w:trPr>
        <w:tc>
          <w:tcPr>
            <w:tcW w:w="2830"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Microcomputadores</w:t>
            </w:r>
          </w:p>
        </w:tc>
        <w:tc>
          <w:tcPr>
            <w:tcW w:w="12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0</w:t>
            </w:r>
          </w:p>
        </w:tc>
        <w:tc>
          <w:tcPr>
            <w:tcW w:w="12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6</w:t>
            </w:r>
          </w:p>
        </w:tc>
        <w:tc>
          <w:tcPr>
            <w:tcW w:w="12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11</w:t>
            </w:r>
          </w:p>
        </w:tc>
        <w:tc>
          <w:tcPr>
            <w:tcW w:w="120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13</w:t>
            </w:r>
          </w:p>
        </w:tc>
        <w:tc>
          <w:tcPr>
            <w:tcW w:w="120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15</w:t>
            </w:r>
          </w:p>
        </w:tc>
      </w:tr>
      <w:tr>
        <w:trPr>
          <w:cantSplit/>
        </w:trPr>
        <w:tc>
          <w:tcPr>
            <w:tcW w:w="2830"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Banheiros</w:t>
            </w:r>
          </w:p>
        </w:tc>
        <w:tc>
          <w:tcPr>
            <w:tcW w:w="12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0</w:t>
            </w:r>
          </w:p>
        </w:tc>
        <w:tc>
          <w:tcPr>
            <w:tcW w:w="12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9</w:t>
            </w:r>
          </w:p>
        </w:tc>
        <w:tc>
          <w:tcPr>
            <w:tcW w:w="12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15</w:t>
            </w:r>
          </w:p>
        </w:tc>
        <w:tc>
          <w:tcPr>
            <w:tcW w:w="120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19</w:t>
            </w:r>
          </w:p>
        </w:tc>
        <w:tc>
          <w:tcPr>
            <w:tcW w:w="120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20</w:t>
            </w:r>
          </w:p>
        </w:tc>
      </w:tr>
    </w:tbl>
    <w:p>
      <w:pPr>
        <w:spacing w:before="0" w:after="0" w:line="220" w:lineRule="exact"/>
        <w:jc w:val="both"/>
      </w:pPr>
    </w:p>
    <w:p>
      <w:pPr>
        <w:keepNext/>
        <w:spacing w:before="0" w:after="0" w:line="160" w:lineRule="exact"/>
        <w:jc w:val="both"/>
      </w:pP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6191"/>
        <w:gridCol w:w="2653"/>
      </w:tblGrid>
      <w:tr>
        <w:trPr>
          <w:tblHeader/>
          <w:cantSplit/>
        </w:trPr>
        <w:tc>
          <w:tcPr>
            <w:tcW w:w="6191"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Item de posse</w:t>
            </w:r>
          </w:p>
        </w:tc>
        <w:tc>
          <w:tcPr>
            <w:tcW w:w="265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Pontos se possui</w:t>
            </w:r>
          </w:p>
        </w:tc>
      </w:tr>
      <w:tr>
        <w:trPr>
          <w:cantSplit/>
        </w:trPr>
        <w:tc>
          <w:tcPr>
            <w:tcW w:w="6191"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Máquina de lavar louça</w:t>
            </w:r>
          </w:p>
        </w:tc>
        <w:tc>
          <w:tcPr>
            <w:tcW w:w="265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5</w:t>
            </w:r>
          </w:p>
        </w:tc>
      </w:tr>
      <w:tr>
        <w:trPr>
          <w:cantSplit/>
        </w:trPr>
        <w:tc>
          <w:tcPr>
            <w:tcW w:w="6191"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Máquina de lavar roupa (exceto tanquinho)</w:t>
            </w:r>
          </w:p>
        </w:tc>
        <w:tc>
          <w:tcPr>
            <w:tcW w:w="265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6</w:t>
            </w:r>
          </w:p>
        </w:tc>
      </w:tr>
      <w:tr>
        <w:trPr>
          <w:cantSplit/>
        </w:trPr>
        <w:tc>
          <w:tcPr>
            <w:tcW w:w="6191"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Forno de micro-ondas</w:t>
            </w:r>
          </w:p>
        </w:tc>
        <w:tc>
          <w:tcPr>
            <w:tcW w:w="265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7</w:t>
            </w:r>
          </w:p>
        </w:tc>
      </w:tr>
      <w:tr>
        <w:trPr>
          <w:cantSplit/>
        </w:trPr>
        <w:tc>
          <w:tcPr>
            <w:tcW w:w="6191"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Trabalhador(a) doméstico(a) mensalista</w:t>
            </w:r>
          </w:p>
        </w:tc>
        <w:tc>
          <w:tcPr>
            <w:tcW w:w="265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5</w:t>
            </w:r>
          </w:p>
        </w:tc>
      </w:tr>
      <w:tr>
        <w:trPr>
          <w:cantSplit/>
        </w:trPr>
        <w:tc>
          <w:tcPr>
            <w:tcW w:w="6191"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Domicílio atendido por rede geral de distribuição de água</w:t>
            </w:r>
          </w:p>
        </w:tc>
        <w:tc>
          <w:tcPr>
            <w:tcW w:w="265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10</w:t>
            </w:r>
          </w:p>
        </w:tc>
      </w:tr>
    </w:tbl>
    <w:p>
      <w:pPr>
        <w:spacing w:before="0" w:after="0" w:line="220" w:lineRule="exact"/>
        <w:jc w:val="both"/>
      </w:pPr>
    </w:p>
    <w:p>
      <w:pPr>
        <w:keepNext/>
        <w:spacing w:before="0" w:after="0" w:line="160" w:lineRule="exact"/>
        <w:jc w:val="both"/>
      </w:pP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6191"/>
        <w:gridCol w:w="2653"/>
      </w:tblGrid>
      <w:tr>
        <w:trPr>
          <w:tblHeader/>
          <w:cantSplit/>
        </w:trPr>
        <w:tc>
          <w:tcPr>
            <w:tcW w:w="6191"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Escolaridade da pessoa responsável</w:t>
            </w:r>
          </w:p>
        </w:tc>
        <w:tc>
          <w:tcPr>
            <w:tcW w:w="265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Pontos</w:t>
            </w:r>
          </w:p>
        </w:tc>
      </w:tr>
      <w:tr>
        <w:trPr>
          <w:cantSplit/>
        </w:trPr>
        <w:tc>
          <w:tcPr>
            <w:tcW w:w="6191"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Sem instrução</w:t>
            </w:r>
          </w:p>
        </w:tc>
        <w:tc>
          <w:tcPr>
            <w:tcW w:w="265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0</w:t>
            </w:r>
          </w:p>
        </w:tc>
      </w:tr>
      <w:tr>
        <w:trPr>
          <w:cantSplit/>
        </w:trPr>
        <w:tc>
          <w:tcPr>
            <w:tcW w:w="6191"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Fundamental incompleto</w:t>
            </w:r>
          </w:p>
        </w:tc>
        <w:tc>
          <w:tcPr>
            <w:tcW w:w="265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3</w:t>
            </w:r>
          </w:p>
        </w:tc>
      </w:tr>
      <w:tr>
        <w:trPr>
          <w:cantSplit/>
        </w:trPr>
        <w:tc>
          <w:tcPr>
            <w:tcW w:w="6191"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Fundamental completo</w:t>
            </w:r>
          </w:p>
        </w:tc>
        <w:tc>
          <w:tcPr>
            <w:tcW w:w="265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4</w:t>
            </w:r>
          </w:p>
        </w:tc>
      </w:tr>
      <w:tr>
        <w:trPr>
          <w:cantSplit/>
        </w:trPr>
        <w:tc>
          <w:tcPr>
            <w:tcW w:w="6191"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Médio incompleto</w:t>
            </w:r>
          </w:p>
        </w:tc>
        <w:tc>
          <w:tcPr>
            <w:tcW w:w="265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5</w:t>
            </w:r>
          </w:p>
        </w:tc>
      </w:tr>
      <w:tr>
        <w:trPr>
          <w:cantSplit/>
        </w:trPr>
        <w:tc>
          <w:tcPr>
            <w:tcW w:w="6191"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Médio completo</w:t>
            </w:r>
          </w:p>
        </w:tc>
        <w:tc>
          <w:tcPr>
            <w:tcW w:w="265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6</w:t>
            </w:r>
          </w:p>
        </w:tc>
      </w:tr>
      <w:tr>
        <w:trPr>
          <w:cantSplit/>
        </w:trPr>
        <w:tc>
          <w:tcPr>
            <w:tcW w:w="6191"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Superior incompleto</w:t>
            </w:r>
          </w:p>
        </w:tc>
        <w:tc>
          <w:tcPr>
            <w:tcW w:w="265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6</w:t>
            </w:r>
          </w:p>
        </w:tc>
      </w:tr>
      <w:tr>
        <w:trPr>
          <w:cantSplit/>
        </w:trPr>
        <w:tc>
          <w:tcPr>
            <w:tcW w:w="6191"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Superior completo</w:t>
            </w:r>
          </w:p>
        </w:tc>
        <w:tc>
          <w:tcPr>
            <w:tcW w:w="265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8</w:t>
            </w:r>
          </w:p>
        </w:tc>
      </w:tr>
    </w:tbl>
    <w:p>
      <w:pPr>
        <w:spacing w:before="0" w:after="0" w:line="220" w:lineRule="exact"/>
        <w:jc w:val="both"/>
      </w:pPr>
    </w:p>
    <w:p>
      <w:pPr>
        <w:keepNext/>
        <w:spacing w:before="0" w:after="0" w:line="160" w:lineRule="exact"/>
        <w:jc w:val="both"/>
      </w:pP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4422"/>
        <w:gridCol w:w="4422"/>
      </w:tblGrid>
      <w:tr>
        <w:trPr>
          <w:tblHeader/>
          <w:cantSplit/>
        </w:trPr>
        <w:tc>
          <w:tcPr>
            <w:tcW w:w="442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Classe</w:t>
            </w:r>
          </w:p>
        </w:tc>
        <w:tc>
          <w:tcPr>
            <w:tcW w:w="442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Pontos</w:t>
            </w:r>
          </w:p>
        </w:tc>
      </w:tr>
      <w:tr>
        <w:trPr>
          <w:cantSplit/>
        </w:trPr>
        <w:tc>
          <w:tcPr>
            <w:tcW w:w="44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A</w:t>
            </w:r>
          </w:p>
        </w:tc>
        <w:tc>
          <w:tcPr>
            <w:tcW w:w="44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73 a 100</w:t>
            </w:r>
          </w:p>
        </w:tc>
      </w:tr>
      <w:tr>
        <w:trPr>
          <w:cantSplit/>
        </w:trPr>
        <w:tc>
          <w:tcPr>
            <w:tcW w:w="44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B1</w:t>
            </w:r>
          </w:p>
        </w:tc>
        <w:tc>
          <w:tcPr>
            <w:tcW w:w="442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66 a 72</w:t>
            </w:r>
          </w:p>
        </w:tc>
      </w:tr>
      <w:tr>
        <w:trPr>
          <w:cantSplit/>
        </w:trPr>
        <w:tc>
          <w:tcPr>
            <w:tcW w:w="44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B2</w:t>
            </w:r>
          </w:p>
        </w:tc>
        <w:tc>
          <w:tcPr>
            <w:tcW w:w="44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55 a 65</w:t>
            </w:r>
          </w:p>
        </w:tc>
      </w:tr>
      <w:tr>
        <w:trPr>
          <w:cantSplit/>
        </w:trPr>
        <w:tc>
          <w:tcPr>
            <w:tcW w:w="442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C1</w:t>
            </w:r>
          </w:p>
        </w:tc>
        <w:tc>
          <w:tcPr>
            <w:tcW w:w="442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46 a 54</w:t>
            </w:r>
          </w:p>
        </w:tc>
      </w:tr>
      <w:tr>
        <w:trPr>
          <w:cantSplit/>
        </w:trPr>
        <w:tc>
          <w:tcPr>
            <w:tcW w:w="442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C2</w:t>
            </w:r>
          </w:p>
        </w:tc>
        <w:tc>
          <w:tcPr>
            <w:tcW w:w="44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35 a 45</w:t>
            </w:r>
          </w:p>
        </w:tc>
      </w:tr>
      <w:tr>
        <w:trPr>
          <w:cantSplit/>
        </w:trPr>
        <w:tc>
          <w:tcPr>
            <w:tcW w:w="4422" w:type="dxa"/>
            <w:shd w:val="clear" w:color="auto" w:fill="E9F2EB"/>
            <w:vAlign w:val="top"/>
          </w:tcPr>
          <w:p>
            <w:pPr>
              <w:keepNext/>
              <w:spacing w:before="0" w:after="0" w:line="252" w:lineRule="auto"/>
              <w:jc w:val="left"/>
            </w:pPr>
            <w:r>
              <w:rPr>
                <w:rFonts w:ascii="Barlow SemiBold" w:hAnsi="Barlow SemiBold" w:cs="Barlow SemiBold" w:eastAsia="Barlow SemiBold"/>
                <w:color w:val="01366F"/>
                <w:sz w:val="17"/>
                <w:szCs w:val="17"/>
              </w:rPr>
              <w:t xml:space="preserve">DE</w:t>
            </w:r>
          </w:p>
        </w:tc>
        <w:tc>
          <w:tcPr>
            <w:tcW w:w="4422"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0 a 34</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ABEP (2026).</w:t>
      </w:r>
    </w:p>
    <w:sectPr>
      <w:headerReference w:type="default" r:id="rId33"/>
      <w:headerReference w:type="even" r:id="rId14"/>
      <w:footerReference w:type="default" r:id="rId15"/>
      <w:footerReference w:type="even" r:id="rId16"/>
      <w:type w:val="nextPage"/>
      <w:pgSz w:w="11906" w:h="16838"/>
      <w:pgMar w:top="1474" w:right="1531" w:bottom="1814" w:left="1531" w:header="850" w:footer="33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rlow">
    <w:charset w:val="00"/>
    <w:family w:val="swiss"/>
    <w:pitch w:val="variable"/>
    <w:embedRegular r:id="rIdF1" w:fontKey="{E11E2784-DE61-41B1-9D02-FFB957C50984}"/>
    <w:embedBold r:id="rIdF3" w:fontKey="{08D161DA-7231-425B-8F6F-6BB6D968E9B6}"/>
    <w:embedItalic r:id="rIdF2" w:fontKey="{8FE01DB9-6890-44C0-A997-402DDAF978CF}"/>
  </w:font>
  <w:font w:name="Barlow Medium">
    <w:charset w:val="00"/>
    <w:family w:val="swiss"/>
    <w:pitch w:val="variable"/>
    <w:embedRegular r:id="rIdF4" w:fontKey="{7F5AB29D-F2AD-455B-9318-2D6D52CEC457}"/>
  </w:font>
  <w:font w:name="Barlow SemiBold">
    <w:charset w:val="00"/>
    <w:family w:val="swiss"/>
    <w:pitch w:val="variable"/>
    <w:embedRegular r:id="rIdF5" w:fontKey="{9DD1AFA1-4081-4B72-9866-F92FABEB8BFE}"/>
  </w:font>
  <w:font w:name="Barlow Condensed">
    <w:charset w:val="00"/>
    <w:family w:val="swiss"/>
    <w:pitch w:val="variable"/>
    <w:embedRegular r:id="rIdF6" w:fontKey="{40FE3F0F-962B-4B2F-A157-8360586C46A1}"/>
    <w:embedBold r:id="rIdF7" w:fontKey="{A79CF569-DDEC-4DAE-820D-CF50913D2296}"/>
  </w:font>
  <w:font w:name="Barlow Condensed Medium">
    <w:charset w:val="00"/>
    <w:family w:val="swiss"/>
    <w:pitch w:val="variable"/>
    <w:embedRegular r:id="rIdF8" w:fontKey="{0A21C469-390B-47B2-8C49-A947E74F4489}"/>
  </w:font>
  <w:font w:name="Barlow Condensed SemiBold">
    <w:charset w:val="00"/>
    <w:family w:val="swiss"/>
    <w:pitch w:val="variable"/>
    <w:embedRegular r:id="rIdF9" w:fontKey="{6A9BB3CF-9A62-4406-AD64-18C5B65E1537}"/>
  </w:font>
  <w:font w:name="Segoe UI Symbol">
    <w:charset w:val="00"/>
    <w:family w:val="swiss"/>
    <w:pitch w:val="variable"/>
  </w:font>
</w:fonts>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both"/>
    </w:pPr>
  </w:p>
</w:ftr>
</file>

<file path=word/footer6.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lio"/>
      <w:spacing w:before="0" w:after="0" w:line="240" w:lineRule="auto"/>
      <w:jc w:val="right"/>
      <w:rPr>
        <w:rFonts w:ascii="Barlow Condensed SemiBold" w:hAnsi="Barlow Condensed SemiBold" w:cs="Barlow Condensed SemiBold" w:eastAsia="Barlow Condensed SemiBold"/>
        <w:color w:val="FFFFFF"/>
        <w:sz w:val="21"/>
        <w:szCs w:val="21"/>
      </w:rPr>
    </w:pPr>
    <w:fldSimple w:instr=" PAGE ">
      <w:r>
        <w:rPr>
          <w:rFonts w:ascii="Barlow Condensed SemiBold" w:hAnsi="Barlow Condensed SemiBold" w:cs="Barlow Condensed SemiBold" w:eastAsia="Barlow Condensed SemiBold"/>
          <w:color w:val="FFFFFF"/>
          <w:sz w:val="21"/>
          <w:szCs w:val="21"/>
        </w:rPr>
        <w:t>1</w:t>
      </w:r>
    </w:fldSimple>
  </w:p>
</w:ftr>
</file>

<file path=word/footer7.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lio"/>
      <w:spacing w:before="0" w:after="0" w:line="240" w:lineRule="auto"/>
      <w:jc w:val="left"/>
      <w:rPr>
        <w:rFonts w:ascii="Barlow Condensed SemiBold" w:hAnsi="Barlow Condensed SemiBold" w:cs="Barlow Condensed SemiBold" w:eastAsia="Barlow Condensed SemiBold"/>
        <w:color w:val="FFFFFF"/>
        <w:sz w:val="21"/>
        <w:szCs w:val="21"/>
      </w:rPr>
    </w:pPr>
    <w:fldSimple w:instr=" PAGE ">
      <w:r>
        <w:rPr>
          <w:rFonts w:ascii="Barlow Condensed SemiBold" w:hAnsi="Barlow Condensed SemiBold" w:cs="Barlow Condensed SemiBold" w:eastAsia="Barlow Condensed SemiBold"/>
          <w:color w:val="FFFFFF"/>
          <w:sz w:val="21"/>
          <w:szCs w:val="21"/>
        </w:rP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1" name="Fundo 1"/>
          <wp:cNvGraphicFramePr/>
          <a:graphic xmlns:a="http://schemas.openxmlformats.org/drawingml/2006/main">
            <a:graphicData uri="http://schemas.openxmlformats.org/drawingml/2006/picture">
              <pic:pic xmlns:pic="http://schemas.openxmlformats.org/drawingml/2006/picture">
                <pic:nvPicPr>
                  <pic:cNvPr id="5001" name="Fundo 1"/>
                  <pic:cNvPicPr/>
                </pic:nvPicPr>
                <pic:blipFill>
                  <a:blip r:embed="rIdB1"/>
                  <a:stretch>
                    <a:fillRect/>
                  </a:stretch>
                </pic:blipFill>
                <pic:spPr>
                  <a:xfrm>
                    <a:off x="0" y="0"/>
                    <a:ext cx="7560310" cy="10692130"/>
                  </a:xfrm>
                  <a:prstGeom prst="rect">
                    <a:avLst/>
                  </a:prstGeom>
                </pic:spPr>
              </pic:pic>
            </a:graphicData>
          </a:graphic>
        </wp:anchor>
      </w:drawing>
    </w:r>
  </w:p>
</w:hdr>
</file>

<file path=word/header3.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3" name="Fundo 3"/>
          <wp:cNvGraphicFramePr/>
          <a:graphic xmlns:a="http://schemas.openxmlformats.org/drawingml/2006/main">
            <a:graphicData uri="http://schemas.openxmlformats.org/drawingml/2006/picture">
              <pic:pic xmlns:pic="http://schemas.openxmlformats.org/drawingml/2006/picture">
                <pic:nvPicPr>
                  <pic:cNvPr id="5003" name="Fundo 3"/>
                  <pic:cNvPicPr/>
                </pic:nvPicPr>
                <pic:blipFill>
                  <a:blip r:embed="rIdB1"/>
                  <a:stretch>
                    <a:fillRect/>
                  </a:stretch>
                </pic:blipFill>
                <pic:spPr>
                  <a:xfrm>
                    <a:off x="0" y="0"/>
                    <a:ext cx="7560310" cy="10692130"/>
                  </a:xfrm>
                  <a:prstGeom prst="rect">
                    <a:avLst/>
                  </a:prstGeom>
                </pic:spPr>
              </pic:pic>
            </a:graphicData>
          </a:graphic>
        </wp:anchor>
      </w:drawing>
    </w:r>
  </w:p>
</w:hdr>
</file>

<file path=word/header4.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4" name="Fundo 4"/>
          <wp:cNvGraphicFramePr/>
          <a:graphic xmlns:a="http://schemas.openxmlformats.org/drawingml/2006/main">
            <a:graphicData uri="http://schemas.openxmlformats.org/drawingml/2006/picture">
              <pic:pic xmlns:pic="http://schemas.openxmlformats.org/drawingml/2006/picture">
                <pic:nvPicPr>
                  <pic:cNvPr id="5004" name="Fundo 4"/>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1 INTRODUÇÃO  </w:t>
    </w:r>
  </w:p>
</w:hdr>
</file>

<file path=word/header5.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lef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5" name="Fundo 5"/>
          <wp:cNvGraphicFramePr/>
          <a:graphic xmlns:a="http://schemas.openxmlformats.org/drawingml/2006/main">
            <a:graphicData uri="http://schemas.openxmlformats.org/drawingml/2006/picture">
              <pic:pic xmlns:pic="http://schemas.openxmlformats.org/drawingml/2006/picture">
                <pic:nvPicPr>
                  <pic:cNvPr id="5005" name="Fundo 5"/>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ESTUDO DE CASO DE MÉTODOS MISTOS · PICAPS  </w:t>
    </w:r>
  </w:p>
</w:hdr>
</file>

<file path=word/header8.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8" name="Fundo 8"/>
          <wp:cNvGraphicFramePr/>
          <a:graphic xmlns:a="http://schemas.openxmlformats.org/drawingml/2006/main">
            <a:graphicData uri="http://schemas.openxmlformats.org/drawingml/2006/picture">
              <pic:pic xmlns:pic="http://schemas.openxmlformats.org/drawingml/2006/picture">
                <pic:nvPicPr>
                  <pic:cNvPr id="5008" name="Fundo 8"/>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2 JUSTIFICATIVA  </w:t>
    </w:r>
  </w:p>
</w:hdr>
</file>

<file path=word/header9.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9" name="Fundo 9"/>
          <wp:cNvGraphicFramePr/>
          <a:graphic xmlns:a="http://schemas.openxmlformats.org/drawingml/2006/main">
            <a:graphicData uri="http://schemas.openxmlformats.org/drawingml/2006/picture">
              <pic:pic xmlns:pic="http://schemas.openxmlformats.org/drawingml/2006/picture">
                <pic:nvPicPr>
                  <pic:cNvPr id="5009" name="Fundo 9"/>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3 PROBLEMA, QUESTÕES E PRESSUPOSTOS  </w:t>
    </w:r>
  </w:p>
</w:hdr>
</file>

<file path=word/header10.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0" name="Fundo 10"/>
          <wp:cNvGraphicFramePr/>
          <a:graphic xmlns:a="http://schemas.openxmlformats.org/drawingml/2006/main">
            <a:graphicData uri="http://schemas.openxmlformats.org/drawingml/2006/picture">
              <pic:pic xmlns:pic="http://schemas.openxmlformats.org/drawingml/2006/picture">
                <pic:nvPicPr>
                  <pic:cNvPr id="5010" name="Fundo 10"/>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4 OBJETIVOS  </w:t>
    </w:r>
  </w:p>
</w:hdr>
</file>

<file path=word/header1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1" name="Fundo 11"/>
          <wp:cNvGraphicFramePr/>
          <a:graphic xmlns:a="http://schemas.openxmlformats.org/drawingml/2006/main">
            <a:graphicData uri="http://schemas.openxmlformats.org/drawingml/2006/picture">
              <pic:pic xmlns:pic="http://schemas.openxmlformats.org/drawingml/2006/picture">
                <pic:nvPicPr>
                  <pic:cNvPr id="5011" name="Fundo 11"/>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5 REFERENCIAL TEÓRICO  </w:t>
    </w:r>
  </w:p>
</w:hdr>
</file>

<file path=word/header1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2" name="Fundo 12"/>
          <wp:cNvGraphicFramePr/>
          <a:graphic xmlns:a="http://schemas.openxmlformats.org/drawingml/2006/main">
            <a:graphicData uri="http://schemas.openxmlformats.org/drawingml/2006/picture">
              <pic:pic xmlns:pic="http://schemas.openxmlformats.org/drawingml/2006/picture">
                <pic:nvPicPr>
                  <pic:cNvPr id="5012" name="Fundo 12"/>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6 METODOLOGIA  </w:t>
    </w:r>
  </w:p>
</w:hdr>
</file>

<file path=word/header13.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3" name="Fundo 13"/>
          <wp:cNvGraphicFramePr/>
          <a:graphic xmlns:a="http://schemas.openxmlformats.org/drawingml/2006/main">
            <a:graphicData uri="http://schemas.openxmlformats.org/drawingml/2006/picture">
              <pic:pic xmlns:pic="http://schemas.openxmlformats.org/drawingml/2006/picture">
                <pic:nvPicPr>
                  <pic:cNvPr id="5013" name="Fundo 13"/>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7 ASPECTOS ÉTICOS  </w:t>
    </w:r>
  </w:p>
</w:hdr>
</file>

<file path=word/header14.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4" name="Fundo 14"/>
          <wp:cNvGraphicFramePr/>
          <a:graphic xmlns:a="http://schemas.openxmlformats.org/drawingml/2006/main">
            <a:graphicData uri="http://schemas.openxmlformats.org/drawingml/2006/picture">
              <pic:pic xmlns:pic="http://schemas.openxmlformats.org/drawingml/2006/picture">
                <pic:nvPicPr>
                  <pic:cNvPr id="5014" name="Fundo 14"/>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8 LIMITAÇÕES  </w:t>
    </w:r>
  </w:p>
</w:hdr>
</file>

<file path=word/header15.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5" name="Fundo 15"/>
          <wp:cNvGraphicFramePr/>
          <a:graphic xmlns:a="http://schemas.openxmlformats.org/drawingml/2006/main">
            <a:graphicData uri="http://schemas.openxmlformats.org/drawingml/2006/picture">
              <pic:pic xmlns:pic="http://schemas.openxmlformats.org/drawingml/2006/picture">
                <pic:nvPicPr>
                  <pic:cNvPr id="5015" name="Fundo 15"/>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9 RESULTADOS ESPERADOS E PRODUTOS  </w:t>
    </w:r>
  </w:p>
</w:hdr>
</file>

<file path=word/header16.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6" name="Fundo 16"/>
          <wp:cNvGraphicFramePr/>
          <a:graphic xmlns:a="http://schemas.openxmlformats.org/drawingml/2006/main">
            <a:graphicData uri="http://schemas.openxmlformats.org/drawingml/2006/picture">
              <pic:pic xmlns:pic="http://schemas.openxmlformats.org/drawingml/2006/picture">
                <pic:nvPicPr>
                  <pic:cNvPr id="5016" name="Fundo 16"/>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10 CRONOGRAMA  </w:t>
    </w:r>
  </w:p>
</w:hdr>
</file>

<file path=word/header17.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7" name="Fundo 17"/>
          <wp:cNvGraphicFramePr/>
          <a:graphic xmlns:a="http://schemas.openxmlformats.org/drawingml/2006/main">
            <a:graphicData uri="http://schemas.openxmlformats.org/drawingml/2006/picture">
              <pic:pic xmlns:pic="http://schemas.openxmlformats.org/drawingml/2006/picture">
                <pic:nvPicPr>
                  <pic:cNvPr id="5017" name="Fundo 17"/>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11 RECURSOS E ORÇAMENTO  </w:t>
    </w:r>
  </w:p>
</w:hdr>
</file>

<file path=word/header18.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8" name="Fundo 18"/>
          <wp:cNvGraphicFramePr/>
          <a:graphic xmlns:a="http://schemas.openxmlformats.org/drawingml/2006/main">
            <a:graphicData uri="http://schemas.openxmlformats.org/drawingml/2006/picture">
              <pic:pic xmlns:pic="http://schemas.openxmlformats.org/drawingml/2006/picture">
                <pic:nvPicPr>
                  <pic:cNvPr id="5018" name="Fundo 18"/>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REFERÊNCIAS  </w:t>
    </w:r>
  </w:p>
</w:hdr>
</file>

<file path=word/header19.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9" name="Fundo 19"/>
          <wp:cNvGraphicFramePr/>
          <a:graphic xmlns:a="http://schemas.openxmlformats.org/drawingml/2006/main">
            <a:graphicData uri="http://schemas.openxmlformats.org/drawingml/2006/picture">
              <pic:pic xmlns:pic="http://schemas.openxmlformats.org/drawingml/2006/picture">
                <pic:nvPicPr>
                  <pic:cNvPr id="5019" name="Fundo 19"/>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APÊNDICE A  </w:t>
    </w:r>
  </w:p>
</w:hdr>
</file>

<file path=word/header20.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20" name="Fundo 20"/>
          <wp:cNvGraphicFramePr/>
          <a:graphic xmlns:a="http://schemas.openxmlformats.org/drawingml/2006/main">
            <a:graphicData uri="http://schemas.openxmlformats.org/drawingml/2006/picture">
              <pic:pic xmlns:pic="http://schemas.openxmlformats.org/drawingml/2006/picture">
                <pic:nvPicPr>
                  <pic:cNvPr id="5020" name="Fundo 20"/>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APÊNDICE B  </w:t>
    </w:r>
  </w:p>
</w:hdr>
</file>

<file path=word/header2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21" name="Fundo 21"/>
          <wp:cNvGraphicFramePr/>
          <a:graphic xmlns:a="http://schemas.openxmlformats.org/drawingml/2006/main">
            <a:graphicData uri="http://schemas.openxmlformats.org/drawingml/2006/picture">
              <pic:pic xmlns:pic="http://schemas.openxmlformats.org/drawingml/2006/picture">
                <pic:nvPicPr>
                  <pic:cNvPr id="5021" name="Fundo 21"/>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APÊNDICE C  </w:t>
    </w:r>
  </w:p>
</w:hdr>
</file>

<file path=word/header2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22" name="Fundo 22"/>
          <wp:cNvGraphicFramePr/>
          <a:graphic xmlns:a="http://schemas.openxmlformats.org/drawingml/2006/main">
            <a:graphicData uri="http://schemas.openxmlformats.org/drawingml/2006/picture">
              <pic:pic xmlns:pic="http://schemas.openxmlformats.org/drawingml/2006/picture">
                <pic:nvPicPr>
                  <pic:cNvPr id="5022" name="Fundo 22"/>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APÊNDICE D  </w:t>
    </w:r>
  </w:p>
</w:hdr>
</file>

<file path=word/header23.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23" name="Fundo 23"/>
          <wp:cNvGraphicFramePr/>
          <a:graphic xmlns:a="http://schemas.openxmlformats.org/drawingml/2006/main">
            <a:graphicData uri="http://schemas.openxmlformats.org/drawingml/2006/picture">
              <pic:pic xmlns:pic="http://schemas.openxmlformats.org/drawingml/2006/picture">
                <pic:nvPicPr>
                  <pic:cNvPr id="5023" name="Fundo 23"/>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ANEXO A  </w:t>
    </w:r>
  </w:p>
</w:hdr>
</file>

<file path=word/header24.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24" name="Fundo 24"/>
          <wp:cNvGraphicFramePr/>
          <a:graphic xmlns:a="http://schemas.openxmlformats.org/drawingml/2006/main">
            <a:graphicData uri="http://schemas.openxmlformats.org/drawingml/2006/picture">
              <pic:pic xmlns:pic="http://schemas.openxmlformats.org/drawingml/2006/picture">
                <pic:nvPicPr>
                  <pic:cNvPr id="5024" name="Fundo 24"/>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ANEXO B  </w:t>
    </w:r>
  </w:p>
</w:hdr>
</file>

<file path=word/numbering.xml><?xml version="1.0" encoding="utf-8"?>
<w:numbering xmlns:w="http://schemas.openxmlformats.org/wordprocessingml/2006/main"/>
</file>

<file path=word/settings.xml><?xml version="1.0" encoding="utf-8"?>
<w:settings xmlns:w="http://schemas.openxmlformats.org/wordprocessingml/2006/main">
  <w:zoom w:percent="100"/>
  <w:embedTrueTypeFonts/>
  <w:defaultTabStop w:val="708"/>
  <w:hyphenationZone w:val="425"/>
  <w:evenAndOddHeaders/>
  <w:characterSpacingControl w:val="doNotCompress"/>
  <w:compat>
    <w:compatSetting w:name="compatibilityMode" w:uri="http://schemas.microsoft.com/office/word" w:val="15"/>
  </w:compat>
  <w:themeFontLang w:val="pt-BR"/>
</w:settings>
</file>

<file path=word/styles.xml><?xml version="1.0" encoding="utf-8"?>
<w:styles xmlns:w="http://schemas.openxmlformats.org/wordprocessingml/2006/main">
  <w:docDefaults>
    <w:rPrDefault>
      <w:rPr>
        <w:rFonts w:ascii="Barlow" w:hAnsi="Barlow" w:cs="Barlow" w:eastAsia="Barlow"/>
        <w:color w:val="0F2440"/>
        <w:sz w:val="20"/>
        <w:szCs w:val="20"/>
        <w:lang w:val="pt-BR" w:eastAsia="en-US" w:bidi="ar-SA"/>
      </w:rPr>
    </w:rPrDefault>
    <w:pPrDefault>
      <w:pPr>
        <w:spacing w:after="120" w:line="300" w:lineRule="auto"/>
      </w:pPr>
    </w:pPrDefault>
  </w:docDefaults>
  <w:style w:type="paragraph" w:default="1" w:styleId="Normal">
    <w:name w:val="Normal"/>
    <w:qFormat/>
    <w:pPr>
      <w:jc w:val="both"/>
    </w:pPr>
    <w:rPr/>
  </w:style>
  <w:style w:type="paragraph" w:styleId="Heading1">
    <w:name w:val="heading 1"/>
    <w:basedOn w:val="Normal"/>
    <w:next w:val="Normal"/>
    <w:qFormat/>
    <w:pPr>
      <w:keepNext/>
      <w:outlineLvl w:val="0"/>
    </w:pPr>
    <w:rPr>
      <w:rFonts w:ascii="Barlow Condensed" w:hAnsi="Barlow Condensed"/>
      <w:b/>
      <w:color w:val="01366F"/>
      <w:sz w:val="56"/>
    </w:rPr>
  </w:style>
  <w:style w:type="paragraph" w:styleId="Heading2">
    <w:name w:val="heading 2"/>
    <w:basedOn w:val="Normal"/>
    <w:next w:val="Normal"/>
    <w:qFormat/>
    <w:pPr>
      <w:keepNext/>
      <w:outlineLvl w:val="1"/>
    </w:pPr>
    <w:rPr>
      <w:rFonts w:ascii="Barlow Condensed SemiBold" w:hAnsi="Barlow Condensed SemiBold"/>
      <w:color w:val="007614"/>
      <w:sz w:val="32"/>
    </w:rPr>
  </w:style>
  <w:style w:type="paragraph" w:styleId="Heading3">
    <w:name w:val="heading 3"/>
    <w:basedOn w:val="Normal"/>
    <w:next w:val="Normal"/>
    <w:qFormat/>
    <w:pPr>
      <w:keepNext/>
      <w:outlineLvl w:val="2"/>
    </w:pPr>
    <w:rPr>
      <w:rFonts w:ascii="Barlow Condensed SemiBold" w:hAnsi="Barlow Condensed SemiBold"/>
      <w:color w:val="01366F"/>
      <w:sz w:val="25"/>
    </w:rPr>
  </w:style>
  <w:style w:type="paragraph" w:styleId="Heading4">
    <w:name w:val="heading 4"/>
    <w:basedOn w:val="Normal"/>
    <w:next w:val="Normal"/>
    <w:qFormat/>
    <w:pPr>
      <w:keepNext/>
      <w:outlineLvl w:val="3"/>
    </w:pPr>
    <w:rPr>
      <w:rFonts w:ascii="Barlow SemiBold" w:hAnsi="Barlow SemiBold"/>
      <w:color w:val="01366F"/>
    </w:rPr>
  </w:style>
  <w:style w:type="paragraph" w:styleId="Folio">
    <w:name w:val="Fólio"/>
    <w:basedOn w:val="Normal"/>
    <w:qFormat/>
    <w:pPr/>
    <w:rPr>
      <w:rFonts w:ascii="Barlow Condensed SemiBold" w:hAnsi="Barlow Condensed SemiBold"/>
      <w:color w:val="FFFFFF"/>
      <w:sz w:val="21"/>
    </w:rPr>
  </w:style>
  <w:style w:type="paragraph" w:styleId="ListParagraph">
    <w:name w:val="List Paragraph"/>
    <w:basedOn w:val="Normal"/>
    <w:qFormat/>
    <w:pPr>
      <w:ind w:left="340"/>
      <w:contextualSpacing/>
    </w:pPr>
    <w:rPr/>
  </w:style>
  <w:style w:type="paragraph" w:styleId="TOC1">
    <w:name w:val="toc 1"/>
    <w:basedOn w:val="Normal"/>
    <w:qFormat/>
    <w:pPr/>
    <w:rPr/>
  </w:style>
  <w:style w:type="paragraph" w:styleId="TOC2">
    <w:name w:val="toc 2"/>
    <w:basedOn w:val="Normal"/>
    <w:qFormat/>
    <w:pPr>
      <w:ind w:left="300"/>
    </w:pPr>
    <w:rPr/>
  </w:style>
  <w:style w:type="paragraph" w:styleId="TOC3">
    <w:name w:val="toc 3"/>
    <w:basedOn w:val="Normal"/>
    <w:qFormat/>
    <w:pPr>
      <w:ind w:left="600"/>
    </w:pPr>
    <w:rPr/>
  </w:style>
  <w:style w:type="character" w:styleId="Hyperlink">
    <w:name w:val="Hyperlink"/>
    <w:rPr/>
  </w:style>
  <w:style w:type="table" w:default="1" w:styleId="TableNormal">
    <w:name w:val="Normal Table"/>
    <w:tblPr>
      <w:tblInd w:w="0" w:type="dxa"/>
      <w:tblCellMar>
        <w:top w:w="0" w:type="dxa"/>
        <w:left w:w="108" w:type="dxa"/>
        <w:bottom w:w="0" w:type="dxa"/>
        <w:right w:w="108" w:type="dxa"/>
      </w:tblCellMar>
    </w:tblPr>
  </w:style>
  <w:style w:type="paragraph" w:styleId="TOC9">
    <w:name w:val="table of figures"/>
    <w:basedOn w:val="Normal"/>
    <w:qFormat/>
    <w:pPr/>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 Id="rId28" Type="http://schemas.openxmlformats.org/officeDocument/2006/relationships/header" Target="header19.xml"/><Relationship Id="rId29" Type="http://schemas.openxmlformats.org/officeDocument/2006/relationships/header" Target="header20.xml"/><Relationship Id="rId30" Type="http://schemas.openxmlformats.org/officeDocument/2006/relationships/header" Target="header21.xml"/><Relationship Id="rId31" Type="http://schemas.openxmlformats.org/officeDocument/2006/relationships/header" Target="header22.xml"/><Relationship Id="rId32" Type="http://schemas.openxmlformats.org/officeDocument/2006/relationships/header" Target="header23.xml"/><Relationship Id="rId33" Type="http://schemas.openxmlformats.org/officeDocument/2006/relationships/header" Target="header24.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 Id="rIdF5" Type="http://schemas.openxmlformats.org/officeDocument/2006/relationships/font" Target="fonts/font5.odttf"/><Relationship Id="rIdF6" Type="http://schemas.openxmlformats.org/officeDocument/2006/relationships/font" Target="fonts/font6.odttf"/><Relationship Id="rIdF7" Type="http://schemas.openxmlformats.org/officeDocument/2006/relationships/font" Target="fonts/font7.odttf"/><Relationship Id="rIdF8" Type="http://schemas.openxmlformats.org/officeDocument/2006/relationships/font" Target="fonts/font8.odttf"/><Relationship Id="rIdF9" Type="http://schemas.openxmlformats.org/officeDocument/2006/relationships/font" Target="fonts/font9.odttf"/></Relationships>
</file>

<file path=word/_rels/header1.xml.rels><?xml version="1.0" encoding="UTF-8" standalone="yes"?><Relationships xmlns="http://schemas.openxmlformats.org/package/2006/relationships"><Relationship Id="rIdB1" Type="http://schemas.openxmlformats.org/officeDocument/2006/relationships/image" Target="media/bg1.png"/></Relationships>
</file>

<file path=word/_rels/header3.xml.rels><?xml version="1.0" encoding="UTF-8" standalone="yes"?><Relationships xmlns="http://schemas.openxmlformats.org/package/2006/relationships"><Relationship Id="rIdB1" Type="http://schemas.openxmlformats.org/officeDocument/2006/relationships/image" Target="media/bg2.png"/></Relationships>
</file>

<file path=word/_rels/header4.xml.rels><?xml version="1.0" encoding="UTF-8" standalone="yes"?><Relationships xmlns="http://schemas.openxmlformats.org/package/2006/relationships"><Relationship Id="rIdB1" Type="http://schemas.openxmlformats.org/officeDocument/2006/relationships/image" Target="media/bg3.png"/></Relationships>
</file>

<file path=word/_rels/header5.xml.rels><?xml version="1.0" encoding="UTF-8" standalone="yes"?><Relationships xmlns="http://schemas.openxmlformats.org/package/2006/relationships"><Relationship Id="rIdB1" Type="http://schemas.openxmlformats.org/officeDocument/2006/relationships/image" Target="media/bg4.png"/></Relationships>
</file>

<file path=word/_rels/header8.xml.rels><?xml version="1.0" encoding="UTF-8" standalone="yes"?><Relationships xmlns="http://schemas.openxmlformats.org/package/2006/relationships"><Relationship Id="rIdB1" Type="http://schemas.openxmlformats.org/officeDocument/2006/relationships/image" Target="media/bg3.png"/></Relationships>
</file>

<file path=word/_rels/header9.xml.rels><?xml version="1.0" encoding="UTF-8" standalone="yes"?><Relationships xmlns="http://schemas.openxmlformats.org/package/2006/relationships"><Relationship Id="rIdB1" Type="http://schemas.openxmlformats.org/officeDocument/2006/relationships/image" Target="media/bg3.png"/></Relationships>
</file>

<file path=word/_rels/header10.xml.rels><?xml version="1.0" encoding="UTF-8" standalone="yes"?><Relationships xmlns="http://schemas.openxmlformats.org/package/2006/relationships"><Relationship Id="rIdB1" Type="http://schemas.openxmlformats.org/officeDocument/2006/relationships/image" Target="media/bg3.png"/></Relationships>
</file>

<file path=word/_rels/header11.xml.rels><?xml version="1.0" encoding="UTF-8" standalone="yes"?><Relationships xmlns="http://schemas.openxmlformats.org/package/2006/relationships"><Relationship Id="rIdB1" Type="http://schemas.openxmlformats.org/officeDocument/2006/relationships/image" Target="media/bg3.png"/></Relationships>
</file>

<file path=word/_rels/header12.xml.rels><?xml version="1.0" encoding="UTF-8" standalone="yes"?><Relationships xmlns="http://schemas.openxmlformats.org/package/2006/relationships"><Relationship Id="rIdB1" Type="http://schemas.openxmlformats.org/officeDocument/2006/relationships/image" Target="media/bg3.png"/></Relationships>
</file>

<file path=word/_rels/header13.xml.rels><?xml version="1.0" encoding="UTF-8" standalone="yes"?><Relationships xmlns="http://schemas.openxmlformats.org/package/2006/relationships"><Relationship Id="rIdB1" Type="http://schemas.openxmlformats.org/officeDocument/2006/relationships/image" Target="media/bg3.png"/></Relationships>
</file>

<file path=word/_rels/header14.xml.rels><?xml version="1.0" encoding="UTF-8" standalone="yes"?><Relationships xmlns="http://schemas.openxmlformats.org/package/2006/relationships"><Relationship Id="rIdB1" Type="http://schemas.openxmlformats.org/officeDocument/2006/relationships/image" Target="media/bg3.png"/></Relationships>
</file>

<file path=word/_rels/header15.xml.rels><?xml version="1.0" encoding="UTF-8" standalone="yes"?><Relationships xmlns="http://schemas.openxmlformats.org/package/2006/relationships"><Relationship Id="rIdB1" Type="http://schemas.openxmlformats.org/officeDocument/2006/relationships/image" Target="media/bg3.png"/></Relationships>
</file>

<file path=word/_rels/header16.xml.rels><?xml version="1.0" encoding="UTF-8" standalone="yes"?><Relationships xmlns="http://schemas.openxmlformats.org/package/2006/relationships"><Relationship Id="rIdB1" Type="http://schemas.openxmlformats.org/officeDocument/2006/relationships/image" Target="media/bg3.png"/></Relationships>
</file>

<file path=word/_rels/header17.xml.rels><?xml version="1.0" encoding="UTF-8" standalone="yes"?><Relationships xmlns="http://schemas.openxmlformats.org/package/2006/relationships"><Relationship Id="rIdB1" Type="http://schemas.openxmlformats.org/officeDocument/2006/relationships/image" Target="media/bg3.png"/></Relationships>
</file>

<file path=word/_rels/header18.xml.rels><?xml version="1.0" encoding="UTF-8" standalone="yes"?><Relationships xmlns="http://schemas.openxmlformats.org/package/2006/relationships"><Relationship Id="rIdB1" Type="http://schemas.openxmlformats.org/officeDocument/2006/relationships/image" Target="media/bg3.png"/></Relationships>
</file>

<file path=word/_rels/header19.xml.rels><?xml version="1.0" encoding="UTF-8" standalone="yes"?><Relationships xmlns="http://schemas.openxmlformats.org/package/2006/relationships"><Relationship Id="rIdB1" Type="http://schemas.openxmlformats.org/officeDocument/2006/relationships/image" Target="media/bg3.png"/></Relationships>
</file>

<file path=word/_rels/header20.xml.rels><?xml version="1.0" encoding="UTF-8" standalone="yes"?><Relationships xmlns="http://schemas.openxmlformats.org/package/2006/relationships"><Relationship Id="rIdB1" Type="http://schemas.openxmlformats.org/officeDocument/2006/relationships/image" Target="media/bg3.png"/></Relationships>
</file>

<file path=word/_rels/header21.xml.rels><?xml version="1.0" encoding="UTF-8" standalone="yes"?><Relationships xmlns="http://schemas.openxmlformats.org/package/2006/relationships"><Relationship Id="rIdB1" Type="http://schemas.openxmlformats.org/officeDocument/2006/relationships/image" Target="media/bg3.png"/></Relationships>
</file>

<file path=word/_rels/header22.xml.rels><?xml version="1.0" encoding="UTF-8" standalone="yes"?><Relationships xmlns="http://schemas.openxmlformats.org/package/2006/relationships"><Relationship Id="rIdB1" Type="http://schemas.openxmlformats.org/officeDocument/2006/relationships/image" Target="media/bg3.png"/></Relationships>
</file>

<file path=word/_rels/header23.xml.rels><?xml version="1.0" encoding="UTF-8" standalone="yes"?><Relationships xmlns="http://schemas.openxmlformats.org/package/2006/relationships"><Relationship Id="rIdB1" Type="http://schemas.openxmlformats.org/officeDocument/2006/relationships/image" Target="media/bg3.png"/></Relationships>
</file>

<file path=word/_rels/header24.xml.rels><?xml version="1.0" encoding="UTF-8" standalone="yes"?><Relationships xmlns="http://schemas.openxmlformats.org/package/2006/relationships"><Relationship Id="rIdB1" Type="http://schemas.openxmlformats.org/officeDocument/2006/relationships/image" Target="media/bg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Determinantes sociais da saúde, vigilância popular e governança participativa territorial – métodos mistos</dc:title>
  <dc:creator>Fiocruz Brasília · CoLaboratório CTIS · PICAPS</dc:creator>
  <dc:language>pt-BR</dc:language>
</cp:coreProperties>
</file>