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1300" w:lineRule="exact"/>
        <w:jc w:val="both"/>
      </w:pPr>
    </w:p>
    <w:p>
      <w:pPr>
        <w:spacing w:before="0" w:after="260" w:line="240" w:lineRule="auto"/>
        <w:jc w:val="left"/>
      </w:pPr>
      <w:r>
        <w:rPr>
          <w:rFonts w:ascii="Barlow Condensed SemiBold" w:hAnsi="Barlow Condensed SemiBold" w:cs="Barlow Condensed SemiBold" w:eastAsia="Barlow Condensed SemiBold"/>
          <w:color w:val="007614"/>
          <w:spacing w:val="40"/>
          <w:sz w:val="17"/>
          <w:szCs w:val="17"/>
        </w:rPr>
        <w:t xml:space="preserve">INTELIGÊNCIA TERRITORIAL · PICAPS · VERSÃO 2.0</w:t>
      </w:r>
    </w:p>
    <w:p>
      <w:pPr>
        <w:spacing w:before="0" w:after="0" w:line="1000" w:lineRule="exact"/>
        <w:jc w:val="left"/>
      </w:pPr>
      <w:r>
        <w:rPr>
          <w:rFonts w:ascii="Barlow Condensed" w:hAnsi="Barlow Condensed" w:cs="Barlow Condensed" w:eastAsia="Barlow Condensed"/>
          <w:b/>
          <w:bCs/>
          <w:color w:val="01366F"/>
          <w:sz w:val="96"/>
          <w:szCs w:val="96"/>
        </w:rPr>
        <w:t xml:space="preserve">PROTOCOLO</w:t>
      </w:r>
    </w:p>
    <w:p>
      <w:pPr>
        <w:spacing w:before="0" w:after="0" w:line="1000" w:lineRule="exact"/>
        <w:jc w:val="left"/>
      </w:pPr>
      <w:r>
        <w:rPr>
          <w:rFonts w:ascii="Barlow Condensed" w:hAnsi="Barlow Condensed" w:cs="Barlow Condensed" w:eastAsia="Barlow Condensed"/>
          <w:b/>
          <w:bCs/>
          <w:color w:val="01366F"/>
          <w:sz w:val="96"/>
          <w:szCs w:val="96"/>
        </w:rPr>
        <w:t xml:space="preserve">OPERACIONAL DA</w:t>
      </w:r>
    </w:p>
    <w:p>
      <w:pPr>
        <w:spacing w:before="0" w:after="0" w:line="1000" w:lineRule="exact"/>
        <w:jc w:val="left"/>
      </w:pPr>
      <w:r>
        <w:rPr>
          <w:rFonts w:ascii="Barlow Condensed" w:hAnsi="Barlow Condensed" w:cs="Barlow Condensed" w:eastAsia="Barlow Condensed"/>
          <w:b/>
          <w:bCs/>
          <w:color w:val="007614"/>
          <w:sz w:val="96"/>
          <w:szCs w:val="96"/>
        </w:rPr>
        <w:t xml:space="preserve">INTELIGÊNCIA TERRITORIAL</w:t>
      </w:r>
    </w:p>
    <w:p>
      <w:pPr>
        <w:pBdr>
          <w:left w:val="single" w:sz="24" w:space="0" w:color="007614"/>
        </w:pBdr>
        <w:spacing w:before="360" w:after="0" w:line="640" w:lineRule="exact"/>
        <w:ind w:left="40"/>
        <w:jc w:val="left"/>
      </w:pPr>
    </w:p>
    <w:p>
      <w:pPr>
        <w:spacing w:before="300" w:after="160" w:line="300" w:lineRule="auto"/>
        <w:ind w:right="3600"/>
        <w:jc w:val="left"/>
      </w:pPr>
      <w:r>
        <w:rPr>
          <w:rFonts w:ascii="Barlow" w:hAnsi="Barlow" w:cs="Barlow" w:eastAsia="Barlow"/>
          <w:color w:val="01366F"/>
          <w:sz w:val="22"/>
          <w:szCs w:val="22"/>
        </w:rPr>
        <w:t xml:space="preserve">Guia metodológico de atuação para articular a vigilância epidemiológica tradicional e a vigilância popular em saúde, com preponderância do território</w:t>
      </w:r>
    </w:p>
    <w:p>
      <w:pPr>
        <w:spacing w:before="0" w:after="0" w:line="280" w:lineRule="auto"/>
        <w:jc w:val="left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Wagner de Jesus Martins, Fernanda Machiner, Maria Eduarda Silva, Jeferson Martins de Castro</w:t>
      </w:r>
    </w:p>
    <w:p>
      <w:pPr>
        <w:framePr w:w="2800" w:h="1400" w:hRule="exact" w:wrap="around" w:hAnchor="page" w:vAnchor="page" w:x="8200" w:y="12500"/>
        <w:spacing w:before="0" w:after="0" w:line="640" w:lineRule="exact"/>
        <w:jc w:val="right"/>
      </w:pPr>
      <w:r>
        <w:rPr>
          <w:rFonts w:ascii="Barlow Condensed SemiBold" w:hAnsi="Barlow Condensed SemiBold" w:cs="Barlow Condensed SemiBold" w:eastAsia="Barlow Condensed SemiBold"/>
          <w:color w:val="FFFFFF"/>
          <w:spacing w:val="40"/>
          <w:sz w:val="20"/>
          <w:szCs w:val="20"/>
        </w:rPr>
        <w:t xml:space="preserve">BRASÍLIA</w:t>
      </w:r>
      <w:r>
        <w:br/>
      </w:r>
      <w:r>
        <w:rPr>
          <w:rFonts w:ascii="Barlow Condensed" w:hAnsi="Barlow Condensed" w:cs="Barlow Condensed" w:eastAsia="Barlow Condensed"/>
          <w:b/>
          <w:bCs/>
          <w:color w:val="FFFFFF"/>
          <w:sz w:val="60"/>
          <w:szCs w:val="60"/>
        </w:rPr>
        <w:t xml:space="preserve">2026</w:t>
      </w:r>
    </w:p>
    <w:p>
      <w:pPr>
        <w:spacing w:before="0" w:after="0" w:line="20" w:lineRule="exact"/>
        <w:jc w:val="both"/>
        <w:sectPr>
          <w:headerReference w:type="default" r:id="rId15"/>
          <w:headerReference w:type="even" r:id="rId15"/>
          <w:footerReference w:type="default" r:id="rId16"/>
          <w:footerReference w:type="even" r:id="rId16"/>
          <w:type w:val="nextPage"/>
          <w:pgSz w:w="11906" w:h="16838"/>
          <w:pgMar w:top="1300" w:right="1361" w:bottom="1000" w:left="1361" w:header="850" w:footer="330" w:gutter="0"/>
          <w:cols w:space="720"/>
          <w:docGrid w:linePitch="360"/>
        </w:sectPr>
      </w:pPr>
    </w:p>
    <w:p>
      <w:pPr>
        <w:spacing w:before="400" w:after="0" w:line="280" w:lineRule="auto"/>
        <w:jc w:val="center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Wagner de Jesus Martins, Fernanda Machiner, Maria Eduarda Silva, Jeferson Martins de Castro</w:t>
      </w:r>
    </w:p>
    <w:p>
      <w:pPr>
        <w:spacing w:before="0" w:after="0" w:line="2200" w:lineRule="exact"/>
        <w:jc w:val="both"/>
      </w:pPr>
    </w:p>
    <w:p>
      <w:pPr>
        <w:spacing w:before="0" w:after="0" w:line="620" w:lineRule="exact"/>
        <w:jc w:val="center"/>
      </w:pPr>
      <w:r>
        <w:rPr>
          <w:rFonts w:ascii="Barlow Condensed" w:hAnsi="Barlow Condensed" w:cs="Barlow Condensed" w:eastAsia="Barlow Condensed"/>
          <w:b/>
          <w:bCs/>
          <w:color w:val="01366F"/>
          <w:sz w:val="56"/>
          <w:szCs w:val="56"/>
        </w:rPr>
        <w:t xml:space="preserve">PROTOCOLO</w:t>
      </w:r>
    </w:p>
    <w:p>
      <w:pPr>
        <w:spacing w:before="0" w:after="0" w:line="620" w:lineRule="exact"/>
        <w:jc w:val="center"/>
      </w:pPr>
      <w:r>
        <w:rPr>
          <w:rFonts w:ascii="Barlow Condensed" w:hAnsi="Barlow Condensed" w:cs="Barlow Condensed" w:eastAsia="Barlow Condensed"/>
          <w:b/>
          <w:bCs/>
          <w:color w:val="01366F"/>
          <w:sz w:val="56"/>
          <w:szCs w:val="56"/>
        </w:rPr>
        <w:t xml:space="preserve">OPERACIONAL DA</w:t>
      </w:r>
    </w:p>
    <w:p>
      <w:pPr>
        <w:spacing w:before="0" w:after="0" w:line="620" w:lineRule="exact"/>
        <w:jc w:val="center"/>
      </w:pPr>
      <w:r>
        <w:rPr>
          <w:rFonts w:ascii="Barlow Condensed" w:hAnsi="Barlow Condensed" w:cs="Barlow Condensed" w:eastAsia="Barlow Condensed"/>
          <w:b/>
          <w:bCs/>
          <w:color w:val="01366F"/>
          <w:sz w:val="56"/>
          <w:szCs w:val="56"/>
        </w:rPr>
        <w:t xml:space="preserve">INTELIGÊNCIA TERRITORIAL</w:t>
      </w:r>
    </w:p>
    <w:p>
      <w:pPr>
        <w:spacing w:before="300" w:after="80" w:line="240" w:lineRule="auto"/>
        <w:jc w:val="center"/>
      </w:pPr>
      <w:r>
        <w:rPr>
          <w:rFonts w:ascii="Barlow Condensed SemiBold" w:hAnsi="Barlow Condensed SemiBold" w:cs="Barlow Condensed SemiBold" w:eastAsia="Barlow Condensed SemiBold"/>
          <w:color w:val="007614"/>
          <w:spacing w:val="40"/>
          <w:sz w:val="17"/>
          <w:szCs w:val="17"/>
        </w:rPr>
        <w:t xml:space="preserve">INTELIGÊNCIA TERRITORIAL · PICAPS · VERSÃO 2.0</w:t>
      </w:r>
    </w:p>
    <w:p>
      <w:pPr>
        <w:spacing w:before="0" w:after="0" w:line="280" w:lineRule="auto"/>
        <w:ind w:left="900" w:right="900"/>
        <w:jc w:val="center"/>
      </w:pPr>
      <w:r>
        <w:rPr>
          <w:rFonts w:ascii="Barlow" w:hAnsi="Barlow" w:cs="Barlow" w:eastAsia="Barlow"/>
          <w:i/>
          <w:iCs/>
          <w:color w:val="5F6B76"/>
          <w:sz w:val="20"/>
          <w:szCs w:val="20"/>
        </w:rPr>
        <w:t xml:space="preserve">Guia metodológico de atuação para articular a vigilância epidemiológica tradicional e a vigilância popular em saúde, com preponderância do território</w:t>
      </w:r>
    </w:p>
    <w:p>
      <w:pPr>
        <w:spacing w:before="0" w:after="0" w:line="4200" w:lineRule="exact"/>
        <w:jc w:val="both"/>
      </w:pPr>
    </w:p>
    <w:p>
      <w:pPr>
        <w:spacing w:before="0" w:after="0" w:line="260" w:lineRule="auto"/>
        <w:jc w:val="center"/>
      </w:pPr>
      <w:r>
        <w:rPr>
          <w:rFonts w:ascii="Barlow Condensed SemiBold" w:hAnsi="Barlow Condensed SemiBold" w:cs="Barlow Condensed SemiBold" w:eastAsia="Barlow Condensed SemiBold"/>
          <w:color w:val="01366F"/>
          <w:sz w:val="20"/>
          <w:szCs w:val="20"/>
        </w:rPr>
        <w:t xml:space="preserve">Fiocruz Brasília</w:t>
      </w:r>
    </w:p>
    <w:p>
      <w:pPr>
        <w:spacing w:before="0" w:after="0" w:line="260" w:lineRule="auto"/>
        <w:jc w:val="center"/>
      </w:pPr>
      <w:r>
        <w:rPr>
          <w:rFonts w:ascii="Barlow Condensed SemiBold" w:hAnsi="Barlow Condensed SemiBold" w:cs="Barlow Condensed SemiBold" w:eastAsia="Barlow Condensed SemiBold"/>
          <w:color w:val="01366F"/>
          <w:sz w:val="20"/>
          <w:szCs w:val="20"/>
        </w:rPr>
        <w:t xml:space="preserve">Brasília</w:t>
      </w:r>
    </w:p>
    <w:p>
      <w:pPr>
        <w:spacing w:before="0" w:after="0" w:line="260" w:lineRule="auto"/>
        <w:jc w:val="center"/>
        <w:sectPr>
          <w:headerReference w:type="default" r:id="rId17"/>
          <w:headerReference w:type="even" r:id="rId17"/>
          <w:footerReference w:type="default" r:id="rId16"/>
          <w:footerReference w:type="even" r:id="rId16"/>
          <w:type w:val="nextPage"/>
          <w:pgSz w:w="11906" w:h="16838"/>
          <w:pgMar w:top="1700" w:right="1531" w:bottom="1700" w:left="1531" w:header="850" w:footer="330" w:gutter="0"/>
          <w:cols w:space="720"/>
          <w:docGrid w:linePitch="360"/>
        </w:sectPr>
      </w:pPr>
      <w:r>
        <w:rPr>
          <w:rFonts w:ascii="Barlow Condensed" w:hAnsi="Barlow Condensed" w:cs="Barlow Condensed" w:eastAsia="Barlow Condensed"/>
          <w:b/>
          <w:bCs/>
          <w:color w:val="01366F"/>
          <w:sz w:val="20"/>
          <w:szCs w:val="20"/>
        </w:rPr>
        <w:t xml:space="preserve">2026</w:t>
      </w:r>
    </w:p>
    <w:p>
      <w:pPr>
        <w:spacing w:before="0" w:after="0" w:line="7600" w:lineRule="exact"/>
        <w:jc w:val="both"/>
      </w:pPr>
    </w:p>
    <w:p>
      <w:pPr>
        <w:spacing w:before="140" w:after="20" w:line="240" w:lineRule="auto"/>
        <w:jc w:val="left"/>
      </w:pPr>
      <w:r>
        <w:rPr>
          <w:rFonts w:ascii="Barlow Condensed SemiBold" w:hAnsi="Barlow Condensed SemiBold" w:cs="Barlow Condensed SemiBold" w:eastAsia="Barlow Condensed SemiBold"/>
          <w:color w:val="007614"/>
          <w:spacing w:val="30"/>
          <w:sz w:val="15"/>
          <w:szCs w:val="15"/>
        </w:rPr>
        <w:t xml:space="preserve">AUTORIA</w:t>
      </w:r>
    </w:p>
    <w:p>
      <w:pPr>
        <w:spacing w:before="0" w:after="0" w:line="270" w:lineRule="auto"/>
        <w:jc w:val="left"/>
      </w:pPr>
      <w:r>
        <w:rPr>
          <w:rFonts w:ascii="Barlow" w:hAnsi="Barlow" w:cs="Barlow" w:eastAsia="Barlow"/>
          <w:color w:val="0F2440"/>
          <w:sz w:val="18"/>
          <w:szCs w:val="18"/>
        </w:rPr>
        <w:t xml:space="preserve">Wagner de Jesus Martins, Fernanda Machiner, Maria Eduarda Silva, Jeferson Martins de Castro</w:t>
      </w:r>
    </w:p>
    <w:p>
      <w:pPr>
        <w:spacing w:before="140" w:after="20" w:line="240" w:lineRule="auto"/>
        <w:jc w:val="left"/>
      </w:pPr>
      <w:r>
        <w:rPr>
          <w:rFonts w:ascii="Barlow Condensed SemiBold" w:hAnsi="Barlow Condensed SemiBold" w:cs="Barlow Condensed SemiBold" w:eastAsia="Barlow Condensed SemiBold"/>
          <w:color w:val="007614"/>
          <w:spacing w:val="30"/>
          <w:sz w:val="15"/>
          <w:szCs w:val="15"/>
        </w:rPr>
        <w:t xml:space="preserve">REALIZAÇÃO</w:t>
      </w:r>
    </w:p>
    <w:p>
      <w:pPr>
        <w:spacing w:before="0" w:after="0" w:line="270" w:lineRule="auto"/>
        <w:jc w:val="left"/>
      </w:pPr>
      <w:r>
        <w:rPr>
          <w:rFonts w:ascii="Barlow" w:hAnsi="Barlow" w:cs="Barlow" w:eastAsia="Barlow"/>
          <w:color w:val="0F2440"/>
          <w:sz w:val="18"/>
          <w:szCs w:val="18"/>
        </w:rPr>
        <w:t xml:space="preserve">Fundação Oswaldo Cruz – Fiocruz Brasília · CoLaboratório de Ciência, Tecnologia, Inovação e Sociedade (CTIS) · Plataforma de Inteligência Cooperativa com a Atenção Primária à Saúde (PICAPS)</w:t>
      </w:r>
    </w:p>
    <w:p>
      <w:pPr>
        <w:spacing w:before="140" w:after="20" w:line="240" w:lineRule="auto"/>
        <w:jc w:val="left"/>
      </w:pPr>
      <w:r>
        <w:rPr>
          <w:rFonts w:ascii="Barlow Condensed SemiBold" w:hAnsi="Barlow Condensed SemiBold" w:cs="Barlow Condensed SemiBold" w:eastAsia="Barlow Condensed SemiBold"/>
          <w:color w:val="007614"/>
          <w:spacing w:val="30"/>
          <w:sz w:val="15"/>
          <w:szCs w:val="15"/>
        </w:rPr>
        <w:t xml:space="preserve">EDIÇÃO</w:t>
      </w:r>
    </w:p>
    <w:p>
      <w:pPr>
        <w:spacing w:before="0" w:after="0" w:line="270" w:lineRule="auto"/>
        <w:jc w:val="left"/>
      </w:pPr>
      <w:r>
        <w:rPr>
          <w:rFonts w:ascii="Barlow" w:hAnsi="Barlow" w:cs="Barlow" w:eastAsia="Barlow"/>
          <w:color w:val="0F2440"/>
          <w:sz w:val="18"/>
          <w:szCs w:val="18"/>
        </w:rPr>
        <w:t xml:space="preserve">Versão 2.0 · Brasília, outubro de 2026</w:t>
      </w:r>
    </w:p>
    <w:p>
      <w:pPr>
        <w:spacing w:before="140" w:after="20" w:line="240" w:lineRule="auto"/>
        <w:jc w:val="left"/>
      </w:pPr>
      <w:r>
        <w:rPr>
          <w:rFonts w:ascii="Barlow Condensed SemiBold" w:hAnsi="Barlow Condensed SemiBold" w:cs="Barlow Condensed SemiBold" w:eastAsia="Barlow Condensed SemiBold"/>
          <w:color w:val="007614"/>
          <w:spacing w:val="30"/>
          <w:sz w:val="15"/>
          <w:szCs w:val="15"/>
        </w:rPr>
        <w:t xml:space="preserve">DOCUMENTOS RELACIONADOS</w:t>
      </w:r>
    </w:p>
    <w:p>
      <w:pPr>
        <w:spacing w:before="0" w:after="0" w:line="270" w:lineRule="auto"/>
        <w:jc w:val="left"/>
      </w:pPr>
      <w:r>
        <w:rPr>
          <w:rFonts w:ascii="Barlow" w:hAnsi="Barlow" w:cs="Barlow" w:eastAsia="Barlow"/>
          <w:color w:val="0F2440"/>
          <w:sz w:val="18"/>
          <w:szCs w:val="18"/>
        </w:rPr>
        <w:t xml:space="preserve">Protocolo de Inteligência Territorial; Protocolo Operacional da Inteligência Territorial; Índice de Necessidade de Saúde (INS); Guia metodológico do Índice de Vulnerabilidade Territorial (IVT)</w:t>
      </w:r>
    </w:p>
    <w:p>
      <w:pPr>
        <w:spacing w:before="140" w:after="20" w:line="240" w:lineRule="auto"/>
        <w:jc w:val="left"/>
      </w:pPr>
      <w:r>
        <w:rPr>
          <w:rFonts w:ascii="Barlow Condensed SemiBold" w:hAnsi="Barlow Condensed SemiBold" w:cs="Barlow Condensed SemiBold" w:eastAsia="Barlow Condensed SemiBold"/>
          <w:color w:val="007614"/>
          <w:spacing w:val="30"/>
          <w:sz w:val="15"/>
          <w:szCs w:val="15"/>
        </w:rPr>
        <w:t xml:space="preserve">COMO CITAR</w:t>
      </w:r>
    </w:p>
    <w:p>
      <w:pPr>
        <w:spacing w:before="0" w:after="0" w:line="270" w:lineRule="auto"/>
        <w:jc w:val="left"/>
        <w:sectPr>
          <w:headerReference w:type="default" r:id="rId17"/>
          <w:headerReference w:type="even" r:id="rId17"/>
          <w:footerReference w:type="default" r:id="rId16"/>
          <w:footerReference w:type="even" r:id="rId16"/>
          <w:type w:val="nextPage"/>
          <w:pgSz w:w="11906" w:h="16838"/>
          <w:pgMar w:top="1700" w:right="1531" w:bottom="1700" w:left="1531" w:header="850" w:footer="330" w:gutter="0"/>
          <w:cols w:space="720"/>
          <w:docGrid w:linePitch="360"/>
        </w:sectPr>
      </w:pPr>
      <w:r>
        <w:rPr>
          <w:rFonts w:ascii="Barlow" w:hAnsi="Barlow" w:cs="Barlow" w:eastAsia="Barlow"/>
          <w:color w:val="0F2440"/>
          <w:sz w:val="18"/>
          <w:szCs w:val="18"/>
        </w:rPr>
        <w:t xml:space="preserve">MARTINS, W. J.; MACHINER, F.; SILVA, M. E.; CASTRO, J. M. </w:t>
      </w:r>
      <w:r>
        <w:rPr>
          <w:rFonts w:ascii="Barlow SemiBold" w:hAnsi="Barlow SemiBold" w:cs="Barlow SemiBold" w:eastAsia="Barlow SemiBold"/>
          <w:color w:val="01366F"/>
          <w:sz w:val="18"/>
          <w:szCs w:val="18"/>
        </w:rPr>
        <w:t xml:space="preserve">Protocolo Operacional da Inteligência Territorial</w:t>
      </w:r>
      <w:r>
        <w:rPr>
          <w:rFonts w:ascii="Barlow" w:hAnsi="Barlow" w:cs="Barlow" w:eastAsia="Barlow"/>
          <w:color w:val="0F2440"/>
          <w:sz w:val="18"/>
          <w:szCs w:val="18"/>
        </w:rPr>
        <w:t xml:space="preserve">: guia metodológico de atuação. Versão 2.0. Brasília: Fiocruz Brasília/CoLaboratório CTIS/PICAPS, 2026.</w:t>
      </w:r>
    </w:p>
    <w:p>
      <w:pPr>
        <w:pBdr>
          <w:bottom w:val="single" w:sz="12" w:space="10" w:color="007614"/>
        </w:pBdr>
        <w:spacing w:before="0" w:after="480" w:line="300" w:lineRule="auto"/>
        <w:jc w:val="center"/>
      </w:pPr>
      <w:r>
        <w:rPr>
          <w:rFonts w:ascii="Barlow Condensed" w:hAnsi="Barlow Condensed" w:cs="Barlow Condensed" w:eastAsia="Barlow Condensed"/>
          <w:b/>
          <w:bCs/>
          <w:color w:val="01366F"/>
          <w:sz w:val="44"/>
          <w:szCs w:val="44"/>
        </w:rPr>
        <w:t xml:space="preserve">SOBRE ESTE DOCUMENTO</w:t>
      </w:r>
    </w:p>
    <w:p>
      <w:pPr>
        <w:spacing w:before="0" w:after="140" w:line="300" w:lineRule="auto"/>
        <w:jc w:val="both"/>
        <w:sectPr>
          <w:headerReference w:type="default" r:id="rId17"/>
          <w:headerReference w:type="even" r:id="rId17"/>
          <w:footerReference w:type="default" r:id="rId16"/>
          <w:footerReference w:type="even" r:id="rId16"/>
          <w:type w:val="nextPage"/>
          <w:pgSz w:w="11906" w:h="16838"/>
          <w:pgMar w:top="1700" w:right="1531" w:bottom="1700" w:left="1531" w:header="850" w:footer="330" w:gutter="0"/>
          <w:cols w:space="720"/>
          <w:docGrid w:linePitch="360"/>
        </w:sectPr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Este guia transforma o Protocolo de Inteligência Territorial (versão 2.0) em um modo de operar: para cada momento do trabalho, diz o que perguntar, o que fazer, quem faz, quando e como saber se deu certo. A fundamentação teórica e metodológica está no Protocolo de Inteligência Territorial, no projeto do Índice de Necessidade de Saúde (INS) e no Guia do Índice de Vulnerabilidade Territorial (IVT), todos na versão 2.0. O guia acompanha uma aplicação interativa que roda no navegador.</w:t>
      </w:r>
    </w:p>
    <w:p>
      <w:pPr>
        <w:pBdr>
          <w:bottom w:val="single" w:sz="12" w:space="10" w:color="007614"/>
        </w:pBdr>
        <w:spacing w:before="0" w:after="480" w:line="300" w:lineRule="auto"/>
        <w:jc w:val="center"/>
      </w:pPr>
      <w:r>
        <w:rPr>
          <w:rFonts w:ascii="Barlow Condensed" w:hAnsi="Barlow Condensed" w:cs="Barlow Condensed" w:eastAsia="Barlow Condensed"/>
          <w:b/>
          <w:bCs/>
          <w:color w:val="01366F"/>
          <w:sz w:val="44"/>
          <w:szCs w:val="44"/>
        </w:rPr>
        <w:t xml:space="preserve">SUMÁRIO</w:t>
      </w:r>
    </w:p>
    <w:p>
      <w:pPr>
        <w:tabs>
          <w:tab w:val="right" w:pos="8844"/>
        </w:tabs>
        <w:spacing w:before="200" w:after="40" w:line="260" w:lineRule="auto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h0" w:history="1">
        <w:r>
          <w:rPr>
            <w:rFonts w:ascii="Barlow Condensed SemiBold" w:hAnsi="Barlow Condensed SemiBold" w:cs="Barlow Condensed SemiBold" w:eastAsia="Barlow Condensed SemiBold"/>
            <w:color w:val="01366F"/>
            <w:spacing w:val="10"/>
            <w:sz w:val="19"/>
            <w:szCs w:val="19"/>
          </w:rPr>
          <w:t xml:space="preserve">PARTE 1 · FUNDAMENTOS DA OPERAÇÃO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9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1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1 Como usar este guia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10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2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1.1 Três compromissos que orientam toda decisão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10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3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1.2 Regras de ouro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10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4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1.3 Anatomia de cada procedimento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10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5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2 O método em uma imagem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11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6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3 Instrumentos de leitura: qual pergunta cada um responde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11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7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3.1 Regras de separação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12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8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4 Implantação: seis etapas e prontidão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12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9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4.1 Checklist de prontidão antes da primeira reunião deliberativa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13</w:t>
        </w:r>
      </w:hyperlink>
    </w:p>
    <w:p>
      <w:pPr>
        <w:tabs>
          <w:tab w:val="right" w:pos="8844"/>
        </w:tabs>
        <w:spacing w:before="200" w:after="40" w:line="260" w:lineRule="auto"/>
        <w:jc w:val="left"/>
      </w:pPr>
      <w:hyperlink w:anchor="_h10" w:history="1">
        <w:r>
          <w:rPr>
            <w:rFonts w:ascii="Barlow Condensed SemiBold" w:hAnsi="Barlow Condensed SemiBold" w:cs="Barlow Condensed SemiBold" w:eastAsia="Barlow Condensed SemiBold"/>
            <w:color w:val="01366F"/>
            <w:spacing w:val="10"/>
            <w:sz w:val="19"/>
            <w:szCs w:val="19"/>
          </w:rPr>
          <w:t xml:space="preserve">PARTE 2 · O CICLO DE INTELIGÊNCIA TERRITORIAL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14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11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5 O Ciclo de Inteligência Territorial: cinco fases e sete ritmos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15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12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6 F1 · Captação de sinais (contínua)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16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13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6.1 Passos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16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14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7 F2 · Integração e análise (mensal, semestral e anual)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17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15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7.1 Passos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17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16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7.2 Leitura exposição × sensibilidade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18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17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8 F3 · Interpretação e deliberação (mensal, na SCS)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19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18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8.1 Roteiro com perguntas por bloco (cerca de 2 horas; tempos sugeridos)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19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19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8.2 Matriz UIC: como priorizar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19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20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9 F4 · Ação e exigibilidade (48 horas a 180 dias)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20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21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9.1 Triagem: em qual registro de ação cada encaminhamento entra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20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22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9.2 Fluxo de 72 horas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21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23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9.3 Incorporação das invisibilidades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21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24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10 F5 · Reflexividade (trimestral, anual e bienal)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22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25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10.1 Passos trimestrais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22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26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10.2 Revisões de prazo mais longo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22</w:t>
        </w:r>
      </w:hyperlink>
    </w:p>
    <w:p>
      <w:pPr>
        <w:tabs>
          <w:tab w:val="right" w:pos="8844"/>
        </w:tabs>
        <w:spacing w:before="200" w:after="40" w:line="260" w:lineRule="auto"/>
        <w:jc w:val="left"/>
      </w:pPr>
      <w:hyperlink w:anchor="_h27" w:history="1">
        <w:r>
          <w:rPr>
            <w:rFonts w:ascii="Barlow Condensed SemiBold" w:hAnsi="Barlow Condensed SemiBold" w:cs="Barlow Condensed SemiBold" w:eastAsia="Barlow Condensed SemiBold"/>
            <w:color w:val="01366F"/>
            <w:spacing w:val="10"/>
            <w:sz w:val="19"/>
            <w:szCs w:val="19"/>
          </w:rPr>
          <w:t xml:space="preserve">PARTE 3 · ORGANIZAÇÃO E ACOMPANHAMENTO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24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28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11 Papéis e responsabilidades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25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29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12 Calendário operacional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25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30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12.1 Semana-tipo (sugestão; cada SCS fixa a sua)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26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31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13 Painel de Vigilância Integrada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26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32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13.1 Como ler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27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33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13.2 Gatilhos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27</w:t>
        </w:r>
      </w:hyperlink>
    </w:p>
    <w:p>
      <w:pPr>
        <w:tabs>
          <w:tab w:val="right" w:pos="8844"/>
        </w:tabs>
        <w:spacing w:before="200" w:after="40" w:line="260" w:lineRule="auto"/>
        <w:jc w:val="left"/>
      </w:pPr>
      <w:hyperlink w:anchor="_h34" w:history="1">
        <w:r>
          <w:rPr>
            <w:rFonts w:ascii="Barlow Condensed SemiBold" w:hAnsi="Barlow Condensed SemiBold" w:cs="Barlow Condensed SemiBold" w:eastAsia="Barlow Condensed SemiBold"/>
            <w:color w:val="01366F"/>
            <w:spacing w:val="10"/>
            <w:sz w:val="19"/>
            <w:szCs w:val="19"/>
          </w:rPr>
          <w:t xml:space="preserve">PARTE 4 · GOVERNANÇA E SUSTENTAÇÃO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28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35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14 Governança em três níveis e escalonamento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29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36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14.1 Quando escalonar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29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37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15 Ameaças, sinais de alerta e contingência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30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38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15.1 Modo contingência (Ágora indisponível)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30</w:t>
        </w:r>
      </w:hyperlink>
    </w:p>
    <w:p>
      <w:pPr>
        <w:tabs>
          <w:tab w:val="right" w:pos="8844"/>
        </w:tabs>
        <w:spacing w:before="0" w:after="30" w:line="260" w:lineRule="auto"/>
        <w:ind w:left="300"/>
        <w:jc w:val="left"/>
      </w:pPr>
      <w:hyperlink w:anchor="_h39" w:history="1">
        <w:r>
          <w:rPr>
            <w:rFonts w:ascii="Barlow" w:hAnsi="Barlow" w:cs="Barlow" w:eastAsia="Barlow"/>
            <w:color w:val="0F2440"/>
            <w:sz w:val="19"/>
            <w:szCs w:val="19"/>
          </w:rPr>
          <w:t xml:space="preserve">16 Aplicação interativa e parâmetros a pactuar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9"/>
            <w:szCs w:val="19"/>
          </w:rPr>
          <w:t xml:space="preserve">30</w:t>
        </w:r>
      </w:hyperlink>
    </w:p>
    <w:p>
      <w:pPr>
        <w:tabs>
          <w:tab w:val="right" w:pos="8844"/>
        </w:tabs>
        <w:spacing w:before="0" w:after="20" w:line="250" w:lineRule="auto"/>
        <w:ind w:left="600"/>
        <w:jc w:val="left"/>
      </w:pPr>
      <w:hyperlink w:anchor="_h40" w:history="1">
        <w:r>
          <w:rPr>
            <w:rFonts w:ascii="Barlow" w:hAnsi="Barlow" w:cs="Barlow" w:eastAsia="Barlow"/>
            <w:color w:val="5F6B76"/>
            <w:sz w:val="18"/>
            <w:szCs w:val="18"/>
          </w:rPr>
          <w:t xml:space="preserve">16.1 Parâmetros a pactuar no ciclo inaugural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31</w:t>
        </w:r>
      </w:hyperlink>
      <w:r>
        <w:fldChar w:fldCharType="end"/>
      </w:r>
    </w:p>
    <w:p>
      <w:pPr>
        <w:sectPr>
          <w:headerReference w:type="default" r:id="rId17"/>
          <w:headerReference w:type="even" r:id="rId17"/>
          <w:footerReference w:type="default" r:id="rId16"/>
          <w:footerReference w:type="even" r:id="rId16"/>
          <w:type w:val="nextPage"/>
          <w:pgSz w:w="11906" w:h="16838"/>
          <w:pgMar w:top="1700" w:right="1531" w:bottom="1700" w:left="1531" w:header="850" w:footer="330" w:gutter="0"/>
          <w:cols w:space="720"/>
          <w:docGrid w:linePitch="360"/>
        </w:sectPr>
      </w:pPr>
    </w:p>
    <w:p>
      <w:pPr>
        <w:pBdr>
          <w:bottom w:val="single" w:sz="12" w:space="10" w:color="007614"/>
        </w:pBdr>
        <w:spacing w:before="0" w:after="480" w:line="300" w:lineRule="auto"/>
        <w:jc w:val="center"/>
      </w:pPr>
      <w:r>
        <w:rPr>
          <w:rFonts w:ascii="Barlow Condensed" w:hAnsi="Barlow Condensed" w:cs="Barlow Condensed" w:eastAsia="Barlow Condensed"/>
          <w:b/>
          <w:bCs/>
          <w:color w:val="01366F"/>
          <w:sz w:val="44"/>
          <w:szCs w:val="44"/>
        </w:rPr>
        <w:t xml:space="preserve">LISTA DE FIGURAS</w:t>
      </w:r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f_metodo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Figura 1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O método em uma imagem: duas vigilâncias, um mapa, uma Sala que decide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11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f_cit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Figura 2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Ciclo de Inteligência Territorial: cinco fases e sete ritmos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15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f_matriz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Figura 3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Matriz de leitura de sinais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18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f_f72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Figura 4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Fluxo do alerta crítico em 72 horas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21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f_gov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Figura 5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Governança em três níveis e subsidiariedade ascendente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29</w:t>
        </w:r>
      </w:hyperlink>
    </w:p>
    <w:p>
      <w:pPr>
        <w:sectPr>
          <w:headerReference w:type="default" r:id="rId17"/>
          <w:headerReference w:type="even" r:id="rId17"/>
          <w:footerReference w:type="default" r:id="rId16"/>
          <w:footerReference w:type="even" r:id="rId16"/>
          <w:type w:val="nextPage"/>
          <w:pgSz w:w="11906" w:h="16838"/>
          <w:pgMar w:top="1700" w:right="1531" w:bottom="1700" w:left="1531" w:header="850" w:footer="330" w:gutter="0"/>
          <w:cols w:space="720"/>
          <w:docGrid w:linePitch="360"/>
        </w:sectPr>
      </w:pPr>
    </w:p>
    <w:p>
      <w:pPr>
        <w:pBdr>
          <w:bottom w:val="single" w:sz="12" w:space="10" w:color="007614"/>
        </w:pBdr>
        <w:spacing w:before="0" w:after="480" w:line="300" w:lineRule="auto"/>
        <w:jc w:val="center"/>
      </w:pPr>
      <w:r>
        <w:rPr>
          <w:rFonts w:ascii="Barlow Condensed" w:hAnsi="Barlow Condensed" w:cs="Barlow Condensed" w:eastAsia="Barlow Condensed"/>
          <w:b/>
          <w:bCs/>
          <w:color w:val="01366F"/>
          <w:sz w:val="44"/>
          <w:szCs w:val="44"/>
        </w:rPr>
        <w:t xml:space="preserve">LISTA DE QUADROS</w:t>
      </w:r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1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1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Anatomia de cada procedimento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10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2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2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Três instrumentos de leitura do território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12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3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3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Etapas de implantação da metodologia PICAPS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12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4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4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Ritmos do Ciclo de Inteligência Territorial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15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5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5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Fase 1 – Captação de sinais: quem, quando, com o quê e produto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16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6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6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Fase 2 – Integração e análise: quem, quando, com o quê e produto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17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7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7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Leitura exposição × sensibilidade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18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8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8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Roteiro da reunião deliberativa da SCS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19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9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9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Registros de ação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20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10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10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Incorporação das invisibilidades aos sistemas oficiais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21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11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11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Fase 5 – Reflexividade: quem, quando, com o quê e produto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22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12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12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Papéis e responsabilidades no Ciclo de Inteligência Territorial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25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13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13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Calendário operacional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25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14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14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Semana-tipo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26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15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15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Painel de Vigilância Integrada: indicadores e metas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26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16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16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Situações de escalonamento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29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17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17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Ameaças, sinais de alerta e contramedidas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30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18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18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Módulos da aplicação interativa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30</w:t>
        </w:r>
      </w:hyperlink>
    </w:p>
    <w:p>
      <w:pPr>
        <w:tabs>
          <w:tab w:val="left" w:pos="1150"/>
          <w:tab w:val="right" w:pos="8844"/>
        </w:tabs>
        <w:spacing w:before="0" w:after="60" w:line="260" w:lineRule="auto"/>
        <w:ind w:left="1150" w:right="500" w:hanging="1150"/>
        <w:jc w:val="left"/>
      </w:pPr>
      <w:hyperlink w:anchor="_q_op19" w:history="1"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Quadro 19</w:t>
        </w:r>
        <w:r>
          <w:tab/>
        </w:r>
        <w:r>
          <w:rPr>
            <w:rFonts w:ascii="Barlow" w:hAnsi="Barlow" w:cs="Barlow" w:eastAsia="Barlow"/>
            <w:color w:val="0F2440"/>
            <w:sz w:val="18"/>
            <w:szCs w:val="18"/>
          </w:rPr>
          <w:t xml:space="preserve">Parâmetros a pactuar no ciclo inaugural</w:t>
        </w:r>
        <w:r>
          <w:tab/>
        </w:r>
        <w:r>
          <w:rPr>
            <w:rFonts w:ascii="Barlow Condensed SemiBold" w:hAnsi="Barlow Condensed SemiBold" w:cs="Barlow Condensed SemiBold" w:eastAsia="Barlow Condensed SemiBold"/>
            <w:color w:val="007614"/>
            <w:sz w:val="18"/>
            <w:szCs w:val="18"/>
          </w:rPr>
          <w:t xml:space="preserve">31</w:t>
        </w:r>
      </w:hyperlink>
    </w:p>
    <w:p>
      <w:pPr>
        <w:sectPr>
          <w:headerReference w:type="default" r:id="rId17"/>
          <w:headerReference w:type="even" r:id="rId17"/>
          <w:footerReference w:type="default" r:id="rId16"/>
          <w:footerReference w:type="even" r:id="rId16"/>
          <w:type w:val="nextPage"/>
          <w:pgSz w:w="11906" w:h="16838"/>
          <w:pgMar w:top="1700" w:right="1531" w:bottom="1700" w:left="1531" w:header="850" w:footer="330" w:gutter="0"/>
          <w:cols w:space="720"/>
          <w:docGrid w:linePitch="360"/>
        </w:sectPr>
      </w:pPr>
    </w:p>
    <w:p>
      <w:pPr>
        <w:pBdr>
          <w:bottom w:val="single" w:sz="12" w:space="10" w:color="007614"/>
        </w:pBdr>
        <w:spacing w:before="0" w:after="480" w:line="300" w:lineRule="auto"/>
        <w:jc w:val="center"/>
      </w:pPr>
      <w:r>
        <w:rPr>
          <w:rFonts w:ascii="Barlow Condensed" w:hAnsi="Barlow Condensed" w:cs="Barlow Condensed" w:eastAsia="Barlow Condensed"/>
          <w:b/>
          <w:bCs/>
          <w:color w:val="01366F"/>
          <w:sz w:val="44"/>
          <w:szCs w:val="44"/>
        </w:rPr>
        <w:t xml:space="preserve">LISTA DE SIGLAS</w:t>
      </w:r>
    </w:p>
    <w:tbl>
      <w:tblPr>
        <w:tblW w:w="88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000"/>
      </w:tblPr>
      <w:tblGrid>
        <w:gridCol w:w="1250"/>
        <w:gridCol w:w="3050"/>
        <w:gridCol w:w="240"/>
        <w:gridCol w:w="1250"/>
        <w:gridCol w:w="3054"/>
      </w:tblGrid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ACE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Agente de combate às endemias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INS-M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Índice de Necessidade de Saúde, recorte municipal</w:t>
            </w:r>
          </w:p>
        </w:tc>
      </w:tr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ACS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Agente comunitário de saúde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IRS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Índice de Resiliência Sociotécnica</w:t>
            </w:r>
          </w:p>
        </w:tc>
      </w:tr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APPT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Atenção Primária de Precisão Territorial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IT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Inteligência Territorial</w:t>
            </w:r>
          </w:p>
        </w:tc>
      </w:tr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APS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Atenção Primária à Saúde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IVT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Índice de Vulnerabilidade Territorial</w:t>
            </w:r>
          </w:p>
        </w:tc>
      </w:tr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CIT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Ciclo de Inteligência Territorial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LIRAa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Levantamento Rápido de Índices para Aedes aegypti</w:t>
            </w:r>
          </w:p>
        </w:tc>
      </w:tr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CRAS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Centro de Referência de Assistência Social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MTEI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Matriz de Tradução Epistêmica Intercultural</w:t>
            </w:r>
          </w:p>
        </w:tc>
      </w:tr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CTIS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CoLaboratório de Ciência, Tecnologia, Inovação e Sociedade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PICAPS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Plataforma de Inteligência Cooperativa com a Atenção Primária à Saúde</w:t>
            </w:r>
          </w:p>
        </w:tc>
      </w:tr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DPT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Diálogos Prospectivos Territoriais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PVI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Painel de Vigilância Integrada</w:t>
            </w:r>
          </w:p>
        </w:tc>
      </w:tr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e-SUS APS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Estratégia de informatização da Atenção Primária à Saúde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SCS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Sala de Cooperação Social</w:t>
            </w:r>
          </w:p>
        </w:tc>
      </w:tr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ESF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Estratégia Saúde da Família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SINAN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Sistema de Informação de Agravos de Notificação</w:t>
            </w:r>
          </w:p>
        </w:tc>
      </w:tr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INS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Índice de Necessidade de Saúde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UBS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Unidade Básica de Saúde</w:t>
            </w:r>
          </w:p>
        </w:tc>
      </w:tr>
      <w:tr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INS-DF</w:t>
            </w:r>
          </w:p>
        </w:tc>
        <w:tc>
          <w:tcPr>
            <w:tcW w:w="30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Índice de Necessidade de Saúde, recorte distrital</w:t>
            </w:r>
          </w:p>
        </w:tc>
        <w:tc>
          <w:tcPr>
            <w:tcW w:w="240" w:type="dxa"/>
          </w:tcPr>
          <w:p>
            <w:pPr>
              <w:spacing w:before="0" w:after="0" w:line="300" w:lineRule="auto"/>
              <w:jc w:val="both"/>
            </w:pPr>
          </w:p>
        </w:tc>
        <w:tc>
          <w:tcPr>
            <w:tcW w:w="1250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18"/>
                <w:szCs w:val="18"/>
              </w:rPr>
              <w:t xml:space="preserve">UIC</w:t>
            </w:r>
          </w:p>
        </w:tc>
        <w:tc>
          <w:tcPr>
            <w:tcW w:w="3054" w:type="dxa"/>
          </w:tcPr>
          <w:p>
            <w:pPr>
              <w:spacing w:before="0" w:after="0" w:line="250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Urgência, impacto e capacidade de agência (Matriz UIC)</w:t>
            </w:r>
          </w:p>
        </w:tc>
      </w:tr>
    </w:tbl>
    <w:p>
      <w:pPr>
        <w:spacing w:before="0" w:after="0" w:line="300" w:lineRule="auto"/>
        <w:jc w:val="both"/>
      </w:pPr>
    </w:p>
    <w:p>
      <w:pPr>
        <w:sectPr>
          <w:headerReference w:type="default" r:id="rId17"/>
          <w:headerReference w:type="even" r:id="rId17"/>
          <w:footerReference w:type="default" r:id="rId16"/>
          <w:footerReference w:type="even" r:id="rId16"/>
          <w:type w:val="nextPage"/>
          <w:pgSz w:w="11906" w:h="16838"/>
          <w:pgMar w:top="1700" w:right="1531" w:bottom="1700" w:left="1531" w:header="850" w:footer="330" w:gutter="0"/>
          <w:cols w:space="720"/>
          <w:docGrid w:linePitch="360"/>
        </w:sectPr>
      </w:pPr>
    </w:p>
    <w:p>
      <w:pPr>
        <w:spacing w:before="0" w:after="0" w:line="700" w:lineRule="exact"/>
        <w:jc w:val="both"/>
      </w:pPr>
    </w:p>
    <w:p>
      <w:pPr>
        <w:spacing w:before="0" w:after="420" w:line="280" w:lineRule="auto"/>
        <w:jc w:val="left"/>
      </w:pPr>
      <w:r>
        <w:rPr>
          <w:rFonts w:ascii="Barlow Condensed SemiBold" w:hAnsi="Barlow Condensed SemiBold" w:cs="Barlow Condensed SemiBold" w:eastAsia="Barlow Condensed SemiBold"/>
          <w:color w:val="FFFFFF"/>
          <w:sz w:val="17"/>
          <w:szCs w:val="17"/>
          <w:shd w:val="clear" w:color="auto" w:fill="007614"/>
        </w:rPr>
        <w:t xml:space="preserve">  PARTE 1  </w:t>
      </w:r>
    </w:p>
    <w:p>
      <w:pPr>
        <w:pStyle w:val="Heading1"/>
        <w:spacing w:before="0" w:after="0" w:line="860" w:lineRule="exact"/>
        <w:jc w:val="left"/>
        <w:sectPr>
          <w:headerReference w:type="default" r:id="rId18"/>
          <w:headerReference w:type="even" r:id="rId18"/>
          <w:footerReference w:type="default" r:id="rId16"/>
          <w:footerReference w:type="even" r:id="rId16"/>
          <w:type w:val="nextPage"/>
          <w:pgSz w:w="11906" w:h="16838"/>
          <w:pgMar w:top="1474" w:right="1531" w:bottom="1814" w:left="1531" w:header="850" w:footer="330" w:gutter="0"/>
          <w:cols w:space="720"/>
          <w:docGrid w:linePitch="360"/>
        </w:sectPr>
      </w:pPr>
      <w:bookmarkStart w:id="1" w:name="_h0"/>
      <w:r>
        <w:rPr>
          <w:rFonts w:ascii="Barlow Condensed" w:hAnsi="Barlow Condensed" w:cs="Barlow Condensed" w:eastAsia="Barlow Condensed"/>
          <w:b/>
          <w:bCs/>
          <w:color w:val="01366F"/>
          <w:sz w:val="80"/>
          <w:szCs w:val="80"/>
        </w:rPr>
        <w:t xml:space="preserve">Fundamentos</w:t>
      </w:r>
      <w:r>
        <w:br/>
      </w:r>
      <w:r>
        <w:rPr>
          <w:rFonts w:ascii="Barlow Condensed" w:hAnsi="Barlow Condensed" w:cs="Barlow Condensed" w:eastAsia="Barlow Condensed"/>
          <w:b/>
          <w:bCs/>
          <w:color w:val="007614"/>
          <w:sz w:val="80"/>
          <w:szCs w:val="80"/>
        </w:rPr>
        <w:t xml:space="preserve">da operação</w:t>
      </w:r>
      <w:bookmarkEnd w:id="1"/>
    </w:p>
    <w:p>
      <w:pPr>
        <w:pStyle w:val="Heading2"/>
        <w:keepNext/>
        <w:spacing w:before="360" w:after="120" w:line="264" w:lineRule="auto"/>
        <w:jc w:val="left"/>
      </w:pPr>
      <w:bookmarkStart w:id="2" w:name="_h1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1 Como usar este guia</w:t>
      </w:r>
      <w:bookmarkEnd w:id="2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Este guia transforma o Protocolo de Inteligência Territorial em um modo de operar: para cada momento do trabalho, diz </w:t>
      </w: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o que perguntar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, </w:t>
      </w: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o que fazer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, </w:t>
      </w: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quem faz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, </w:t>
      </w: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quando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e </w:t>
      </w: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como saber se deu certo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. Sua finalidade é uma só: articular a vigilância epidemiológica tradicional e a vigilância popular em saúde de modo que o território, por meio da Sala de Cooperação Social (SCS), tenha a primeira e a última palavra sobre o que se vigia, o que os dados significam e o que se exige dos serviços.</w:t>
      </w:r>
    </w:p>
    <w:p>
      <w:pPr>
        <w:pStyle w:val="Heading3"/>
        <w:keepNext/>
        <w:spacing w:before="280" w:after="100" w:line="264" w:lineRule="auto"/>
        <w:jc w:val="left"/>
      </w:pPr>
      <w:bookmarkStart w:id="3" w:name="_h2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1.1 Três compromissos que orientam toda decisão</w:t>
      </w:r>
      <w:bookmarkEnd w:id="3"/>
    </w:p>
    <w:p>
      <w:pPr>
        <w:pStyle w:val="ListParagraph"/>
        <w:numPr>
          <w:ilvl w:val="0"/>
          <w:numId w:val="11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Visibilização social: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o que o território sabe e os sistemas oficiais não registram precisa chegar, verificado, aos registros que orientam alocação e resposta. A cartografia social é o instrumento central.</w:t>
      </w:r>
    </w:p>
    <w:p>
      <w:pPr>
        <w:pStyle w:val="ListParagraph"/>
        <w:numPr>
          <w:ilvl w:val="0"/>
          <w:numId w:val="11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Empoderamento: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fortalecer a capacidade do território de ler a própria realidade, contestar os dados que o descrevem e agir, inclusive questionando a própria PICAPS.</w:t>
      </w:r>
    </w:p>
    <w:p>
      <w:pPr>
        <w:pStyle w:val="ListParagraph"/>
        <w:numPr>
          <w:ilvl w:val="0"/>
          <w:numId w:val="11"/>
        </w:numPr>
        <w:spacing w:before="0" w:after="16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Governança participativa: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 SCS define a agenda, valida e contesta dados, delibera prioridades e cobra resposta, com prazos e registro.</w:t>
      </w:r>
    </w:p>
    <w:p>
      <w:pPr>
        <w:pStyle w:val="Heading3"/>
        <w:keepNext/>
        <w:spacing w:before="280" w:after="100" w:line="264" w:lineRule="auto"/>
        <w:jc w:val="left"/>
      </w:pPr>
      <w:bookmarkStart w:id="4" w:name="_h3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1.2 Regras de ouro</w:t>
      </w:r>
      <w:bookmarkEnd w:id="4"/>
    </w:p>
    <w:p>
      <w:pPr>
        <w:pStyle w:val="ListParagraph"/>
        <w:numPr>
          <w:ilvl w:val="0"/>
          <w:numId w:val="12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Nada sem a SCS.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Nenhuma decisão sobre dados ou ações do território sem deliberação na Sala pela comunidade.</w:t>
      </w:r>
    </w:p>
    <w:p>
      <w:pPr>
        <w:pStyle w:val="ListParagraph"/>
        <w:numPr>
          <w:ilvl w:val="0"/>
          <w:numId w:val="12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O dado informa; na Sala se decide.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Um valor alto no IVT ou um sinal no Painel gera uma pergunta para a SCS, nunca uma ação automática.</w:t>
      </w:r>
    </w:p>
    <w:p>
      <w:pPr>
        <w:pStyle w:val="ListParagraph"/>
        <w:numPr>
          <w:ilvl w:val="0"/>
          <w:numId w:val="12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Dois fluxos, um mapa.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Alertas populares e registros oficiais são sempre lidos juntos, sobre o mapa do IVT e do INS.</w:t>
      </w:r>
    </w:p>
    <w:p>
      <w:pPr>
        <w:pStyle w:val="ListParagraph"/>
        <w:numPr>
          <w:ilvl w:val="0"/>
          <w:numId w:val="12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Todo alerta crítico tem resposta registrada em até 72 horas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, inclusive a ausência de resposta.</w:t>
      </w:r>
    </w:p>
    <w:p>
      <w:pPr>
        <w:pStyle w:val="ListParagraph"/>
        <w:numPr>
          <w:ilvl w:val="0"/>
          <w:numId w:val="12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Toda invisibilidade verificada vira registro oficial.</w:t>
      </w:r>
    </w:p>
    <w:p>
      <w:pPr>
        <w:pStyle w:val="ListParagraph"/>
        <w:numPr>
          <w:ilvl w:val="0"/>
          <w:numId w:val="12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Medir não é deliberar.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Os índices têm pesos fixos; o território decide o que fazer com eles.</w:t>
      </w:r>
    </w:p>
    <w:p>
      <w:pPr>
        <w:pStyle w:val="ListParagraph"/>
        <w:numPr>
          <w:ilvl w:val="0"/>
          <w:numId w:val="12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Devolver antes de publicar.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O território conhece os resultados antes de gestores, academia ou financiadores.</w:t>
      </w:r>
    </w:p>
    <w:p>
      <w:pPr>
        <w:pStyle w:val="ListParagraph"/>
        <w:numPr>
          <w:ilvl w:val="0"/>
          <w:numId w:val="12"/>
        </w:numPr>
        <w:spacing w:before="0" w:after="16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Resolver no nível mais próximo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, e sempre com plano B se a Plataforma Ágora estiver indisponível.</w:t>
      </w:r>
    </w:p>
    <w:p>
      <w:pPr>
        <w:pStyle w:val="Heading3"/>
        <w:keepNext/>
        <w:spacing w:before="280" w:after="100" w:line="264" w:lineRule="auto"/>
        <w:jc w:val="left"/>
      </w:pPr>
      <w:bookmarkStart w:id="5" w:name="_h4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1.3 Anatomia de cada procedimento</w:t>
      </w:r>
      <w:bookmarkEnd w:id="5"/>
    </w:p>
    <w:p>
      <w:pPr>
        <w:keepNext/>
        <w:spacing w:before="200" w:after="100" w:line="264" w:lineRule="auto"/>
        <w:jc w:val="left"/>
      </w:pPr>
      <w:bookmarkStart w:id="6" w:name="_q_op1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1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Anatomia de cada procedimento</w:t>
      </w:r>
      <w:bookmarkEnd w:id="6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4016"/>
        <w:gridCol w:w="4828"/>
      </w:tblGrid>
      <w:tr>
        <w:trPr>
          <w:tblHeader/>
          <w:cantSplit/>
        </w:trPr>
        <w:tc>
          <w:tcPr>
            <w:tcW w:w="4016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ELEMENTO</w:t>
            </w:r>
          </w:p>
        </w:tc>
        <w:tc>
          <w:tcPr>
            <w:tcW w:w="4828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O QUE RESPONDE</w:t>
            </w:r>
          </w:p>
        </w:tc>
      </w:tr>
      <w:tr>
        <w:trPr>
          <w:cantSplit/>
        </w:trPr>
        <w:tc>
          <w:tcPr>
            <w:tcW w:w="401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Pergunta-guia</w:t>
            </w:r>
          </w:p>
        </w:tc>
        <w:tc>
          <w:tcPr>
            <w:tcW w:w="482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Que pergunta o grupo precisa responder neste momento</w:t>
            </w:r>
          </w:p>
        </w:tc>
      </w:tr>
      <w:tr>
        <w:trPr>
          <w:cantSplit/>
        </w:trPr>
        <w:tc>
          <w:tcPr>
            <w:tcW w:w="401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Passos</w:t>
            </w:r>
          </w:p>
        </w:tc>
        <w:tc>
          <w:tcPr>
            <w:tcW w:w="482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que fazer, em ordem</w:t>
            </w:r>
          </w:p>
        </w:tc>
      </w:tr>
      <w:tr>
        <w:trPr>
          <w:cantSplit/>
        </w:trPr>
        <w:tc>
          <w:tcPr>
            <w:tcW w:w="401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Quem e quando</w:t>
            </w:r>
          </w:p>
        </w:tc>
        <w:tc>
          <w:tcPr>
            <w:tcW w:w="482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Responsável, apoio e prazo</w:t>
            </w:r>
          </w:p>
        </w:tc>
      </w:tr>
      <w:tr>
        <w:trPr>
          <w:cantSplit/>
        </w:trPr>
        <w:tc>
          <w:tcPr>
            <w:tcW w:w="401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Com o quê</w:t>
            </w:r>
          </w:p>
        </w:tc>
        <w:tc>
          <w:tcPr>
            <w:tcW w:w="482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Instrumentos e fontes de dados</w:t>
            </w:r>
          </w:p>
        </w:tc>
      </w:tr>
      <w:tr>
        <w:trPr>
          <w:cantSplit/>
        </w:trPr>
        <w:tc>
          <w:tcPr>
            <w:tcW w:w="401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Produto</w:t>
            </w:r>
          </w:p>
        </w:tc>
        <w:tc>
          <w:tcPr>
            <w:tcW w:w="482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que precisa existir ao final</w:t>
            </w:r>
          </w:p>
        </w:tc>
      </w:tr>
      <w:tr>
        <w:trPr>
          <w:cantSplit/>
        </w:trPr>
        <w:tc>
          <w:tcPr>
            <w:tcW w:w="401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Sinal de alerta</w:t>
            </w:r>
          </w:p>
        </w:tc>
        <w:tc>
          <w:tcPr>
            <w:tcW w:w="482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Como perceber que o procedimento está falhando</w:t>
            </w:r>
          </w:p>
        </w:tc>
      </w:tr>
      <w:tr>
        <w:trPr>
          <w:cantSplit/>
        </w:trPr>
        <w:tc>
          <w:tcPr>
            <w:tcW w:w="401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Erros a evitar</w:t>
            </w:r>
          </w:p>
        </w:tc>
        <w:tc>
          <w:tcPr>
            <w:tcW w:w="482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Armadilhas recorrentes de raciocínio ou de prática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pStyle w:val="Heading2"/>
        <w:keepNext/>
        <w:spacing w:before="360" w:after="120" w:line="264" w:lineRule="auto"/>
        <w:jc w:val="left"/>
      </w:pPr>
      <w:bookmarkStart w:id="7" w:name="_h5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2 O método em uma imagem</w:t>
      </w:r>
      <w:bookmarkEnd w:id="7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Todo o protocolo cabe neste fluxo: os sinais da vigilância popular e da tradicional são postos no mesmo mapa; na Sala de Cooperação Social a comunidade lê, contesta e decide; os serviços e a gestão respondem; e tudo volta à Sala.</w:t>
      </w:r>
    </w:p>
    <w:p>
      <w:pPr>
        <w:keepNext/>
        <w:spacing w:before="0" w:after="0" w:line="200" w:lineRule="exact"/>
        <w:jc w:val="both"/>
      </w:pPr>
    </w:p>
    <w:tbl>
      <w:tblPr>
        <w:tblW w:w="8844" w:type="dxa"/>
        <w:jc w:val="center"/>
        <w:tblBorders>
          <w:top w:val="single" w:sz="6" w:space="0" w:color="D9DEE3"/>
          <w:left w:val="single" w:sz="6" w:space="0" w:color="D9DEE3"/>
          <w:bottom w:val="single" w:sz="6" w:space="0" w:color="D9DEE3"/>
          <w:right w:val="single" w:sz="6" w:space="0" w:color="D9DEE3"/>
          <w:insideH w:val="nil"/>
          <w:insideV w:val="nil"/>
        </w:tblBorders>
        <w:tblLayout w:type="fixed"/>
        <w:tblCellMar>
          <w:top w:w="180" w:type="dxa"/>
          <w:left w:w="180" w:type="dxa"/>
          <w:bottom w:w="160" w:type="dxa"/>
          <w:right w:w="18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FFFFFF"/>
          </w:tcPr>
          <w:p>
            <w:pPr>
              <w:keepNext/>
              <w:spacing w:before="0" w:after="120" w:line="264" w:lineRule="auto"/>
              <w:jc w:val="left"/>
            </w:pPr>
            <w:bookmarkStart w:id="8" w:name="_f_metodo"/>
            <w:r>
              <w:rPr>
                <w:rFonts w:ascii="Barlow Condensed SemiBold" w:hAnsi="Barlow Condensed SemiBold" w:cs="Barlow Condensed SemiBold" w:eastAsia="Barlow Condensed SemiBold"/>
                <w:color w:val="007614"/>
                <w:sz w:val="21"/>
                <w:szCs w:val="21"/>
              </w:rPr>
              <w:t xml:space="preserve">Figura 1 – </w:t>
            </w: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21"/>
                <w:szCs w:val="21"/>
              </w:rPr>
              <w:t xml:space="preserve">O método em uma imagem: duas vigilâncias, um mapa, uma Sala que decide</w:t>
            </w:r>
            <w:bookmarkEnd w:id="8"/>
          </w:p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5387340" cy="3632862"/>
                  <wp:effectExtent l="0" t="0" r="0" b="0"/>
                  <wp:docPr id="5" name="img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g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3632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Quatro produtos mostram que a articulação funcionou:</w:t>
      </w:r>
    </w:p>
    <w:p>
      <w:pPr>
        <w:pStyle w:val="ListParagraph"/>
        <w:numPr>
          <w:ilvl w:val="0"/>
          <w:numId w:val="13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Resposta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aos alertas;</w:t>
      </w:r>
    </w:p>
    <w:p>
      <w:pPr>
        <w:pStyle w:val="ListParagraph"/>
        <w:numPr>
          <w:ilvl w:val="0"/>
          <w:numId w:val="13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Programação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dos serviços ajustada às prioridades do território;</w:t>
      </w:r>
    </w:p>
    <w:p>
      <w:pPr>
        <w:pStyle w:val="ListParagraph"/>
        <w:numPr>
          <w:ilvl w:val="0"/>
          <w:numId w:val="13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Visibilização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do que os sistemas não viam, e</w:t>
      </w:r>
    </w:p>
    <w:p>
      <w:pPr>
        <w:pStyle w:val="ListParagraph"/>
        <w:numPr>
          <w:ilvl w:val="0"/>
          <w:numId w:val="13"/>
        </w:numPr>
        <w:spacing w:before="0" w:after="16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Exigibilidade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junto à gestão.</w:t>
      </w: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Se nenhum deles aparece, o ciclo está produzindo dados, não inteligência.</w:t>
      </w:r>
    </w:p>
    <w:p>
      <w:pPr>
        <w:pStyle w:val="Heading2"/>
        <w:keepNext/>
        <w:spacing w:before="360" w:after="120" w:line="264" w:lineRule="auto"/>
        <w:jc w:val="left"/>
      </w:pPr>
      <w:bookmarkStart w:id="9" w:name="_h6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3 Instrumentos de leitura: qual pergunta cada um responde</w:t>
      </w:r>
      <w:bookmarkEnd w:id="9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Três instrumentos sustentam a leitura do território. Cada um responde a uma pergunta diferente e nenhum se soma aos outros; usar um no lugar do outro é o erro de raciocínio mais comum.</w:t>
      </w:r>
    </w:p>
    <w:p>
      <w:pPr>
        <w:keepNext/>
        <w:spacing w:before="200" w:after="100" w:line="264" w:lineRule="auto"/>
        <w:jc w:val="left"/>
      </w:pPr>
      <w:bookmarkStart w:id="10" w:name="_q_op2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2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Três instrumentos de leitura do território</w:t>
      </w:r>
      <w:bookmarkEnd w:id="10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238"/>
        <w:gridCol w:w="2476"/>
        <w:gridCol w:w="2653"/>
        <w:gridCol w:w="2477"/>
      </w:tblGrid>
      <w:tr>
        <w:trPr>
          <w:tblHeader/>
          <w:cantSplit/>
        </w:trPr>
        <w:tc>
          <w:tcPr>
            <w:tcW w:w="1238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2476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INS</w:t>
            </w:r>
          </w:p>
        </w:tc>
        <w:tc>
          <w:tcPr>
            <w:tcW w:w="2653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IVT</w:t>
            </w:r>
          </w:p>
        </w:tc>
        <w:tc>
          <w:tcPr>
            <w:tcW w:w="2477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PAINEL DE VIGILÂNCIA INTEGRADA (PVI)</w:t>
            </w:r>
          </w:p>
        </w:tc>
      </w:tr>
      <w:tr>
        <w:trPr>
          <w:cantSplit/>
        </w:trPr>
        <w:tc>
          <w:tcPr>
            <w:tcW w:w="123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Pergunta</w:t>
            </w:r>
          </w:p>
        </w:tc>
        <w:tc>
          <w:tcPr>
            <w:tcW w:w="247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Onde a necessidade de saúde é maior?</w:t>
            </w:r>
          </w:p>
        </w:tc>
        <w:tc>
          <w:tcPr>
            <w:tcW w:w="265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Dentro do território, onde o dano é mais provável?</w:t>
            </w:r>
          </w:p>
        </w:tc>
        <w:tc>
          <w:tcPr>
            <w:tcW w:w="247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que as duas vigilâncias sinalizam e o que foi feito?</w:t>
            </w:r>
          </w:p>
        </w:tc>
      </w:tr>
      <w:tr>
        <w:trPr>
          <w:cantSplit/>
        </w:trPr>
        <w:tc>
          <w:tcPr>
            <w:tcW w:w="123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Escala</w:t>
            </w:r>
          </w:p>
        </w:tc>
        <w:tc>
          <w:tcPr>
            <w:tcW w:w="247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Município (INS-M) e Região Administrativa (INS-DF)</w:t>
            </w:r>
          </w:p>
        </w:tc>
        <w:tc>
          <w:tcPr>
            <w:tcW w:w="265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Setor censitário, lido por microárea, área da UBS e território da SCS</w:t>
            </w:r>
          </w:p>
        </w:tc>
        <w:tc>
          <w:tcPr>
            <w:tcW w:w="247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Microárea e território da SCS</w:t>
            </w:r>
          </w:p>
        </w:tc>
      </w:tr>
      <w:tr>
        <w:trPr>
          <w:cantSplit/>
        </w:trPr>
        <w:tc>
          <w:tcPr>
            <w:tcW w:w="123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Mede</w:t>
            </w:r>
          </w:p>
        </w:tc>
        <w:tc>
          <w:tcPr>
            <w:tcW w:w="247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Necessidade potencial de cuidado (11 indicadores)</w:t>
            </w:r>
          </w:p>
        </w:tc>
        <w:tc>
          <w:tcPr>
            <w:tcW w:w="265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Exposição do lugar e sensibilidade da população (6 indicadores)</w:t>
            </w:r>
          </w:p>
        </w:tc>
        <w:tc>
          <w:tcPr>
            <w:tcW w:w="247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Sinais, convergência, visibilização e resposta (9 indicadores, não agregados)</w:t>
            </w:r>
          </w:p>
        </w:tc>
      </w:tr>
      <w:tr>
        <w:trPr>
          <w:cantSplit/>
        </w:trPr>
        <w:tc>
          <w:tcPr>
            <w:tcW w:w="123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Ritmo</w:t>
            </w:r>
          </w:p>
        </w:tc>
        <w:tc>
          <w:tcPr>
            <w:tcW w:w="247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Anual</w:t>
            </w:r>
          </w:p>
        </w:tc>
        <w:tc>
          <w:tcPr>
            <w:tcW w:w="265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Semestral</w:t>
            </w:r>
          </w:p>
        </w:tc>
        <w:tc>
          <w:tcPr>
            <w:tcW w:w="247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Mensal (V5 e V8 trimestrais)</w:t>
            </w:r>
          </w:p>
        </w:tc>
      </w:tr>
      <w:tr>
        <w:trPr>
          <w:cantSplit/>
        </w:trPr>
        <w:tc>
          <w:tcPr>
            <w:tcW w:w="123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Use para</w:t>
            </w:r>
          </w:p>
        </w:tc>
        <w:tc>
          <w:tcPr>
            <w:tcW w:w="247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Escolher territórios de implantação; reivindicar recursos</w:t>
            </w:r>
          </w:p>
        </w:tc>
        <w:tc>
          <w:tcPr>
            <w:tcW w:w="265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Decidir onde olhar primeiro; focalizar busca ativa e visitas; agenda da SCS</w:t>
            </w:r>
          </w:p>
        </w:tc>
        <w:tc>
          <w:tcPr>
            <w:tcW w:w="247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Conduzir a reunião mensal; cobrar resposta; avaliar a articulação</w:t>
            </w:r>
          </w:p>
        </w:tc>
      </w:tr>
      <w:tr>
        <w:trPr>
          <w:cantSplit/>
        </w:trPr>
        <w:tc>
          <w:tcPr>
            <w:tcW w:w="123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Não use para</w:t>
            </w:r>
          </w:p>
        </w:tc>
        <w:tc>
          <w:tcPr>
            <w:tcW w:w="247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Comparar setores dentro do território</w:t>
            </w:r>
          </w:p>
        </w:tc>
        <w:tc>
          <w:tcPr>
            <w:tcW w:w="265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Comparar municípios ou avaliar a intervenção</w:t>
            </w:r>
          </w:p>
        </w:tc>
        <w:tc>
          <w:tcPr>
            <w:tcW w:w="247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Medir vulnerabilidade ou necessidade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pStyle w:val="Heading3"/>
        <w:keepNext/>
        <w:spacing w:before="280" w:after="100" w:line="264" w:lineRule="auto"/>
        <w:jc w:val="left"/>
      </w:pPr>
      <w:bookmarkStart w:id="11" w:name="_h7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3.1 Regras de separação</w:t>
      </w:r>
      <w:bookmarkEnd w:id="11"/>
    </w:p>
    <w:p>
      <w:pPr>
        <w:pStyle w:val="ListParagraph"/>
        <w:numPr>
          <w:ilvl w:val="0"/>
          <w:numId w:val="14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Dados da intervenção ficam no Painel.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Alertas, reuniões, respostas e participação não entram no INS nem no IVT, porque sua variação reflete a atividade da SCS e seria confundida com mudança no território.</w:t>
      </w:r>
    </w:p>
    <w:p>
      <w:pPr>
        <w:pStyle w:val="ListParagraph"/>
        <w:numPr>
          <w:ilvl w:val="0"/>
          <w:numId w:val="14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Morbimortalidade e oferta ficam fora dos índices.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Doenças e óbitos servem para validar os índices e aparecem como sinais no Painel; cobertura de serviços é lida à parte, na análise de lacunas.</w:t>
      </w:r>
    </w:p>
    <w:p>
      <w:pPr>
        <w:pStyle w:val="ListParagraph"/>
        <w:numPr>
          <w:ilvl w:val="0"/>
          <w:numId w:val="14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Pesos fixos.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 participação do território entra na validação de conteúdo do IVT (a cada dois anos), na verificação territorial e na deliberação; a Matriz UIC prioriza problemas, não pondera indicadores.</w:t>
      </w:r>
    </w:p>
    <w:p>
      <w:pPr>
        <w:pStyle w:val="ListParagraph"/>
        <w:numPr>
          <w:ilvl w:val="0"/>
          <w:numId w:val="14"/>
        </w:numPr>
        <w:spacing w:before="0" w:after="16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Leitura aninhada.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O INS-DF diz quais Regiões Administrativas; o IVT diz onde, dentro delas. As definições comuns (baixa renda, saneamento, adensamento, faixas etárias) são idênticas nos dois.</w:t>
      </w:r>
    </w:p>
    <w:p>
      <w:pPr>
        <w:pStyle w:val="Heading2"/>
        <w:keepNext/>
        <w:spacing w:before="360" w:after="120" w:line="264" w:lineRule="auto"/>
        <w:jc w:val="left"/>
      </w:pPr>
      <w:bookmarkStart w:id="12" w:name="_h8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4 Implantação: seis etapas e prontidão</w:t>
      </w:r>
      <w:bookmarkEnd w:id="12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O ciclo de operação só começa depois que a metodologia PICAPS foi implantada no território, em seis etapas encadeadas. Cada etapa tem uma pergunta que precisa estar respondida antes de passar à seguinte.</w:t>
      </w:r>
    </w:p>
    <w:p>
      <w:pPr>
        <w:keepNext/>
        <w:spacing w:before="200" w:after="100" w:line="264" w:lineRule="auto"/>
        <w:jc w:val="left"/>
      </w:pPr>
      <w:bookmarkStart w:id="13" w:name="_q_op3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3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Etapas de implantação da metodologia PICAPS</w:t>
      </w:r>
      <w:bookmarkEnd w:id="13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945"/>
        <w:gridCol w:w="2653"/>
        <w:gridCol w:w="2122"/>
        <w:gridCol w:w="2124"/>
      </w:tblGrid>
      <w:tr>
        <w:trPr>
          <w:tblHeader/>
          <w:cantSplit/>
        </w:trPr>
        <w:tc>
          <w:tcPr>
            <w:tcW w:w="194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ETAPA</w:t>
            </w:r>
          </w:p>
        </w:tc>
        <w:tc>
          <w:tcPr>
            <w:tcW w:w="2653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PERGUNTA QUE PRECISA ESTAR RESPONDIDA</w:t>
            </w:r>
          </w:p>
        </w:tc>
        <w:tc>
          <w:tcPr>
            <w:tcW w:w="2122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PRODUTO</w:t>
            </w:r>
          </w:p>
        </w:tc>
        <w:tc>
          <w:tcPr>
            <w:tcW w:w="2124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INCLUI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1. Ativação das redes sociotécnicas</w:t>
            </w:r>
          </w:p>
        </w:tc>
        <w:tc>
          <w:tcPr>
            <w:tcW w:w="265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Quem, no território, precisa estar na mesa, e quem costuma ficar de fora?</w:t>
            </w:r>
          </w:p>
        </w:tc>
        <w:tc>
          <w:tcPr>
            <w:tcW w:w="2122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Mapa sociométrico; pacto dialógico</w:t>
            </w:r>
          </w:p>
        </w:tc>
        <w:tc>
          <w:tcPr>
            <w:tcW w:w="2124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Lideranças, coletivos, segmentos sub-representados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2. Diagnóstico multidimensional</w:t>
            </w:r>
          </w:p>
        </w:tc>
        <w:tc>
          <w:tcPr>
            <w:tcW w:w="265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que os dados oficiais dizem deste território e o que não dizem?</w:t>
            </w:r>
          </w:p>
        </w:tc>
        <w:tc>
          <w:tcPr>
            <w:tcW w:w="2122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Dimensões 1 a 4 dos DPT; leitura do INS e do IVT</w:t>
            </w:r>
          </w:p>
        </w:tc>
        <w:tc>
          <w:tcPr>
            <w:tcW w:w="2124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Primeira lista de invisibilidades estatísticas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3. Cartografia social</w:t>
            </w:r>
          </w:p>
        </w:tc>
        <w:tc>
          <w:tcPr>
            <w:tcW w:w="265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que o território sabe que os mapas oficiais não mostram?</w:t>
            </w:r>
          </w:p>
        </w:tc>
        <w:tc>
          <w:tcPr>
            <w:tcW w:w="2122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Mapa do território vivido (início da Dimensão 5)</w:t>
            </w:r>
          </w:p>
        </w:tc>
        <w:tc>
          <w:tcPr>
            <w:tcW w:w="2124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Áreas de risco, pontos críticos e domicílios fora dos cadastros a verificar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4. Plano Popular</w:t>
            </w:r>
          </w:p>
        </w:tc>
        <w:tc>
          <w:tcPr>
            <w:tcW w:w="265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que vamos vigiar, com que prioridade e o que exigiremos?</w:t>
            </w:r>
          </w:p>
        </w:tc>
        <w:tc>
          <w:tcPr>
            <w:tcW w:w="2122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Plano Popular (fim da Dimensão 5)</w:t>
            </w:r>
          </w:p>
        </w:tc>
        <w:tc>
          <w:tcPr>
            <w:tcW w:w="2124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Agenda das duas vigilâncias no território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5. Formação</w:t>
            </w:r>
          </w:p>
        </w:tc>
        <w:tc>
          <w:tcPr>
            <w:tcW w:w="265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Quem vai observar, registrar e interpretar, e quem vai receber nos serviços?</w:t>
            </w:r>
          </w:p>
        </w:tc>
        <w:tc>
          <w:tcPr>
            <w:tcW w:w="2122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Pesquisadores populares formados; equipes preparadas</w:t>
            </w:r>
          </w:p>
        </w:tc>
        <w:tc>
          <w:tcPr>
            <w:tcW w:w="2124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Equipes de APS e de vigilância, não só moradores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6. Instalação da SCS</w:t>
            </w:r>
          </w:p>
        </w:tc>
        <w:tc>
          <w:tcPr>
            <w:tcW w:w="265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Por onde o alerta passa e quem responde?</w:t>
            </w:r>
          </w:p>
        </w:tc>
        <w:tc>
          <w:tcPr>
            <w:tcW w:w="2122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Sala em operação; fluxos pactuados</w:t>
            </w:r>
          </w:p>
        </w:tc>
        <w:tc>
          <w:tcPr>
            <w:tcW w:w="2124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Interlocutores nomeados na UBS e na vigilância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pStyle w:val="Heading3"/>
        <w:keepNext/>
        <w:spacing w:before="280" w:after="100" w:line="264" w:lineRule="auto"/>
        <w:jc w:val="left"/>
      </w:pPr>
      <w:bookmarkStart w:id="14" w:name="_h9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4.1 Checklist de prontidão antes da primeira reunião deliberativa</w:t>
      </w:r>
      <w:bookmarkEnd w:id="14"/>
    </w:p>
    <w:p>
      <w:pPr>
        <w:pStyle w:val="ListParagraph"/>
        <w:numPr>
          <w:ilvl w:val="0"/>
          <w:numId w:val="15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Agenda de vigilância do Plano Popular aprovada (agravos e condições prioritários)</w:t>
      </w:r>
    </w:p>
    <w:p>
      <w:pPr>
        <w:pStyle w:val="ListParagraph"/>
        <w:numPr>
          <w:ilvl w:val="0"/>
          <w:numId w:val="15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Categorias de alerta da Plataforma Ágora ajustadas à agenda</w:t>
      </w:r>
    </w:p>
    <w:p>
      <w:pPr>
        <w:pStyle w:val="ListParagraph"/>
        <w:numPr>
          <w:ilvl w:val="0"/>
          <w:numId w:val="15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Interlocutor nomeado na UBS de referência e na vigilância em saúde</w:t>
      </w:r>
    </w:p>
    <w:p>
      <w:pPr>
        <w:pStyle w:val="ListParagraph"/>
        <w:numPr>
          <w:ilvl w:val="0"/>
          <w:numId w:val="15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Prazos de resposta pactuados por escrito (72 horas para alertas críticos)</w:t>
      </w:r>
    </w:p>
    <w:p>
      <w:pPr>
        <w:pStyle w:val="ListParagraph"/>
        <w:numPr>
          <w:ilvl w:val="0"/>
          <w:numId w:val="15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Fluxo de cruzamento de dados definido no ambiente seguro da secretaria, com saída agregada por microárea</w:t>
      </w:r>
    </w:p>
    <w:p>
      <w:pPr>
        <w:pStyle w:val="ListParagraph"/>
        <w:numPr>
          <w:ilvl w:val="0"/>
          <w:numId w:val="15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Mapa-base do IVT do território disponível, com quadrantes de exposição e sensibilidade</w:t>
      </w:r>
    </w:p>
    <w:p>
      <w:pPr>
        <w:pStyle w:val="ListParagraph"/>
        <w:numPr>
          <w:ilvl w:val="0"/>
          <w:numId w:val="15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Dupla de Facilitação definida e segmentos comunitários convidados</w:t>
      </w:r>
    </w:p>
    <w:p>
      <w:pPr>
        <w:pStyle w:val="ListParagraph"/>
        <w:numPr>
          <w:ilvl w:val="0"/>
          <w:numId w:val="15"/>
        </w:numPr>
        <w:spacing w:before="0" w:after="16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Formulários físicos de contingência impressos</w:t>
      </w:r>
    </w:p>
    <w:p>
      <w:pPr>
        <w:keepNext/>
        <w:spacing w:before="0" w:after="0" w:line="120" w:lineRule="exact"/>
        <w:jc w:val="both"/>
      </w:pPr>
    </w:p>
    <w:tbl>
      <w:tblPr>
        <w:tblW w:w="8844" w:type="dxa"/>
        <w:tblInd w:w="0" w:type="dxa"/>
        <w:tblBorders>
          <w:top w:val="nil"/>
          <w:left w:val="single" w:sz="36" w:space="0" w:color="01366F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20" w:type="dxa"/>
          <w:bottom w:w="140" w:type="dxa"/>
          <w:right w:w="22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E8EEF5"/>
          </w:tcPr>
          <w:p>
            <w:pPr>
              <w:spacing w:before="0" w:after="4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pacing w:val="30"/>
                <w:sz w:val="15"/>
                <w:szCs w:val="15"/>
              </w:rPr>
              <w:t xml:space="preserve">SINAL DE ALERTA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21"/>
                <w:szCs w:val="21"/>
              </w:rPr>
              <w:t xml:space="preserve">Sem interlocutor nomeado no serviço, a vigilância popular não tem para onde ir. Não inicie o ciclo sem ele.</w:t>
            </w:r>
          </w:p>
        </w:tc>
      </w:tr>
    </w:tbl>
    <w:p>
      <w:pPr>
        <w:spacing w:before="0" w:after="0" w:line="160" w:lineRule="exact"/>
        <w:jc w:val="both"/>
        <w:sectPr>
          <w:headerReference w:type="default" r:id="rId19"/>
          <w:headerReference w:type="even" r:id="rId20"/>
          <w:footerReference w:type="default" r:id="rId21"/>
          <w:footerReference w:type="even" r:id="rId22"/>
          <w:type w:val="nextPage"/>
          <w:pgSz w:w="11906" w:h="16838"/>
          <w:pgMar w:top="1474" w:right="1531" w:bottom="1814" w:left="1531" w:header="850" w:footer="330" w:gutter="0"/>
          <w:cols w:space="720"/>
          <w:docGrid w:linePitch="360"/>
        </w:sectPr>
      </w:pPr>
    </w:p>
    <w:p>
      <w:pPr>
        <w:spacing w:before="0" w:after="0" w:line="700" w:lineRule="exact"/>
        <w:jc w:val="both"/>
      </w:pPr>
    </w:p>
    <w:p>
      <w:pPr>
        <w:spacing w:before="0" w:after="420" w:line="280" w:lineRule="auto"/>
        <w:jc w:val="left"/>
      </w:pPr>
      <w:r>
        <w:rPr>
          <w:rFonts w:ascii="Barlow Condensed SemiBold" w:hAnsi="Barlow Condensed SemiBold" w:cs="Barlow Condensed SemiBold" w:eastAsia="Barlow Condensed SemiBold"/>
          <w:color w:val="FFFFFF"/>
          <w:sz w:val="17"/>
          <w:szCs w:val="17"/>
          <w:shd w:val="clear" w:color="auto" w:fill="007614"/>
        </w:rPr>
        <w:t xml:space="preserve">  PARTE 2  </w:t>
      </w:r>
    </w:p>
    <w:p>
      <w:pPr>
        <w:pStyle w:val="Heading1"/>
        <w:spacing w:before="0" w:after="0" w:line="860" w:lineRule="exact"/>
        <w:jc w:val="left"/>
        <w:sectPr>
          <w:headerReference w:type="default" r:id="rId18"/>
          <w:headerReference w:type="even" r:id="rId18"/>
          <w:footerReference w:type="default" r:id="rId16"/>
          <w:footerReference w:type="even" r:id="rId16"/>
          <w:type w:val="nextPage"/>
          <w:pgSz w:w="11906" w:h="16838"/>
          <w:pgMar w:top="1474" w:right="1531" w:bottom="1814" w:left="1531" w:header="850" w:footer="330" w:gutter="0"/>
          <w:cols w:space="720"/>
          <w:docGrid w:linePitch="360"/>
        </w:sectPr>
      </w:pPr>
      <w:bookmarkStart w:id="15" w:name="_h10"/>
      <w:r>
        <w:rPr>
          <w:rFonts w:ascii="Barlow Condensed" w:hAnsi="Barlow Condensed" w:cs="Barlow Condensed" w:eastAsia="Barlow Condensed"/>
          <w:b/>
          <w:bCs/>
          <w:color w:val="01366F"/>
          <w:sz w:val="80"/>
          <w:szCs w:val="80"/>
        </w:rPr>
        <w:t xml:space="preserve">O Ciclo de</w:t>
      </w:r>
      <w:r>
        <w:br/>
      </w:r>
      <w:r>
        <w:rPr>
          <w:rFonts w:ascii="Barlow Condensed" w:hAnsi="Barlow Condensed" w:cs="Barlow Condensed" w:eastAsia="Barlow Condensed"/>
          <w:b/>
          <w:bCs/>
          <w:color w:val="007614"/>
          <w:sz w:val="80"/>
          <w:szCs w:val="80"/>
        </w:rPr>
        <w:t xml:space="preserve">Inteligência Territorial</w:t>
      </w:r>
      <w:bookmarkEnd w:id="15"/>
    </w:p>
    <w:p>
      <w:pPr>
        <w:pStyle w:val="Heading2"/>
        <w:keepNext/>
        <w:spacing w:before="360" w:after="120" w:line="264" w:lineRule="auto"/>
        <w:jc w:val="left"/>
      </w:pPr>
      <w:bookmarkStart w:id="16" w:name="_h11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5 O Ciclo de Inteligência Territorial: cinco fases e sete ritmos</w:t>
      </w:r>
      <w:bookmarkEnd w:id="16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O Ciclo de Inteligência Territorial (CIT) é o modo de operar do protocolo. Cada fase começa por uma pergunta, e a pergunta vem antes do procedimento: quem conduz a fase deve saber responder à pergunta ao final dela.</w:t>
      </w:r>
    </w:p>
    <w:p>
      <w:pPr>
        <w:keepNext/>
        <w:spacing w:before="0" w:after="0" w:line="200" w:lineRule="exact"/>
        <w:jc w:val="both"/>
      </w:pPr>
    </w:p>
    <w:tbl>
      <w:tblPr>
        <w:tblW w:w="8844" w:type="dxa"/>
        <w:jc w:val="center"/>
        <w:tblBorders>
          <w:top w:val="single" w:sz="6" w:space="0" w:color="D9DEE3"/>
          <w:left w:val="single" w:sz="6" w:space="0" w:color="D9DEE3"/>
          <w:bottom w:val="single" w:sz="6" w:space="0" w:color="D9DEE3"/>
          <w:right w:val="single" w:sz="6" w:space="0" w:color="D9DEE3"/>
          <w:insideH w:val="nil"/>
          <w:insideV w:val="nil"/>
        </w:tblBorders>
        <w:tblLayout w:type="fixed"/>
        <w:tblCellMar>
          <w:top w:w="180" w:type="dxa"/>
          <w:left w:w="180" w:type="dxa"/>
          <w:bottom w:w="160" w:type="dxa"/>
          <w:right w:w="18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FFFFFF"/>
          </w:tcPr>
          <w:p>
            <w:pPr>
              <w:keepNext/>
              <w:spacing w:before="0" w:after="120" w:line="264" w:lineRule="auto"/>
              <w:jc w:val="left"/>
            </w:pPr>
            <w:bookmarkStart w:id="17" w:name="_f_cit"/>
            <w:r>
              <w:rPr>
                <w:rFonts w:ascii="Barlow Condensed SemiBold" w:hAnsi="Barlow Condensed SemiBold" w:cs="Barlow Condensed SemiBold" w:eastAsia="Barlow Condensed SemiBold"/>
                <w:color w:val="007614"/>
                <w:sz w:val="21"/>
                <w:szCs w:val="21"/>
              </w:rPr>
              <w:t xml:space="preserve">Figura 2 – </w:t>
            </w: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21"/>
                <w:szCs w:val="21"/>
              </w:rPr>
              <w:t xml:space="preserve">Ciclo de Inteligência Territorial: cinco fases e sete ritmos</w:t>
            </w:r>
            <w:bookmarkEnd w:id="17"/>
          </w:p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5387340" cy="3130044"/>
                  <wp:effectExtent l="0" t="0" r="0" b="0"/>
                  <wp:docPr id="9" name="img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g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313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A única exceção à ordem das fases é o alerta crítico, que salta da captação para a ação em 72 horas; ainda assim, ele volta à Sala na reunião seguinte, com a resposta registrada ou a falta dela.</w:t>
      </w:r>
    </w:p>
    <w:p>
      <w:pPr>
        <w:keepNext/>
        <w:spacing w:before="200" w:after="100" w:line="264" w:lineRule="auto"/>
        <w:jc w:val="left"/>
      </w:pPr>
      <w:bookmarkStart w:id="18" w:name="_q_op4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4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Ritmos do Ciclo de Inteligência Territorial</w:t>
      </w:r>
      <w:bookmarkEnd w:id="18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591"/>
        <w:gridCol w:w="5660"/>
        <w:gridCol w:w="1593"/>
      </w:tblGrid>
      <w:tr>
        <w:trPr>
          <w:tblHeader/>
          <w:cantSplit/>
        </w:trPr>
        <w:tc>
          <w:tcPr>
            <w:tcW w:w="1591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RITMO</w:t>
            </w:r>
          </w:p>
        </w:tc>
        <w:tc>
          <w:tcPr>
            <w:tcW w:w="5660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O QUE ACONTECE</w:t>
            </w:r>
          </w:p>
        </w:tc>
        <w:tc>
          <w:tcPr>
            <w:tcW w:w="1593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FASE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Contínuo</w:t>
            </w:r>
          </w:p>
        </w:tc>
        <w:tc>
          <w:tcPr>
            <w:tcW w:w="566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Registro de alertas e da cartografia; fluxo de 72 horas</w:t>
            </w:r>
          </w:p>
        </w:tc>
        <w:tc>
          <w:tcPr>
            <w:tcW w:w="159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F1, F4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Semanal</w:t>
            </w:r>
          </w:p>
        </w:tc>
        <w:tc>
          <w:tcPr>
            <w:tcW w:w="566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Revisão dos alertas e destaque dos críticos; carga dos registros oficiais; conferência de prazos</w:t>
            </w:r>
          </w:p>
        </w:tc>
        <w:tc>
          <w:tcPr>
            <w:tcW w:w="159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F1, F4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Mensal</w:t>
            </w:r>
          </w:p>
        </w:tc>
        <w:tc>
          <w:tcPr>
            <w:tcW w:w="566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Cruzamento dos fluxos e PVI; reunião deliberativa; encaminhamentos e incorporações</w:t>
            </w:r>
          </w:p>
        </w:tc>
        <w:tc>
          <w:tcPr>
            <w:tcW w:w="159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F2, F3, F4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Trimestral</w:t>
            </w:r>
          </w:p>
        </w:tc>
        <w:tc>
          <w:tcPr>
            <w:tcW w:w="566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Prioridades do ciclo e programação das equipes (APPT); IRS; Relatório de Ciclo; Dimensões 2 e 3 dos DPT</w:t>
            </w:r>
          </w:p>
        </w:tc>
        <w:tc>
          <w:tcPr>
            <w:tcW w:w="159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F3, F4, F5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Semestral</w:t>
            </w:r>
          </w:p>
        </w:tc>
        <w:tc>
          <w:tcPr>
            <w:tcW w:w="566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Cálculo do IVT; seminário de rede; Dimensão 4 dos DPT</w:t>
            </w:r>
          </w:p>
        </w:tc>
        <w:tc>
          <w:tcPr>
            <w:tcW w:w="159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F2, F5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Anual</w:t>
            </w:r>
          </w:p>
        </w:tc>
        <w:tc>
          <w:tcPr>
            <w:tcW w:w="566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INS; revisão do Plano Popular e do currículo; relatório técnico após devolução</w:t>
            </w:r>
          </w:p>
        </w:tc>
        <w:tc>
          <w:tcPr>
            <w:tcW w:w="159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F2, F5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Bienal</w:t>
            </w:r>
          </w:p>
        </w:tc>
        <w:tc>
          <w:tcPr>
            <w:tcW w:w="566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Validação de conteúdo do IVT com a SCS</w:t>
            </w:r>
          </w:p>
        </w:tc>
        <w:tc>
          <w:tcPr>
            <w:tcW w:w="159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F5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pStyle w:val="Heading2"/>
        <w:keepNext/>
        <w:spacing w:before="360" w:after="120" w:line="264" w:lineRule="auto"/>
        <w:jc w:val="left"/>
      </w:pPr>
      <w:bookmarkStart w:id="19" w:name="_h12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6 F1 · Captação de sinais (contínua)</w:t>
      </w:r>
      <w:bookmarkEnd w:id="19"/>
    </w:p>
    <w:p>
      <w:pPr>
        <w:keepNext/>
        <w:spacing w:before="0" w:after="0" w:line="120" w:lineRule="exact"/>
        <w:jc w:val="both"/>
      </w:pPr>
    </w:p>
    <w:tbl>
      <w:tblPr>
        <w:tblW w:w="8844" w:type="dxa"/>
        <w:tblInd w:w="0" w:type="dxa"/>
        <w:tblBorders>
          <w:top w:val="nil"/>
          <w:left w:val="single" w:sz="36" w:space="0" w:color="007614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20" w:type="dxa"/>
          <w:bottom w:w="140" w:type="dxa"/>
          <w:right w:w="22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E9F2EB"/>
          </w:tcPr>
          <w:p>
            <w:pPr>
              <w:spacing w:before="0" w:after="4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07614"/>
                <w:spacing w:val="30"/>
                <w:sz w:val="15"/>
                <w:szCs w:val="15"/>
              </w:rPr>
              <w:t xml:space="preserve">PERGUNTA-GUIA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 w:eastAsia="Barlow"/>
                <w:i/>
                <w:iCs/>
                <w:color w:val="0F2440"/>
                <w:sz w:val="21"/>
                <w:szCs w:val="21"/>
              </w:rPr>
              <w:t xml:space="preserve">O que está acontecendo no território agora, segundo quem vive nele e segundo os registros oficiais?</w:t>
            </w:r>
          </w:p>
        </w:tc>
      </w:tr>
    </w:tbl>
    <w:p>
      <w:pPr>
        <w:spacing w:before="0" w:after="0" w:line="160" w:lineRule="exact"/>
        <w:jc w:val="both"/>
      </w:pPr>
    </w:p>
    <w:p>
      <w:pPr>
        <w:keepNext/>
        <w:spacing w:before="200" w:after="100" w:line="264" w:lineRule="auto"/>
        <w:jc w:val="left"/>
      </w:pPr>
      <w:bookmarkStart w:id="20" w:name="_q_op5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5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Fase 1 – Captação de sinais: quem, quando, com o quê e produto</w:t>
      </w:r>
      <w:bookmarkEnd w:id="20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415"/>
        <w:gridCol w:w="7429"/>
      </w:tblGrid>
      <w:tr>
        <w:trPr>
          <w:tblHeader/>
          <w:cantSplit/>
        </w:trPr>
        <w:tc>
          <w:tcPr>
            <w:tcW w:w="141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ELEMENTO</w:t>
            </w:r>
          </w:p>
        </w:tc>
        <w:tc>
          <w:tcPr>
            <w:tcW w:w="7429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DEFINIÇÃO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Quem</w:t>
            </w:r>
          </w:p>
        </w:tc>
        <w:tc>
          <w:tcPr>
            <w:tcW w:w="742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Pesquisadores populares (fluxo popular); equipes de APS e de vigilância (fluxo tradicional); supervisor de campo (revisão semanal); técnico de dados (carga)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Quando</w:t>
            </w:r>
          </w:p>
        </w:tc>
        <w:tc>
          <w:tcPr>
            <w:tcW w:w="742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Contínuo; revisão às segundas; carga oficial semanal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Com o quê</w:t>
            </w:r>
          </w:p>
        </w:tc>
        <w:tc>
          <w:tcPr>
            <w:tcW w:w="742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Plataforma Ágora; SINAN; e-SUS APS; LIRAa e alertas da Defesa Civil como camada de contexto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Produto</w:t>
            </w:r>
          </w:p>
        </w:tc>
        <w:tc>
          <w:tcPr>
            <w:tcW w:w="742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Alertas e registros oficiais sobre o mesmo mapa do IVT; alertas críticos encaminhados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pStyle w:val="Heading3"/>
        <w:keepNext/>
        <w:spacing w:before="280" w:after="100" w:line="264" w:lineRule="auto"/>
        <w:jc w:val="left"/>
      </w:pPr>
      <w:bookmarkStart w:id="21" w:name="_h13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6.1 Passos</w:t>
      </w:r>
      <w:bookmarkEnd w:id="21"/>
    </w:p>
    <w:p>
      <w:pPr>
        <w:pStyle w:val="ListParagraph"/>
        <w:numPr>
          <w:ilvl w:val="0"/>
          <w:numId w:val="16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Observar e registrar.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O pesquisador popular registra o alerta na Ágora no momento em que observa: categoria, local georreferenciado, data e hora, descrição e urgência. Se o evento não cabe em nenhuma categoria, registra como “não previsto”.</w:t>
      </w:r>
    </w:p>
    <w:p>
      <w:pPr>
        <w:pStyle w:val="ListParagraph"/>
        <w:numPr>
          <w:ilvl w:val="0"/>
          <w:numId w:val="16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Classificar a urgência.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Urgência máxima dispara na hora o fluxo de 72 horas (F4). As demais entram na análise mensal.</w:t>
      </w:r>
    </w:p>
    <w:p>
      <w:pPr>
        <w:pStyle w:val="ListParagraph"/>
        <w:numPr>
          <w:ilvl w:val="0"/>
          <w:numId w:val="16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Atualizar a cartografia social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quando o território identifica nova área de risco, ponto crítico ou família fora dos cadastros; esses casos vão para a lista de verificação.</w:t>
      </w:r>
    </w:p>
    <w:p>
      <w:pPr>
        <w:pStyle w:val="ListParagraph"/>
        <w:numPr>
          <w:ilvl w:val="0"/>
          <w:numId w:val="16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Carregar o fluxo tradicional.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Notificações e cadastros nominais ficam no ambiente seguro da secretaria; à Ágora chegam só contagens por microárea e semana.</w:t>
      </w:r>
    </w:p>
    <w:p>
      <w:pPr>
        <w:pStyle w:val="ListParagraph"/>
        <w:numPr>
          <w:ilvl w:val="0"/>
          <w:numId w:val="16"/>
        </w:numPr>
        <w:spacing w:before="0" w:after="16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Revisar semanalmente.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O supervisor de campo confere os alertas da semana, devolve os incompletos e destaca os críticos para a Dupla de Facilitação.</w:t>
      </w:r>
    </w:p>
    <w:p>
      <w:pPr>
        <w:keepNext/>
        <w:spacing w:before="0" w:after="0" w:line="120" w:lineRule="exact"/>
        <w:jc w:val="both"/>
      </w:pPr>
    </w:p>
    <w:tbl>
      <w:tblPr>
        <w:tblW w:w="8844" w:type="dxa"/>
        <w:tblInd w:w="0" w:type="dxa"/>
        <w:tblBorders>
          <w:top w:val="nil"/>
          <w:left w:val="single" w:sz="36" w:space="0" w:color="01366F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20" w:type="dxa"/>
          <w:bottom w:w="140" w:type="dxa"/>
          <w:right w:w="22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E8EEF5"/>
          </w:tcPr>
          <w:p>
            <w:pPr>
              <w:spacing w:before="0" w:after="4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pacing w:val="30"/>
                <w:sz w:val="15"/>
                <w:szCs w:val="15"/>
              </w:rPr>
              <w:t xml:space="preserve">SINAL DE ALERTA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21"/>
                <w:szCs w:val="21"/>
              </w:rPr>
              <w:t xml:space="preserve">Queda de alertas numa microárea do quintil superior do IVT, ou pesquisadores populares sem registro no mês (V9 baixo). Silêncio pode ser ausência de problema ou ausência de observação.</w:t>
            </w:r>
          </w:p>
        </w:tc>
      </w:tr>
    </w:tbl>
    <w:p>
      <w:pPr>
        <w:spacing w:before="0" w:after="0" w:line="160" w:lineRule="exact"/>
        <w:jc w:val="both"/>
      </w:pPr>
    </w:p>
    <w:p>
      <w:pPr>
        <w:pStyle w:val="Heading4"/>
        <w:keepNext/>
        <w:spacing w:before="200" w:after="80" w:line="264" w:lineRule="auto"/>
        <w:jc w:val="left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Erros a evitar</w:t>
      </w:r>
    </w:p>
    <w:p>
      <w:pPr>
        <w:pStyle w:val="ListParagraph"/>
        <w:numPr>
          <w:ilvl w:val="0"/>
          <w:numId w:val="17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Esperar a reunião para registrar um evento.</w:t>
      </w:r>
    </w:p>
    <w:p>
      <w:pPr>
        <w:pStyle w:val="ListParagraph"/>
        <w:numPr>
          <w:ilvl w:val="0"/>
          <w:numId w:val="17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Descartar o que não cabe nas categorias: o “não previsto” é o que ensina o sistema.</w:t>
      </w:r>
    </w:p>
    <w:p>
      <w:pPr>
        <w:pStyle w:val="ListParagraph"/>
        <w:numPr>
          <w:ilvl w:val="0"/>
          <w:numId w:val="17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Trazer dados nominais de saúde para a Ágora ou para a reunião.</w:t>
      </w:r>
    </w:p>
    <w:p>
      <w:pPr>
        <w:pStyle w:val="ListParagraph"/>
        <w:numPr>
          <w:ilvl w:val="0"/>
          <w:numId w:val="17"/>
        </w:numPr>
        <w:spacing w:before="0" w:after="16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Ler o número de alertas como medida de gravidade: mais alertas podem significar mais problemas, mais observação ou ambos.</w:t>
      </w:r>
    </w:p>
    <w:p>
      <w:pPr>
        <w:pStyle w:val="Heading2"/>
        <w:keepNext/>
        <w:spacing w:before="360" w:after="120" w:line="264" w:lineRule="auto"/>
        <w:jc w:val="left"/>
      </w:pPr>
      <w:bookmarkStart w:id="22" w:name="_h14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7 F2 · Integração e análise (mensal, semestral e anual)</w:t>
      </w:r>
      <w:bookmarkEnd w:id="22"/>
    </w:p>
    <w:p>
      <w:pPr>
        <w:keepNext/>
        <w:spacing w:before="0" w:after="0" w:line="120" w:lineRule="exact"/>
        <w:jc w:val="both"/>
      </w:pPr>
    </w:p>
    <w:tbl>
      <w:tblPr>
        <w:tblW w:w="8844" w:type="dxa"/>
        <w:tblInd w:w="0" w:type="dxa"/>
        <w:tblBorders>
          <w:top w:val="nil"/>
          <w:left w:val="single" w:sz="36" w:space="0" w:color="007614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20" w:type="dxa"/>
          <w:bottom w:w="140" w:type="dxa"/>
          <w:right w:w="22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E9F2EB"/>
          </w:tcPr>
          <w:p>
            <w:pPr>
              <w:spacing w:before="0" w:after="4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07614"/>
                <w:spacing w:val="30"/>
                <w:sz w:val="15"/>
                <w:szCs w:val="15"/>
              </w:rPr>
              <w:t xml:space="preserve">PERGUNTA-GUIA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 w:eastAsia="Barlow"/>
                <w:i/>
                <w:iCs/>
                <w:color w:val="0F2440"/>
                <w:sz w:val="21"/>
                <w:szCs w:val="21"/>
              </w:rPr>
              <w:t xml:space="preserve">Onde as duas vigilâncias convergem, onde divergem, o que nenhuma registra, e em que lugar do IVT isso acontece?</w:t>
            </w:r>
          </w:p>
        </w:tc>
      </w:tr>
    </w:tbl>
    <w:p>
      <w:pPr>
        <w:spacing w:before="0" w:after="0" w:line="160" w:lineRule="exact"/>
        <w:jc w:val="both"/>
      </w:pPr>
    </w:p>
    <w:p>
      <w:pPr>
        <w:keepNext/>
        <w:spacing w:before="200" w:after="100" w:line="264" w:lineRule="auto"/>
        <w:jc w:val="left"/>
      </w:pPr>
      <w:bookmarkStart w:id="23" w:name="_q_op6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6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Fase 2 – Integração e análise: quem, quando, com o quê e produto</w:t>
      </w:r>
      <w:bookmarkEnd w:id="23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415"/>
        <w:gridCol w:w="7429"/>
      </w:tblGrid>
      <w:tr>
        <w:trPr>
          <w:tblHeader/>
          <w:cantSplit/>
        </w:trPr>
        <w:tc>
          <w:tcPr>
            <w:tcW w:w="141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ELEMENTO</w:t>
            </w:r>
          </w:p>
        </w:tc>
        <w:tc>
          <w:tcPr>
            <w:tcW w:w="7429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DEFINIÇÃO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Quem</w:t>
            </w:r>
          </w:p>
        </w:tc>
        <w:tc>
          <w:tcPr>
            <w:tcW w:w="742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Técnico de dados do CTIS (executa); equipe de Vigilância em Saúde (valida a leitura epidemiológica); supervisor de campo (dimensões dos DPT); pesquisadores populares (relatos sistematizados)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Quando</w:t>
            </w:r>
          </w:p>
        </w:tc>
        <w:tc>
          <w:tcPr>
            <w:tcW w:w="742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Mensal, com entrega à Dupla de Facilitação antes da reunião; IVT semestral; INS anual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Com o quê</w:t>
            </w:r>
          </w:p>
        </w:tc>
        <w:tc>
          <w:tcPr>
            <w:tcW w:w="742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Ambiente seguro da secretaria de saúde (cruzamento nominal); Plataforma Ágora (só contagens agregadas); IVT por setor; PVI; DPT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Produto</w:t>
            </w:r>
          </w:p>
        </w:tc>
        <w:tc>
          <w:tcPr>
            <w:tcW w:w="742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Relatório de dados em linguagem legível; mapa atualizado; lista de convergências, antecipações, divergências e invisibilidades; lista de verificação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pStyle w:val="Heading3"/>
        <w:keepNext/>
        <w:spacing w:before="280" w:after="100" w:line="264" w:lineRule="auto"/>
        <w:jc w:val="left"/>
      </w:pPr>
      <w:bookmarkStart w:id="24" w:name="_h15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7.1 Passos</w:t>
      </w:r>
      <w:bookmarkEnd w:id="24"/>
    </w:p>
    <w:p>
      <w:pPr>
        <w:pStyle w:val="ListParagraph"/>
        <w:numPr>
          <w:ilvl w:val="0"/>
          <w:numId w:val="18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Cruzar no ambiente seguro.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Parear alertas populares e notificações por microárea, categoria compatível e janela de tempo. Para fora do ambiente seguro saem apenas contagens por microárea e semana.</w:t>
      </w:r>
    </w:p>
    <w:p>
      <w:pPr>
        <w:pStyle w:val="ListParagraph"/>
        <w:numPr>
          <w:ilvl w:val="0"/>
          <w:numId w:val="18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Classificar cada sinal na matriz de leitura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(abaixo): convergência, antecipação ou invisibilidade, ponto cego popular ou silêncio.</w:t>
      </w:r>
    </w:p>
    <w:p>
      <w:pPr>
        <w:pStyle w:val="ListParagraph"/>
        <w:numPr>
          <w:ilvl w:val="0"/>
          <w:numId w:val="18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Situar no IVT.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Para cada sinal, anotar o quintil do setor e o perfil exposição × sensibilidade.</w:t>
      </w:r>
    </w:p>
    <w:p>
      <w:pPr>
        <w:pStyle w:val="ListParagraph"/>
        <w:numPr>
          <w:ilvl w:val="0"/>
          <w:numId w:val="18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Calcular o PVI do mês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(V1 a V4, V6, V7, V9; V5 e V8 no fechamento do trimestre) e comparar com metas e gatilhos. V4 sempre com o valor esperado ao acaso ao lado.</w:t>
      </w:r>
    </w:p>
    <w:p>
      <w:pPr>
        <w:pStyle w:val="ListParagraph"/>
        <w:numPr>
          <w:ilvl w:val="0"/>
          <w:numId w:val="18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Montar a lista de verificação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com as antecipações e invisibilidades a confirmar em campo, com o serviço responsável por cada uma.</w:t>
      </w:r>
    </w:p>
    <w:p>
      <w:pPr>
        <w:pStyle w:val="ListParagraph"/>
        <w:numPr>
          <w:ilvl w:val="0"/>
          <w:numId w:val="18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Escrever o relatório como perguntas para a SCS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, não como conclusões: “nesta microárea do quintil superior, três alertas de alagamento sem registro da Defesa Civil: o que sabemos?”.</w:t>
      </w:r>
    </w:p>
    <w:p>
      <w:pPr>
        <w:pStyle w:val="ListParagraph"/>
        <w:numPr>
          <w:ilvl w:val="0"/>
          <w:numId w:val="18"/>
        </w:numPr>
        <w:spacing w:before="0" w:after="16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No semestre e no ano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, calcular o IVT com intervalos de incerteza e metaindicadores de cobertura, e o INS; se houve incorporação que altera o IVT, reprocessar a série como revisão de medida.</w:t>
      </w:r>
    </w:p>
    <w:p>
      <w:pPr>
        <w:keepNext/>
        <w:spacing w:before="0" w:after="0" w:line="200" w:lineRule="exact"/>
        <w:jc w:val="both"/>
      </w:pPr>
    </w:p>
    <w:tbl>
      <w:tblPr>
        <w:tblW w:w="8844" w:type="dxa"/>
        <w:jc w:val="center"/>
        <w:tblBorders>
          <w:top w:val="single" w:sz="6" w:space="0" w:color="D9DEE3"/>
          <w:left w:val="single" w:sz="6" w:space="0" w:color="D9DEE3"/>
          <w:bottom w:val="single" w:sz="6" w:space="0" w:color="D9DEE3"/>
          <w:right w:val="single" w:sz="6" w:space="0" w:color="D9DEE3"/>
          <w:insideH w:val="nil"/>
          <w:insideV w:val="nil"/>
        </w:tblBorders>
        <w:tblLayout w:type="fixed"/>
        <w:tblCellMar>
          <w:top w:w="180" w:type="dxa"/>
          <w:left w:w="180" w:type="dxa"/>
          <w:bottom w:w="160" w:type="dxa"/>
          <w:right w:w="18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FFFFFF"/>
          </w:tcPr>
          <w:p>
            <w:pPr>
              <w:keepNext/>
              <w:spacing w:before="0" w:after="120" w:line="264" w:lineRule="auto"/>
              <w:jc w:val="left"/>
            </w:pPr>
            <w:bookmarkStart w:id="25" w:name="_f_matriz"/>
            <w:r>
              <w:rPr>
                <w:rFonts w:ascii="Barlow Condensed SemiBold" w:hAnsi="Barlow Condensed SemiBold" w:cs="Barlow Condensed SemiBold" w:eastAsia="Barlow Condensed SemiBold"/>
                <w:color w:val="007614"/>
                <w:sz w:val="21"/>
                <w:szCs w:val="21"/>
              </w:rPr>
              <w:t xml:space="preserve">Figura 3 – </w:t>
            </w: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21"/>
                <w:szCs w:val="21"/>
              </w:rPr>
              <w:t xml:space="preserve">Matriz de leitura de sinais</w:t>
            </w:r>
            <w:bookmarkEnd w:id="25"/>
          </w:p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5387340" cy="2761909"/>
                  <wp:effectExtent l="0" t="0" r="0" b="0"/>
                  <wp:docPr id="11" name="img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g1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2761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A célula destacada é onde nasce a visibilização social: o que o território vê e o sistema ainda não registra não é descartado nem aceito sem exame; vai para verificação conjunta e, confirmado, para o registro oficial.</w:t>
      </w:r>
    </w:p>
    <w:p>
      <w:pPr>
        <w:pStyle w:val="Heading3"/>
        <w:keepNext/>
        <w:spacing w:before="280" w:after="100" w:line="264" w:lineRule="auto"/>
        <w:jc w:val="left"/>
      </w:pPr>
      <w:bookmarkStart w:id="26" w:name="_h16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7.2 Leitura exposição × sensibilidade</w:t>
      </w:r>
      <w:bookmarkEnd w:id="26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O número único do IVT esconde a combinação que orienta a ação. Antes de levar um setor à SCS, leia em qual quadrante ele está.</w:t>
      </w:r>
    </w:p>
    <w:p>
      <w:pPr>
        <w:keepNext/>
        <w:spacing w:before="200" w:after="100" w:line="264" w:lineRule="auto"/>
        <w:jc w:val="left"/>
      </w:pPr>
      <w:bookmarkStart w:id="27" w:name="_q_op7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7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Leitura exposição × sensibilidade</w:t>
      </w:r>
      <w:bookmarkEnd w:id="27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816"/>
        <w:gridCol w:w="1915"/>
        <w:gridCol w:w="2053"/>
        <w:gridCol w:w="3060"/>
      </w:tblGrid>
      <w:tr>
        <w:trPr>
          <w:tblHeader/>
          <w:cantSplit/>
        </w:trPr>
        <w:tc>
          <w:tcPr>
            <w:tcW w:w="1816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PERFIL DO SETOR</w:t>
            </w:r>
          </w:p>
        </w:tc>
        <w:tc>
          <w:tcPr>
            <w:tcW w:w="191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O QUE INDICA</w:t>
            </w:r>
          </w:p>
        </w:tc>
        <w:tc>
          <w:tcPr>
            <w:tcW w:w="2053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QUEM AGE PRIMEIRO</w:t>
            </w:r>
          </w:p>
        </w:tc>
        <w:tc>
          <w:tcPr>
            <w:tcW w:w="3060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TIPO DE AÇÃO A DISCUTIR NA SCS</w:t>
            </w:r>
          </w:p>
        </w:tc>
      </w:tr>
      <w:tr>
        <w:trPr>
          <w:cantSplit/>
        </w:trPr>
        <w:tc>
          <w:tcPr>
            <w:tcW w:w="181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Exposição alta, sensibilidade alta</w:t>
            </w:r>
          </w:p>
        </w:tc>
        <w:tc>
          <w:tcPr>
            <w:tcW w:w="191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Dano mais provável: o lugar e as pessoas</w:t>
            </w:r>
          </w:p>
        </w:tc>
        <w:tc>
          <w:tcPr>
            <w:tcW w:w="205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APS, vigilância e Defesa Civil, juntas</w:t>
            </w:r>
          </w:p>
        </w:tc>
        <w:tc>
          <w:tcPr>
            <w:tcW w:w="306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Prioridade do ciclo; busca ativa e advocacy de infraestrutura</w:t>
            </w:r>
          </w:p>
        </w:tc>
      </w:tr>
      <w:tr>
        <w:trPr>
          <w:cantSplit/>
        </w:trPr>
        <w:tc>
          <w:tcPr>
            <w:tcW w:w="181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Exposição alta, sensibilidade baixa</w:t>
            </w:r>
          </w:p>
        </w:tc>
        <w:tc>
          <w:tcPr>
            <w:tcW w:w="191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Risco do lugar</w:t>
            </w:r>
          </w:p>
        </w:tc>
        <w:tc>
          <w:tcPr>
            <w:tcW w:w="205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Defesa Civil, vigilância ambiental, saneamento</w:t>
            </w:r>
          </w:p>
        </w:tc>
        <w:tc>
          <w:tcPr>
            <w:tcW w:w="306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Intervenção sobre o lugar (drenagem, contenção de encosta, saneamento); advocacy</w:t>
            </w:r>
          </w:p>
        </w:tc>
      </w:tr>
      <w:tr>
        <w:trPr>
          <w:cantSplit/>
        </w:trPr>
        <w:tc>
          <w:tcPr>
            <w:tcW w:w="181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Exposição baixa, sensibilidade alta</w:t>
            </w:r>
          </w:p>
        </w:tc>
        <w:tc>
          <w:tcPr>
            <w:tcW w:w="191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Risco das pessoas</w:t>
            </w:r>
          </w:p>
        </w:tc>
        <w:tc>
          <w:tcPr>
            <w:tcW w:w="205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Equipe de APS e CRAS</w:t>
            </w:r>
          </w:p>
        </w:tc>
        <w:tc>
          <w:tcPr>
            <w:tcW w:w="306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Proteção às pessoas: busca ativa de crianças de 0 a 4 anos e idosos de 75 anos ou mais; Cadastro Único</w:t>
            </w:r>
          </w:p>
        </w:tc>
      </w:tr>
      <w:tr>
        <w:trPr>
          <w:cantSplit/>
        </w:trPr>
        <w:tc>
          <w:tcPr>
            <w:tcW w:w="181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Ambas baixas</w:t>
            </w:r>
          </w:p>
        </w:tc>
        <w:tc>
          <w:tcPr>
            <w:tcW w:w="191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Menor probabilidade de dano medida</w:t>
            </w:r>
          </w:p>
        </w:tc>
        <w:tc>
          <w:tcPr>
            <w:tcW w:w="205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—</w:t>
            </w:r>
          </w:p>
        </w:tc>
        <w:tc>
          <w:tcPr>
            <w:tcW w:w="306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Acompanhar e perguntar se há invisibilidades que a medida não capta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Setores em que as versões aditiva e geométrica do IVT mais divergem têm perfil desbalanceado: são justamente os que pedem a leitura em quadrantes.</w:t>
      </w:r>
    </w:p>
    <w:p>
      <w:pPr>
        <w:keepNext/>
        <w:spacing w:before="0" w:after="0" w:line="120" w:lineRule="exact"/>
        <w:jc w:val="both"/>
      </w:pPr>
    </w:p>
    <w:tbl>
      <w:tblPr>
        <w:tblW w:w="8844" w:type="dxa"/>
        <w:tblInd w:w="0" w:type="dxa"/>
        <w:tblBorders>
          <w:top w:val="nil"/>
          <w:left w:val="single" w:sz="36" w:space="0" w:color="01366F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20" w:type="dxa"/>
          <w:bottom w:w="140" w:type="dxa"/>
          <w:right w:w="22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E8EEF5"/>
          </w:tcPr>
          <w:p>
            <w:pPr>
              <w:spacing w:before="0" w:after="4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pacing w:val="30"/>
                <w:sz w:val="15"/>
                <w:szCs w:val="15"/>
              </w:rPr>
              <w:t xml:space="preserve">SINAL DE ALERTA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21"/>
                <w:szCs w:val="21"/>
              </w:rPr>
              <w:t xml:space="preserve">Relatório entregue no dia da reunião; lista de invisibilidades vazia por vários meses; V4 apresentado sem o valor esperado ao acaso.</w:t>
            </w:r>
          </w:p>
        </w:tc>
      </w:tr>
    </w:tbl>
    <w:p>
      <w:pPr>
        <w:spacing w:before="0" w:after="0" w:line="160" w:lineRule="exact"/>
        <w:jc w:val="both"/>
      </w:pPr>
    </w:p>
    <w:p>
      <w:pPr>
        <w:pStyle w:val="Heading4"/>
        <w:keepNext/>
        <w:spacing w:before="200" w:after="80" w:line="264" w:lineRule="auto"/>
        <w:jc w:val="left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Erros a evitar</w:t>
      </w:r>
    </w:p>
    <w:p>
      <w:pPr>
        <w:pStyle w:val="ListParagraph"/>
        <w:numPr>
          <w:ilvl w:val="0"/>
          <w:numId w:val="19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Tratar divergência como erro de uma das vigilâncias, em vez de pergunta a investigar.</w:t>
      </w:r>
    </w:p>
    <w:p>
      <w:pPr>
        <w:pStyle w:val="ListParagraph"/>
        <w:numPr>
          <w:ilvl w:val="0"/>
          <w:numId w:val="19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Usar o INS para comparar setores, ou o IVT para comparar municípios.</w:t>
      </w:r>
    </w:p>
    <w:p>
      <w:pPr>
        <w:pStyle w:val="ListParagraph"/>
        <w:numPr>
          <w:ilvl w:val="0"/>
          <w:numId w:val="19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Somar o PVI ao IVT, ou levar alertas e respostas para dentro do índice.</w:t>
      </w:r>
    </w:p>
    <w:p>
      <w:pPr>
        <w:pStyle w:val="ListParagraph"/>
        <w:numPr>
          <w:ilvl w:val="0"/>
          <w:numId w:val="19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Ler queda do IVT depois de incorporações como melhora do território: é revisão de medida.</w:t>
      </w:r>
    </w:p>
    <w:p>
      <w:pPr>
        <w:pStyle w:val="ListParagraph"/>
        <w:numPr>
          <w:ilvl w:val="0"/>
          <w:numId w:val="19"/>
        </w:numPr>
        <w:spacing w:before="0" w:after="16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Levar à SCS conclusões prontas: o relatório prepara a deliberação, não a substitui.</w:t>
      </w:r>
    </w:p>
    <w:p>
      <w:pPr>
        <w:pStyle w:val="Heading2"/>
        <w:keepNext/>
        <w:spacing w:before="360" w:after="120" w:line="264" w:lineRule="auto"/>
        <w:jc w:val="left"/>
      </w:pPr>
      <w:bookmarkStart w:id="28" w:name="_h17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8 F3 · Interpretação e deliberação (mensal, na SCS)</w:t>
      </w:r>
      <w:bookmarkEnd w:id="28"/>
    </w:p>
    <w:p>
      <w:pPr>
        <w:keepNext/>
        <w:spacing w:before="0" w:after="0" w:line="120" w:lineRule="exact"/>
        <w:jc w:val="both"/>
      </w:pPr>
    </w:p>
    <w:tbl>
      <w:tblPr>
        <w:tblW w:w="8844" w:type="dxa"/>
        <w:tblInd w:w="0" w:type="dxa"/>
        <w:tblBorders>
          <w:top w:val="nil"/>
          <w:left w:val="single" w:sz="36" w:space="0" w:color="007614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20" w:type="dxa"/>
          <w:bottom w:w="140" w:type="dxa"/>
          <w:right w:w="22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E9F2EB"/>
          </w:tcPr>
          <w:p>
            <w:pPr>
              <w:spacing w:before="0" w:after="4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07614"/>
                <w:spacing w:val="30"/>
                <w:sz w:val="15"/>
                <w:szCs w:val="15"/>
              </w:rPr>
              <w:t xml:space="preserve">PERGUNTA-GUIA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 w:eastAsia="Barlow"/>
                <w:i/>
                <w:iCs/>
                <w:color w:val="0F2440"/>
                <w:sz w:val="21"/>
                <w:szCs w:val="21"/>
              </w:rPr>
              <w:t xml:space="preserve">O que esses sinais significam para nós, o que priorizamos e o que vamos exigir?</w:t>
            </w:r>
          </w:p>
        </w:tc>
      </w:tr>
    </w:tbl>
    <w:p>
      <w:pPr>
        <w:spacing w:before="0" w:after="0" w:line="16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A reunião mensal é onde se exerce a preponderância do território. A Dupla de Facilitação conduz; os pesquisadores populares são protagonistas; profissionais de APS e de vigilância trazem a perspectiva clínica, epidemiológica e de gestão e levam as prioridades para suas equipes.</w:t>
      </w:r>
    </w:p>
    <w:p>
      <w:pPr>
        <w:pStyle w:val="Heading3"/>
        <w:keepNext/>
        <w:spacing w:before="280" w:after="100" w:line="264" w:lineRule="auto"/>
        <w:jc w:val="left"/>
      </w:pPr>
      <w:bookmarkStart w:id="29" w:name="_h18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8.1 Roteiro com perguntas por bloco (cerca de 2 horas; tempos sugeridos)</w:t>
      </w:r>
      <w:bookmarkEnd w:id="29"/>
    </w:p>
    <w:p>
      <w:pPr>
        <w:keepNext/>
        <w:spacing w:before="200" w:after="100" w:line="264" w:lineRule="auto"/>
        <w:jc w:val="left"/>
      </w:pPr>
      <w:bookmarkStart w:id="30" w:name="_q_op8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8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Roteiro da reunião deliberativa da SCS</w:t>
      </w:r>
      <w:bookmarkEnd w:id="30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95"/>
        <w:gridCol w:w="3802"/>
        <w:gridCol w:w="1948"/>
      </w:tblGrid>
      <w:tr>
        <w:trPr>
          <w:tblHeader/>
          <w:cantSplit/>
        </w:trPr>
        <w:tc>
          <w:tcPr>
            <w:tcW w:w="2299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BLOCO</w:t>
            </w:r>
          </w:p>
        </w:tc>
        <w:tc>
          <w:tcPr>
            <w:tcW w:w="79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TEMPO</w:t>
            </w:r>
          </w:p>
        </w:tc>
        <w:tc>
          <w:tcPr>
            <w:tcW w:w="3802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PERGUNTA QUE O BLOCO RESPONDE</w:t>
            </w:r>
          </w:p>
        </w:tc>
        <w:tc>
          <w:tcPr>
            <w:tcW w:w="1948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PRODUTO</w:t>
            </w:r>
          </w:p>
        </w:tc>
      </w:tr>
      <w:tr>
        <w:trPr>
          <w:cantSplit/>
        </w:trPr>
        <w:tc>
          <w:tcPr>
            <w:tcW w:w="229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1. Abertura</w:t>
            </w:r>
          </w:p>
        </w:tc>
        <w:tc>
          <w:tcPr>
            <w:tcW w:w="79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10 min</w:t>
            </w:r>
          </w:p>
        </w:tc>
        <w:tc>
          <w:tcPr>
            <w:tcW w:w="3802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Quem está aqui e quem falta?</w:t>
            </w:r>
          </w:p>
        </w:tc>
        <w:tc>
          <w:tcPr>
            <w:tcW w:w="194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Presença por segmento</w:t>
            </w:r>
          </w:p>
        </w:tc>
      </w:tr>
      <w:tr>
        <w:trPr>
          <w:cantSplit/>
        </w:trPr>
        <w:tc>
          <w:tcPr>
            <w:tcW w:w="229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2. Retorno</w:t>
            </w:r>
          </w:p>
        </w:tc>
        <w:tc>
          <w:tcPr>
            <w:tcW w:w="79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15 min</w:t>
            </w:r>
          </w:p>
        </w:tc>
        <w:tc>
          <w:tcPr>
            <w:tcW w:w="3802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que aconteceu com cada encaminhamento anterior, inclusive os sem resposta?</w:t>
            </w:r>
          </w:p>
        </w:tc>
        <w:tc>
          <w:tcPr>
            <w:tcW w:w="194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Situação de cada encaminhamento</w:t>
            </w:r>
          </w:p>
        </w:tc>
      </w:tr>
      <w:tr>
        <w:trPr>
          <w:cantSplit/>
        </w:trPr>
        <w:tc>
          <w:tcPr>
            <w:tcW w:w="229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3. Leitura do mapa</w:t>
            </w:r>
          </w:p>
        </w:tc>
        <w:tc>
          <w:tcPr>
            <w:tcW w:w="79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20 min</w:t>
            </w:r>
          </w:p>
        </w:tc>
        <w:tc>
          <w:tcPr>
            <w:tcW w:w="3802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Onde estão os sinais das duas vigilâncias, e em que quintil do IVT?</w:t>
            </w:r>
          </w:p>
        </w:tc>
        <w:tc>
          <w:tcPr>
            <w:tcW w:w="194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Leitura do território, começando pelos pesquisadores populares</w:t>
            </w:r>
          </w:p>
        </w:tc>
      </w:tr>
      <w:tr>
        <w:trPr>
          <w:cantSplit/>
        </w:trPr>
        <w:tc>
          <w:tcPr>
            <w:tcW w:w="229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4. Convergências e divergências</w:t>
            </w:r>
          </w:p>
        </w:tc>
        <w:tc>
          <w:tcPr>
            <w:tcW w:w="79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20 min</w:t>
            </w:r>
          </w:p>
        </w:tc>
        <w:tc>
          <w:tcPr>
            <w:tcW w:w="3802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que as duas vigilâncias viram juntas, o que só uma viu, que dado oficial contestamos?</w:t>
            </w:r>
          </w:p>
        </w:tc>
        <w:tc>
          <w:tcPr>
            <w:tcW w:w="194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Contestações e invisibilidades registradas</w:t>
            </w:r>
          </w:p>
        </w:tc>
      </w:tr>
      <w:tr>
        <w:trPr>
          <w:cantSplit/>
        </w:trPr>
        <w:tc>
          <w:tcPr>
            <w:tcW w:w="229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5. Priorização (Matriz UIC)</w:t>
            </w:r>
          </w:p>
        </w:tc>
        <w:tc>
          <w:tcPr>
            <w:tcW w:w="79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30 min</w:t>
            </w:r>
          </w:p>
        </w:tc>
        <w:tc>
          <w:tcPr>
            <w:tcW w:w="3802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que é mais urgente, de maior impacto e sobre o que temos mais capacidade de agir?</w:t>
            </w:r>
          </w:p>
        </w:tc>
        <w:tc>
          <w:tcPr>
            <w:tcW w:w="194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Prioridades do mês</w:t>
            </w:r>
          </w:p>
        </w:tc>
      </w:tr>
      <w:tr>
        <w:trPr>
          <w:cantSplit/>
        </w:trPr>
        <w:tc>
          <w:tcPr>
            <w:tcW w:w="229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6. Encaminhamentos</w:t>
            </w:r>
          </w:p>
        </w:tc>
        <w:tc>
          <w:tcPr>
            <w:tcW w:w="79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15 min</w:t>
            </w:r>
          </w:p>
        </w:tc>
        <w:tc>
          <w:tcPr>
            <w:tcW w:w="3802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Quem faz o quê, até quando, por qual registro de ação?</w:t>
            </w:r>
          </w:p>
        </w:tc>
        <w:tc>
          <w:tcPr>
            <w:tcW w:w="194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Encaminhamentos com prazo</w:t>
            </w:r>
          </w:p>
        </w:tc>
      </w:tr>
      <w:tr>
        <w:trPr>
          <w:cantSplit/>
        </w:trPr>
        <w:tc>
          <w:tcPr>
            <w:tcW w:w="229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7. Ata</w:t>
            </w:r>
          </w:p>
        </w:tc>
        <w:tc>
          <w:tcPr>
            <w:tcW w:w="79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10 min</w:t>
            </w:r>
          </w:p>
        </w:tc>
        <w:tc>
          <w:tcPr>
            <w:tcW w:w="3802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Todos reconhecem o que foi decidido?</w:t>
            </w:r>
          </w:p>
        </w:tc>
        <w:tc>
          <w:tcPr>
            <w:tcW w:w="194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Ata assinada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pStyle w:val="Heading3"/>
        <w:keepNext/>
        <w:spacing w:before="280" w:after="100" w:line="264" w:lineRule="auto"/>
        <w:jc w:val="left"/>
      </w:pPr>
      <w:bookmarkStart w:id="31" w:name="_h19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8.2 Matriz UIC: como priorizar</w:t>
      </w:r>
      <w:bookmarkEnd w:id="31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Cada problema (e não cada indicador) recebe nota de 1 a 5 em três critérios: </w:t>
      </w: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Urgência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(quanto tempo podemos esperar?), </w:t>
      </w: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Impacto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(quanto afeta a vida e a saúde das famílias?) e </w:t>
      </w: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Capacidade de agência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(quanto o território e os serviços locais conseguem agir sobre isso?). A soma ordena a discussão, mas não a substitui: a plenária pode reordenar, desde que registre o motivo em ata. Problema de baixa capacidade de agência e alto impacto é candidato a advocacy, e não a ser descartado.</w:t>
      </w:r>
    </w:p>
    <w:p>
      <w:pPr>
        <w:keepNext/>
        <w:spacing w:before="0" w:after="0" w:line="120" w:lineRule="exact"/>
        <w:jc w:val="both"/>
      </w:pPr>
    </w:p>
    <w:tbl>
      <w:tblPr>
        <w:tblW w:w="8844" w:type="dxa"/>
        <w:tblInd w:w="0" w:type="dxa"/>
        <w:tblBorders>
          <w:top w:val="nil"/>
          <w:left w:val="single" w:sz="36" w:space="0" w:color="01366F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20" w:type="dxa"/>
          <w:bottom w:w="140" w:type="dxa"/>
          <w:right w:w="22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E8EEF5"/>
          </w:tcPr>
          <w:p>
            <w:pPr>
              <w:spacing w:before="0" w:after="4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pacing w:val="30"/>
                <w:sz w:val="15"/>
                <w:szCs w:val="15"/>
              </w:rPr>
              <w:t xml:space="preserve">SINAL DE ALERTA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21"/>
                <w:szCs w:val="21"/>
              </w:rPr>
              <w:t xml:space="preserve">Técnicos falam mais que pesquisadores populares; nenhuma contestação registrada por vários meses; encaminhamentos sem responsável ou sem prazo.</w:t>
            </w:r>
          </w:p>
        </w:tc>
      </w:tr>
    </w:tbl>
    <w:p>
      <w:pPr>
        <w:spacing w:before="0" w:after="0" w:line="160" w:lineRule="exact"/>
        <w:jc w:val="both"/>
      </w:pPr>
    </w:p>
    <w:p>
      <w:pPr>
        <w:pStyle w:val="Heading4"/>
        <w:keepNext/>
        <w:spacing w:before="200" w:after="80" w:line="264" w:lineRule="auto"/>
        <w:jc w:val="left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Erros a evitar</w:t>
      </w:r>
    </w:p>
    <w:p>
      <w:pPr>
        <w:pStyle w:val="ListParagraph"/>
        <w:numPr>
          <w:ilvl w:val="0"/>
          <w:numId w:val="20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Deixar o número decidir: um IVT alto ou um aumento de notificações gera uma pergunta, não uma ação automática.</w:t>
      </w:r>
    </w:p>
    <w:p>
      <w:pPr>
        <w:pStyle w:val="ListParagraph"/>
        <w:numPr>
          <w:ilvl w:val="0"/>
          <w:numId w:val="20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Pular o retorno dos encaminhamentos: sem ele, o território deixa de acreditar que alertar adianta.</w:t>
      </w:r>
    </w:p>
    <w:p>
      <w:pPr>
        <w:pStyle w:val="ListParagraph"/>
        <w:numPr>
          <w:ilvl w:val="0"/>
          <w:numId w:val="20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Usar a Matriz UIC para mudar pesos de índices.</w:t>
      </w:r>
    </w:p>
    <w:p>
      <w:pPr>
        <w:pStyle w:val="ListParagraph"/>
        <w:numPr>
          <w:ilvl w:val="0"/>
          <w:numId w:val="20"/>
        </w:numPr>
        <w:spacing w:before="0" w:after="16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Tratar divergência como erro de um dos lados, em vez de pergunta a investigar.</w:t>
      </w:r>
    </w:p>
    <w:p>
      <w:pPr>
        <w:pStyle w:val="Heading2"/>
        <w:keepNext/>
        <w:spacing w:before="360" w:after="120" w:line="264" w:lineRule="auto"/>
        <w:jc w:val="left"/>
      </w:pPr>
      <w:bookmarkStart w:id="32" w:name="_h20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9 F4 · Ação e exigibilidade (48 horas a 180 dias)</w:t>
      </w:r>
      <w:bookmarkEnd w:id="32"/>
    </w:p>
    <w:p>
      <w:pPr>
        <w:keepNext/>
        <w:spacing w:before="0" w:after="0" w:line="120" w:lineRule="exact"/>
        <w:jc w:val="both"/>
      </w:pPr>
    </w:p>
    <w:tbl>
      <w:tblPr>
        <w:tblW w:w="8844" w:type="dxa"/>
        <w:tblInd w:w="0" w:type="dxa"/>
        <w:tblBorders>
          <w:top w:val="nil"/>
          <w:left w:val="single" w:sz="36" w:space="0" w:color="007614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20" w:type="dxa"/>
          <w:bottom w:w="140" w:type="dxa"/>
          <w:right w:w="22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E9F2EB"/>
          </w:tcPr>
          <w:p>
            <w:pPr>
              <w:spacing w:before="0" w:after="4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07614"/>
                <w:spacing w:val="30"/>
                <w:sz w:val="15"/>
                <w:szCs w:val="15"/>
              </w:rPr>
              <w:t xml:space="preserve">PERGUNTA-GUIA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 w:eastAsia="Barlow"/>
                <w:i/>
                <w:iCs/>
                <w:color w:val="0F2440"/>
                <w:sz w:val="21"/>
                <w:szCs w:val="21"/>
              </w:rPr>
              <w:t xml:space="preserve">Quem responde, o quê, até quando, e o que fazemos se não responderem?</w:t>
            </w:r>
          </w:p>
        </w:tc>
      </w:tr>
    </w:tbl>
    <w:p>
      <w:pPr>
        <w:spacing w:before="0" w:after="0" w:line="160" w:lineRule="exact"/>
        <w:jc w:val="both"/>
      </w:pPr>
    </w:p>
    <w:p>
      <w:pPr>
        <w:pStyle w:val="Heading3"/>
        <w:keepNext/>
        <w:spacing w:before="280" w:after="100" w:line="264" w:lineRule="auto"/>
        <w:jc w:val="left"/>
      </w:pPr>
      <w:bookmarkStart w:id="33" w:name="_h21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9.1 Triagem: em qual registro de ação cada encaminhamento entra</w:t>
      </w:r>
      <w:bookmarkEnd w:id="33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Para cada encaminhamento, responda às perguntas na ordem. A primeira resposta “sim” define o registro.</w:t>
      </w:r>
    </w:p>
    <w:p>
      <w:pPr>
        <w:pStyle w:val="ListParagraph"/>
        <w:numPr>
          <w:ilvl w:val="0"/>
          <w:numId w:val="21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Há risco à vida ou à saúde nas próximas horas?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</w:t>
      </w:r>
      <w:r>
        <w:rPr>
          <w:rFonts w:ascii="Segoe UI Symbol" w:hAnsi="Segoe UI Symbol" w:cs="Segoe UI Symbol" w:eastAsia="Segoe UI Symbol"/>
          <w:color w:val="0F2440"/>
          <w:sz w:val="20"/>
          <w:szCs w:val="20"/>
        </w:rPr>
        <w:t xml:space="preserve">→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Resposta imediata.</w:t>
      </w:r>
    </w:p>
    <w:p>
      <w:pPr>
        <w:pStyle w:val="ListParagraph"/>
        <w:numPr>
          <w:ilvl w:val="0"/>
          <w:numId w:val="21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É algo que o território viu, o sistema não registra, e a verificação conjunta confirmou?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</w:t>
      </w:r>
      <w:r>
        <w:rPr>
          <w:rFonts w:ascii="Segoe UI Symbol" w:hAnsi="Segoe UI Symbol" w:cs="Segoe UI Symbol" w:eastAsia="Segoe UI Symbol"/>
          <w:color w:val="0F2440"/>
          <w:sz w:val="20"/>
          <w:szCs w:val="20"/>
        </w:rPr>
        <w:t xml:space="preserve">→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Incorporação.</w:t>
      </w:r>
    </w:p>
    <w:p>
      <w:pPr>
        <w:pStyle w:val="ListParagraph"/>
        <w:numPr>
          <w:ilvl w:val="0"/>
          <w:numId w:val="21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Os serviços locais conseguem agir com o que têm?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</w:t>
      </w:r>
      <w:r>
        <w:rPr>
          <w:rFonts w:ascii="Segoe UI Symbol" w:hAnsi="Segoe UI Symbol" w:cs="Segoe UI Symbol" w:eastAsia="Segoe UI Symbol"/>
          <w:color w:val="0F2440"/>
          <w:sz w:val="20"/>
          <w:szCs w:val="20"/>
        </w:rPr>
        <w:t xml:space="preserve">→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Ação planejada.</w:t>
      </w:r>
    </w:p>
    <w:p>
      <w:pPr>
        <w:pStyle w:val="ListParagraph"/>
        <w:numPr>
          <w:ilvl w:val="0"/>
          <w:numId w:val="21"/>
        </w:numPr>
        <w:spacing w:before="0" w:after="16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Exige decisão, recurso ou política fora do alcance local?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</w:t>
      </w:r>
      <w:r>
        <w:rPr>
          <w:rFonts w:ascii="Segoe UI Symbol" w:hAnsi="Segoe UI Symbol" w:cs="Segoe UI Symbol" w:eastAsia="Segoe UI Symbol"/>
          <w:color w:val="0F2440"/>
          <w:sz w:val="20"/>
          <w:szCs w:val="20"/>
        </w:rPr>
        <w:t xml:space="preserve">→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Advocacy.</w:t>
      </w:r>
    </w:p>
    <w:p>
      <w:pPr>
        <w:keepNext/>
        <w:spacing w:before="200" w:after="100" w:line="264" w:lineRule="auto"/>
        <w:jc w:val="left"/>
      </w:pPr>
      <w:bookmarkStart w:id="34" w:name="_q_op9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9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Registros de ação</w:t>
      </w:r>
      <w:bookmarkEnd w:id="34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503"/>
        <w:gridCol w:w="1238"/>
        <w:gridCol w:w="1945"/>
        <w:gridCol w:w="2918"/>
        <w:gridCol w:w="1240"/>
      </w:tblGrid>
      <w:tr>
        <w:trPr>
          <w:tblHeader/>
          <w:cantSplit/>
        </w:trPr>
        <w:tc>
          <w:tcPr>
            <w:tcW w:w="1503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REGISTRO</w:t>
            </w:r>
          </w:p>
        </w:tc>
        <w:tc>
          <w:tcPr>
            <w:tcW w:w="1238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PRAZO</w:t>
            </w:r>
          </w:p>
        </w:tc>
        <w:tc>
          <w:tcPr>
            <w:tcW w:w="194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O QUE INCLUI</w:t>
            </w:r>
          </w:p>
        </w:tc>
        <w:tc>
          <w:tcPr>
            <w:tcW w:w="2918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ACIONA</w:t>
            </w:r>
          </w:p>
        </w:tc>
        <w:tc>
          <w:tcPr>
            <w:tcW w:w="1240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CONTA NO PVI</w:t>
            </w:r>
          </w:p>
        </w:tc>
      </w:tr>
      <w:tr>
        <w:trPr>
          <w:cantSplit/>
        </w:trPr>
        <w:tc>
          <w:tcPr>
            <w:tcW w:w="150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Resposta imediata</w:t>
            </w:r>
          </w:p>
        </w:tc>
        <w:tc>
          <w:tcPr>
            <w:tcW w:w="123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48 a 72 horas</w:t>
            </w:r>
          </w:p>
        </w:tc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Alertas críticos</w:t>
            </w:r>
          </w:p>
        </w:tc>
        <w:tc>
          <w:tcPr>
            <w:tcW w:w="291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UBS de referência e vigilância em saúde, diretamente</w:t>
            </w:r>
          </w:p>
        </w:tc>
        <w:tc>
          <w:tcPr>
            <w:tcW w:w="124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V6</w:t>
            </w:r>
          </w:p>
        </w:tc>
      </w:tr>
      <w:tr>
        <w:trPr>
          <w:cantSplit/>
        </w:trPr>
        <w:tc>
          <w:tcPr>
            <w:tcW w:w="150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Incorporação</w:t>
            </w:r>
          </w:p>
        </w:tc>
        <w:tc>
          <w:tcPr>
            <w:tcW w:w="123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Até a reunião seguinte</w:t>
            </w:r>
          </w:p>
        </w:tc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Invisibilidades verificadas</w:t>
            </w:r>
          </w:p>
        </w:tc>
        <w:tc>
          <w:tcPr>
            <w:tcW w:w="291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Serviço responsável pelo registro oficial (Quadro 10)</w:t>
            </w:r>
          </w:p>
        </w:tc>
        <w:tc>
          <w:tcPr>
            <w:tcW w:w="124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V5</w:t>
            </w:r>
          </w:p>
        </w:tc>
      </w:tr>
      <w:tr>
        <w:trPr>
          <w:cantSplit/>
        </w:trPr>
        <w:tc>
          <w:tcPr>
            <w:tcW w:w="150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Ação planejada</w:t>
            </w:r>
          </w:p>
        </w:tc>
        <w:tc>
          <w:tcPr>
            <w:tcW w:w="123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30 a 90 dias</w:t>
            </w:r>
          </w:p>
        </w:tc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Itens do Plano Popular e prioridades do ciclo</w:t>
            </w:r>
          </w:p>
        </w:tc>
        <w:tc>
          <w:tcPr>
            <w:tcW w:w="291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Responsáveis da ata; programação das equipes (APPT)</w:t>
            </w:r>
          </w:p>
        </w:tc>
        <w:tc>
          <w:tcPr>
            <w:tcW w:w="124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V7, V8</w:t>
            </w:r>
          </w:p>
        </w:tc>
      </w:tr>
      <w:tr>
        <w:trPr>
          <w:cantSplit/>
        </w:trPr>
        <w:tc>
          <w:tcPr>
            <w:tcW w:w="150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Advocacy</w:t>
            </w:r>
          </w:p>
        </w:tc>
        <w:tc>
          <w:tcPr>
            <w:tcW w:w="123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90 a 180 dias</w:t>
            </w:r>
          </w:p>
        </w:tc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Encaminhamentos que exigem decisão institucional</w:t>
            </w:r>
          </w:p>
        </w:tc>
        <w:tc>
          <w:tcPr>
            <w:tcW w:w="291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Gestão pública, pelos Níveis 2 e 3, com INS, IVT e histórico de respostas</w:t>
            </w:r>
          </w:p>
        </w:tc>
        <w:tc>
          <w:tcPr>
            <w:tcW w:w="124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V7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Todo encaminhamento sai da ata com responsável, prazo e registro. A falta de resposta também é registrada: é o principal insumo do advocacy.</w:t>
      </w:r>
    </w:p>
    <w:p>
      <w:pPr>
        <w:pStyle w:val="Heading3"/>
        <w:keepNext/>
        <w:spacing w:before="280" w:after="100" w:line="264" w:lineRule="auto"/>
        <w:jc w:val="left"/>
      </w:pPr>
      <w:bookmarkStart w:id="35" w:name="_h22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9.2 Fluxo de 72 horas</w:t>
      </w:r>
      <w:bookmarkEnd w:id="35"/>
    </w:p>
    <w:p>
      <w:pPr>
        <w:keepNext/>
        <w:spacing w:before="0" w:after="0" w:line="200" w:lineRule="exact"/>
        <w:jc w:val="both"/>
      </w:pPr>
    </w:p>
    <w:tbl>
      <w:tblPr>
        <w:tblW w:w="8844" w:type="dxa"/>
        <w:jc w:val="center"/>
        <w:tblBorders>
          <w:top w:val="single" w:sz="6" w:space="0" w:color="D9DEE3"/>
          <w:left w:val="single" w:sz="6" w:space="0" w:color="D9DEE3"/>
          <w:bottom w:val="single" w:sz="6" w:space="0" w:color="D9DEE3"/>
          <w:right w:val="single" w:sz="6" w:space="0" w:color="D9DEE3"/>
          <w:insideH w:val="nil"/>
          <w:insideV w:val="nil"/>
        </w:tblBorders>
        <w:tblLayout w:type="fixed"/>
        <w:tblCellMar>
          <w:top w:w="180" w:type="dxa"/>
          <w:left w:w="180" w:type="dxa"/>
          <w:bottom w:w="160" w:type="dxa"/>
          <w:right w:w="18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FFFFFF"/>
          </w:tcPr>
          <w:p>
            <w:pPr>
              <w:keepNext/>
              <w:spacing w:before="0" w:after="120" w:line="264" w:lineRule="auto"/>
              <w:jc w:val="left"/>
            </w:pPr>
            <w:bookmarkStart w:id="36" w:name="_f_f72"/>
            <w:r>
              <w:rPr>
                <w:rFonts w:ascii="Barlow Condensed SemiBold" w:hAnsi="Barlow Condensed SemiBold" w:cs="Barlow Condensed SemiBold" w:eastAsia="Barlow Condensed SemiBold"/>
                <w:color w:val="007614"/>
                <w:sz w:val="21"/>
                <w:szCs w:val="21"/>
              </w:rPr>
              <w:t xml:space="preserve">Figura 4 – </w:t>
            </w: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21"/>
                <w:szCs w:val="21"/>
              </w:rPr>
              <w:t xml:space="preserve">Fluxo do alerta crítico em 72 horas</w:t>
            </w:r>
            <w:bookmarkEnd w:id="36"/>
          </w:p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5387340" cy="2366838"/>
                  <wp:effectExtent l="0" t="0" r="0" b="0"/>
                  <wp:docPr id="13" name="img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g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2366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O prazo corre a partir da hora zero, e não da reunião. O escalonamento não substitui a resposta: ele torna visível, na instância seguinte, que ela não veio.</w:t>
      </w:r>
    </w:p>
    <w:p>
      <w:pPr>
        <w:pStyle w:val="Heading3"/>
        <w:keepNext/>
        <w:spacing w:before="280" w:after="100" w:line="264" w:lineRule="auto"/>
        <w:jc w:val="left"/>
      </w:pPr>
      <w:bookmarkStart w:id="37" w:name="_h23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9.3 Incorporação das invisibilidades</w:t>
      </w:r>
      <w:bookmarkEnd w:id="37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É a forma operacional da visibilização social: o que o território revela e o serviço confirma em verificação conjunta passa a constar do registro oficial.</w:t>
      </w:r>
    </w:p>
    <w:p>
      <w:pPr>
        <w:keepNext/>
        <w:spacing w:before="200" w:after="100" w:line="264" w:lineRule="auto"/>
        <w:jc w:val="left"/>
      </w:pPr>
      <w:bookmarkStart w:id="38" w:name="_q_op10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10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Incorporação das invisibilidades aos sistemas oficiais</w:t>
      </w:r>
      <w:bookmarkEnd w:id="38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2668"/>
        <w:gridCol w:w="2051"/>
        <w:gridCol w:w="1970"/>
        <w:gridCol w:w="2155"/>
      </w:tblGrid>
      <w:tr>
        <w:trPr>
          <w:tblHeader/>
          <w:cantSplit/>
        </w:trPr>
        <w:tc>
          <w:tcPr>
            <w:tcW w:w="2668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O TERRITÓRIO IDENTIFICA</w:t>
            </w:r>
          </w:p>
        </w:tc>
        <w:tc>
          <w:tcPr>
            <w:tcW w:w="2051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VERIFICAÇÃO CONJUNTA</w:t>
            </w:r>
          </w:p>
        </w:tc>
        <w:tc>
          <w:tcPr>
            <w:tcW w:w="1970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QUEM INCORPORA</w:t>
            </w:r>
          </w:p>
        </w:tc>
        <w:tc>
          <w:tcPr>
            <w:tcW w:w="215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ONDE PASSA A CONSTAR</w:t>
            </w:r>
          </w:p>
        </w:tc>
      </w:tr>
      <w:tr>
        <w:trPr>
          <w:cantSplit/>
        </w:trPr>
        <w:tc>
          <w:tcPr>
            <w:tcW w:w="266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Domicílios ou famílias não cadastrados</w:t>
            </w:r>
          </w:p>
        </w:tc>
        <w:tc>
          <w:tcPr>
            <w:tcW w:w="205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Visita do ACS com o pesquisador popular</w:t>
            </w:r>
          </w:p>
        </w:tc>
        <w:tc>
          <w:tcPr>
            <w:tcW w:w="197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Equipe de APS</w:t>
            </w:r>
          </w:p>
        </w:tc>
        <w:tc>
          <w:tcPr>
            <w:tcW w:w="215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Cadastro do e-SUS APS</w:t>
            </w:r>
          </w:p>
        </w:tc>
      </w:tr>
      <w:tr>
        <w:trPr>
          <w:cantSplit/>
        </w:trPr>
        <w:tc>
          <w:tcPr>
            <w:tcW w:w="266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Área de alagamento, enxurrada ou deslizamento fora do mapa oficial</w:t>
            </w:r>
          </w:p>
        </w:tc>
        <w:tc>
          <w:tcPr>
            <w:tcW w:w="205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Vistoria da Defesa Civil com a SCS</w:t>
            </w:r>
          </w:p>
        </w:tc>
        <w:tc>
          <w:tcPr>
            <w:tcW w:w="197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Defesa Civil</w:t>
            </w:r>
          </w:p>
        </w:tc>
        <w:tc>
          <w:tcPr>
            <w:tcW w:w="215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Camada de áreas de risco; IVT (E3)</w:t>
            </w:r>
          </w:p>
        </w:tc>
      </w:tr>
      <w:tr>
        <w:trPr>
          <w:cantSplit/>
        </w:trPr>
        <w:tc>
          <w:tcPr>
            <w:tcW w:w="266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Criadouros, depósitos e pontos críticos de vetores</w:t>
            </w:r>
          </w:p>
        </w:tc>
        <w:tc>
          <w:tcPr>
            <w:tcW w:w="205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Inspeção do ACE</w:t>
            </w:r>
          </w:p>
        </w:tc>
        <w:tc>
          <w:tcPr>
            <w:tcW w:w="197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Vigilância ambiental</w:t>
            </w:r>
          </w:p>
        </w:tc>
        <w:tc>
          <w:tcPr>
            <w:tcW w:w="215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Roteiro de pontos estratégicos e de visitas</w:t>
            </w:r>
          </w:p>
        </w:tc>
      </w:tr>
      <w:tr>
        <w:trPr>
          <w:cantSplit/>
        </w:trPr>
        <w:tc>
          <w:tcPr>
            <w:tcW w:w="266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Evento compatível com agravo de notificação compulsória</w:t>
            </w:r>
          </w:p>
        </w:tc>
        <w:tc>
          <w:tcPr>
            <w:tcW w:w="205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Avaliação clínica ou epidemiológica</w:t>
            </w:r>
          </w:p>
        </w:tc>
        <w:tc>
          <w:tcPr>
            <w:tcW w:w="197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Equipe de APS ou de vigilância</w:t>
            </w:r>
          </w:p>
        </w:tc>
        <w:tc>
          <w:tcPr>
            <w:tcW w:w="215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SINAN</w:t>
            </w:r>
          </w:p>
        </w:tc>
      </w:tr>
      <w:tr>
        <w:trPr>
          <w:cantSplit/>
        </w:trPr>
        <w:tc>
          <w:tcPr>
            <w:tcW w:w="266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Famílias de baixa renda fora do Cadastro Único</w:t>
            </w:r>
          </w:p>
        </w:tc>
        <w:tc>
          <w:tcPr>
            <w:tcW w:w="205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Encaminhamento ao CRAS</w:t>
            </w:r>
          </w:p>
        </w:tc>
        <w:tc>
          <w:tcPr>
            <w:tcW w:w="197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Gestão do Cadastro Único</w:t>
            </w:r>
          </w:p>
        </w:tc>
        <w:tc>
          <w:tcPr>
            <w:tcW w:w="215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Cadastro Único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Cada incorporação recebe marca de origem e é devolvida à SCS na reunião seguinte. Quando altera o IVT, é </w:t>
      </w: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revisão de medida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: a área de risco reconhecida hoje existia antes, e a série é reprocessada para que a correção não apareça como piora do território.</w:t>
      </w:r>
    </w:p>
    <w:p>
      <w:pPr>
        <w:keepNext/>
        <w:spacing w:before="0" w:after="0" w:line="120" w:lineRule="exact"/>
        <w:jc w:val="both"/>
      </w:pPr>
    </w:p>
    <w:tbl>
      <w:tblPr>
        <w:tblW w:w="8844" w:type="dxa"/>
        <w:tblInd w:w="0" w:type="dxa"/>
        <w:tblBorders>
          <w:top w:val="nil"/>
          <w:left w:val="single" w:sz="36" w:space="0" w:color="01366F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20" w:type="dxa"/>
          <w:bottom w:w="140" w:type="dxa"/>
          <w:right w:w="22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E8EEF5"/>
          </w:tcPr>
          <w:p>
            <w:pPr>
              <w:spacing w:before="0" w:after="4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pacing w:val="30"/>
                <w:sz w:val="15"/>
                <w:szCs w:val="15"/>
              </w:rPr>
              <w:t xml:space="preserve">SINAL DE ALERTA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21"/>
                <w:szCs w:val="21"/>
              </w:rPr>
              <w:t xml:space="preserve">V6 abaixo de 80%; encaminhamentos que voltam à pauta sem retorno por duas reuniões; lista de verificação parada.</w:t>
            </w:r>
          </w:p>
        </w:tc>
      </w:tr>
    </w:tbl>
    <w:p>
      <w:pPr>
        <w:spacing w:before="0" w:after="0" w:line="160" w:lineRule="exact"/>
        <w:jc w:val="both"/>
      </w:pPr>
    </w:p>
    <w:p>
      <w:pPr>
        <w:pStyle w:val="Heading4"/>
        <w:keepNext/>
        <w:spacing w:before="200" w:after="80" w:line="264" w:lineRule="auto"/>
        <w:jc w:val="left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Erros a evitar</w:t>
      </w:r>
    </w:p>
    <w:p>
      <w:pPr>
        <w:pStyle w:val="ListParagraph"/>
        <w:numPr>
          <w:ilvl w:val="0"/>
          <w:numId w:val="22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Descartar problema de alto impacto e baixa capacidade de agência: ele é candidato a advocacy.</w:t>
      </w:r>
    </w:p>
    <w:p>
      <w:pPr>
        <w:pStyle w:val="ListParagraph"/>
        <w:numPr>
          <w:ilvl w:val="0"/>
          <w:numId w:val="22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Executar ação planejada fora da programação das equipes: sem APPT, ela não se sustenta.</w:t>
      </w:r>
    </w:p>
    <w:p>
      <w:pPr>
        <w:pStyle w:val="ListParagraph"/>
        <w:numPr>
          <w:ilvl w:val="0"/>
          <w:numId w:val="22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Registrar só as respostas recebidas e apagar as que não vieram.</w:t>
      </w:r>
    </w:p>
    <w:p>
      <w:pPr>
        <w:pStyle w:val="ListParagraph"/>
        <w:numPr>
          <w:ilvl w:val="0"/>
          <w:numId w:val="22"/>
        </w:numPr>
        <w:spacing w:before="0" w:after="16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Incorporar sem verificação conjunta, ou verificar e não devolver à SCS.</w:t>
      </w:r>
    </w:p>
    <w:p>
      <w:pPr>
        <w:pStyle w:val="Heading2"/>
        <w:keepNext/>
        <w:spacing w:before="360" w:after="120" w:line="264" w:lineRule="auto"/>
        <w:jc w:val="left"/>
      </w:pPr>
      <w:bookmarkStart w:id="39" w:name="_h24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10 F5 · Reflexividade (trimestral, anual e bienal)</w:t>
      </w:r>
      <w:bookmarkEnd w:id="39"/>
    </w:p>
    <w:p>
      <w:pPr>
        <w:keepNext/>
        <w:spacing w:before="0" w:after="0" w:line="120" w:lineRule="exact"/>
        <w:jc w:val="both"/>
      </w:pPr>
    </w:p>
    <w:tbl>
      <w:tblPr>
        <w:tblW w:w="8844" w:type="dxa"/>
        <w:tblInd w:w="0" w:type="dxa"/>
        <w:tblBorders>
          <w:top w:val="nil"/>
          <w:left w:val="single" w:sz="36" w:space="0" w:color="007614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20" w:type="dxa"/>
          <w:bottom w:w="140" w:type="dxa"/>
          <w:right w:w="22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E9F2EB"/>
          </w:tcPr>
          <w:p>
            <w:pPr>
              <w:spacing w:before="0" w:after="4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07614"/>
                <w:spacing w:val="30"/>
                <w:sz w:val="15"/>
                <w:szCs w:val="15"/>
              </w:rPr>
              <w:t xml:space="preserve">PERGUNTA-GUIA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 w:eastAsia="Barlow"/>
                <w:i/>
                <w:iCs/>
                <w:color w:val="0F2440"/>
                <w:sz w:val="21"/>
                <w:szCs w:val="21"/>
              </w:rPr>
              <w:t xml:space="preserve">O que as duas vigilâncias viram juntas, o que só uma viu e o que nenhuma viu?</w:t>
            </w:r>
          </w:p>
        </w:tc>
      </w:tr>
    </w:tbl>
    <w:p>
      <w:pPr>
        <w:spacing w:before="0" w:after="0" w:line="160" w:lineRule="exact"/>
        <w:jc w:val="both"/>
      </w:pPr>
    </w:p>
    <w:p>
      <w:pPr>
        <w:keepNext/>
        <w:spacing w:before="200" w:after="100" w:line="264" w:lineRule="auto"/>
        <w:jc w:val="left"/>
      </w:pPr>
      <w:bookmarkStart w:id="40" w:name="_q_op11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11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Fase 5 – Reflexividade: quem, quando, com o quê e produto</w:t>
      </w:r>
      <w:bookmarkEnd w:id="40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415"/>
        <w:gridCol w:w="7429"/>
      </w:tblGrid>
      <w:tr>
        <w:trPr>
          <w:tblHeader/>
          <w:cantSplit/>
        </w:trPr>
        <w:tc>
          <w:tcPr>
            <w:tcW w:w="141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ELEMENTO</w:t>
            </w:r>
          </w:p>
        </w:tc>
        <w:tc>
          <w:tcPr>
            <w:tcW w:w="7429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DEFINIÇÃO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Quem</w:t>
            </w:r>
          </w:p>
        </w:tc>
        <w:tc>
          <w:tcPr>
            <w:tcW w:w="742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SCS e pesquisadores populares (autores do Relatório de Ciclo); supervisor de campo (coordenação); técnico de dados; Coordenação do CTIS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Quando</w:t>
            </w:r>
          </w:p>
        </w:tc>
        <w:tc>
          <w:tcPr>
            <w:tcW w:w="742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Trimestral (Relatório de Ciclo); anual (Plano Popular, currículo, relatório técnico); bienal (validação de conteúdo do IVT)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Com o quê</w:t>
            </w:r>
          </w:p>
        </w:tc>
        <w:tc>
          <w:tcPr>
            <w:tcW w:w="742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Painel acumulado do trimestre; atas; lista de divergências e invisibilidades; IRS</w:t>
            </w:r>
          </w:p>
        </w:tc>
      </w:tr>
      <w:tr>
        <w:trPr>
          <w:cantSplit/>
        </w:trPr>
        <w:tc>
          <w:tcPr>
            <w:tcW w:w="141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Produto</w:t>
            </w:r>
          </w:p>
        </w:tc>
        <w:tc>
          <w:tcPr>
            <w:tcW w:w="742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Relatório de Ciclo; categorias de alerta e agenda revistas; currículo atualizado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pStyle w:val="Heading3"/>
        <w:keepNext/>
        <w:spacing w:before="280" w:after="100" w:line="264" w:lineRule="auto"/>
        <w:jc w:val="left"/>
      </w:pPr>
      <w:bookmarkStart w:id="41" w:name="_h25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10.1 Passos trimestrais</w:t>
      </w:r>
      <w:bookmarkEnd w:id="41"/>
    </w:p>
    <w:p>
      <w:pPr>
        <w:pStyle w:val="ListParagraph"/>
        <w:numPr>
          <w:ilvl w:val="0"/>
          <w:numId w:val="23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Onde a articulação funcionou?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Convergências (V3), antecipações (V4), respostas no prazo (V6, V7) e prioridades incorporadas pelas equipes (V8).</w:t>
      </w:r>
    </w:p>
    <w:p>
      <w:pPr>
        <w:pStyle w:val="ListParagraph"/>
        <w:numPr>
          <w:ilvl w:val="0"/>
          <w:numId w:val="23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Onde falhou?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Alertas sem verificação, alertas críticos sem resposta, divergências que ninguém investigou.</w:t>
      </w:r>
    </w:p>
    <w:p>
      <w:pPr>
        <w:pStyle w:val="ListParagraph"/>
        <w:numPr>
          <w:ilvl w:val="0"/>
          <w:numId w:val="23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O que ninguém viu?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Eventos que chegaram ao serviço sem nenhum alerta prévio, ou que o território conhecia e não registrou.</w:t>
      </w:r>
    </w:p>
    <w:p>
      <w:pPr>
        <w:pStyle w:val="ListParagraph"/>
        <w:numPr>
          <w:ilvl w:val="0"/>
          <w:numId w:val="23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O que muda no próximo ciclo?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Categorias de alerta, agenda de vigilância, formação e fluxos com os serviços.</w:t>
      </w:r>
    </w:p>
    <w:p>
      <w:pPr>
        <w:pStyle w:val="ListParagraph"/>
        <w:numPr>
          <w:ilvl w:val="0"/>
          <w:numId w:val="23"/>
        </w:numPr>
        <w:spacing w:before="0" w:after="16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Escrever o Relatório de Ciclo.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Os pesquisadores populares redigem a síntese do que o território aprendeu sobre si; o relatório alimenta a ciência, a gestão e a formação.</w:t>
      </w:r>
    </w:p>
    <w:p>
      <w:pPr>
        <w:pStyle w:val="Heading3"/>
        <w:keepNext/>
        <w:spacing w:before="280" w:after="100" w:line="264" w:lineRule="auto"/>
        <w:jc w:val="left"/>
      </w:pPr>
      <w:bookmarkStart w:id="42" w:name="_h26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10.2 Revisões de prazo mais longo</w:t>
      </w:r>
      <w:bookmarkEnd w:id="42"/>
    </w:p>
    <w:p>
      <w:pPr>
        <w:pStyle w:val="ListParagraph"/>
        <w:numPr>
          <w:ilvl w:val="0"/>
          <w:numId w:val="24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Anual: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revisão do Plano Popular; atualização do currículo; relatório técnico à gestão somente depois da devolução à SCS.</w:t>
      </w:r>
    </w:p>
    <w:p>
      <w:pPr>
        <w:pStyle w:val="ListParagraph"/>
        <w:numPr>
          <w:ilvl w:val="0"/>
          <w:numId w:val="24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Bienal: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oficina de validação de conteúdo do IVT. A SCS avalia se os indicadores representam o que torna o dano mais provável no território; mudanças geram nova versão do índice, nunca ajuste silencioso.</w:t>
      </w:r>
    </w:p>
    <w:p>
      <w:pPr>
        <w:pStyle w:val="ListParagraph"/>
        <w:numPr>
          <w:ilvl w:val="0"/>
          <w:numId w:val="24"/>
        </w:numPr>
        <w:spacing w:before="0" w:after="16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IRS: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 sociometria da rede (coesão, diversidade, atividade) apoia a reflexão sobre a capacidade coletiva, fora do Painel e dos índices.</w:t>
      </w:r>
    </w:p>
    <w:p>
      <w:pPr>
        <w:keepNext/>
        <w:spacing w:before="0" w:after="0" w:line="120" w:lineRule="exact"/>
        <w:jc w:val="both"/>
      </w:pPr>
    </w:p>
    <w:tbl>
      <w:tblPr>
        <w:tblW w:w="8844" w:type="dxa"/>
        <w:tblInd w:w="0" w:type="dxa"/>
        <w:tblBorders>
          <w:top w:val="nil"/>
          <w:left w:val="single" w:sz="36" w:space="0" w:color="01366F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20" w:type="dxa"/>
          <w:bottom w:w="140" w:type="dxa"/>
          <w:right w:w="22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E8EEF5"/>
          </w:tcPr>
          <w:p>
            <w:pPr>
              <w:spacing w:before="0" w:after="4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pacing w:val="30"/>
                <w:sz w:val="15"/>
                <w:szCs w:val="15"/>
              </w:rPr>
              <w:t xml:space="preserve">SINAL DE ALERTA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21"/>
                <w:szCs w:val="21"/>
              </w:rPr>
              <w:t xml:space="preserve">Relatório de Ciclo escrito pela equipe técnica, e não pelos pesquisadores populares; trimestre sem nenhuma revisão de categorias ou de fluxos.</w:t>
            </w:r>
          </w:p>
        </w:tc>
      </w:tr>
    </w:tbl>
    <w:p>
      <w:pPr>
        <w:spacing w:before="0" w:after="0" w:line="160" w:lineRule="exact"/>
        <w:jc w:val="both"/>
      </w:pPr>
    </w:p>
    <w:p>
      <w:pPr>
        <w:pStyle w:val="Heading4"/>
        <w:keepNext/>
        <w:spacing w:before="200" w:after="80" w:line="264" w:lineRule="auto"/>
        <w:jc w:val="left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Erros a evitar</w:t>
      </w:r>
    </w:p>
    <w:p>
      <w:pPr>
        <w:pStyle w:val="ListParagraph"/>
        <w:numPr>
          <w:ilvl w:val="0"/>
          <w:numId w:val="25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Avaliar só o volume de atividade (quantos alertas, quantas reuniões) e não a articulação.</w:t>
      </w:r>
    </w:p>
    <w:p>
      <w:pPr>
        <w:pStyle w:val="ListParagraph"/>
        <w:numPr>
          <w:ilvl w:val="0"/>
          <w:numId w:val="25"/>
        </w:numPr>
        <w:spacing w:before="0" w:after="160" w:line="288" w:lineRule="auto"/>
        <w:jc w:val="both"/>
        <w:sectPr>
          <w:headerReference w:type="default" r:id="rId23"/>
          <w:headerReference w:type="even" r:id="rId24"/>
          <w:footerReference w:type="default" r:id="rId21"/>
          <w:footerReference w:type="even" r:id="rId22"/>
          <w:type w:val="nextPage"/>
          <w:pgSz w:w="11906" w:h="16838"/>
          <w:pgMar w:top="1474" w:right="1531" w:bottom="1814" w:left="1531" w:header="850" w:footer="330" w:gutter="0"/>
          <w:cols w:space="720"/>
          <w:docGrid w:linePitch="360"/>
        </w:sectPr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Ler queda do IVT após incorporações como melhora do território (é revisão de medida).</w:t>
      </w:r>
    </w:p>
    <w:p>
      <w:pPr>
        <w:spacing w:before="0" w:after="0" w:line="700" w:lineRule="exact"/>
        <w:jc w:val="both"/>
      </w:pPr>
    </w:p>
    <w:p>
      <w:pPr>
        <w:spacing w:before="0" w:after="420" w:line="280" w:lineRule="auto"/>
        <w:jc w:val="left"/>
      </w:pPr>
      <w:r>
        <w:rPr>
          <w:rFonts w:ascii="Barlow Condensed SemiBold" w:hAnsi="Barlow Condensed SemiBold" w:cs="Barlow Condensed SemiBold" w:eastAsia="Barlow Condensed SemiBold"/>
          <w:color w:val="FFFFFF"/>
          <w:sz w:val="17"/>
          <w:szCs w:val="17"/>
          <w:shd w:val="clear" w:color="auto" w:fill="007614"/>
        </w:rPr>
        <w:t xml:space="preserve">  PARTE 3  </w:t>
      </w:r>
    </w:p>
    <w:p>
      <w:pPr>
        <w:pStyle w:val="Heading1"/>
        <w:spacing w:before="0" w:after="0" w:line="860" w:lineRule="exact"/>
        <w:jc w:val="left"/>
        <w:sectPr>
          <w:headerReference w:type="default" r:id="rId18"/>
          <w:headerReference w:type="even" r:id="rId18"/>
          <w:footerReference w:type="default" r:id="rId16"/>
          <w:footerReference w:type="even" r:id="rId16"/>
          <w:type w:val="nextPage"/>
          <w:pgSz w:w="11906" w:h="16838"/>
          <w:pgMar w:top="1474" w:right="1531" w:bottom="1814" w:left="1531" w:header="850" w:footer="330" w:gutter="0"/>
          <w:cols w:space="720"/>
          <w:docGrid w:linePitch="360"/>
        </w:sectPr>
      </w:pPr>
      <w:bookmarkStart w:id="43" w:name="_h27"/>
      <w:r>
        <w:rPr>
          <w:rFonts w:ascii="Barlow Condensed" w:hAnsi="Barlow Condensed" w:cs="Barlow Condensed" w:eastAsia="Barlow Condensed"/>
          <w:b/>
          <w:bCs/>
          <w:color w:val="01366F"/>
          <w:sz w:val="80"/>
          <w:szCs w:val="80"/>
        </w:rPr>
        <w:t xml:space="preserve">Organização</w:t>
      </w:r>
      <w:r>
        <w:br/>
      </w:r>
      <w:r>
        <w:rPr>
          <w:rFonts w:ascii="Barlow Condensed" w:hAnsi="Barlow Condensed" w:cs="Barlow Condensed" w:eastAsia="Barlow Condensed"/>
          <w:b/>
          <w:bCs/>
          <w:color w:val="007614"/>
          <w:sz w:val="80"/>
          <w:szCs w:val="80"/>
        </w:rPr>
        <w:t xml:space="preserve">e acompanhamento</w:t>
      </w:r>
      <w:bookmarkEnd w:id="43"/>
    </w:p>
    <w:p>
      <w:pPr>
        <w:pStyle w:val="Heading2"/>
        <w:keepNext/>
        <w:spacing w:before="360" w:after="120" w:line="264" w:lineRule="auto"/>
        <w:jc w:val="left"/>
      </w:pPr>
      <w:bookmarkStart w:id="44" w:name="_h28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11 Papéis e responsabilidades</w:t>
      </w:r>
      <w:bookmarkEnd w:id="44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Sete atores operam o ciclo. Cada um é dono de pelo menos uma entrega (</w:t>
      </w:r>
      <w:r>
        <w:rPr>
          <w:rFonts w:ascii="Segoe UI Symbol" w:hAnsi="Segoe UI Symbol" w:cs="Segoe UI Symbol" w:eastAsia="Segoe UI Symbol"/>
          <w:color w:val="0F2440"/>
          <w:sz w:val="15"/>
          <w:szCs w:val="15"/>
        </w:rPr>
        <w:t xml:space="preserve">●</w:t>
      </w:r>
      <w:r>
        <w:rPr>
          <w:rFonts w:ascii="Segoe UI Symbol" w:hAnsi="Segoe UI Symbol" w:cs="Segoe UI Symbol" w:eastAsia="Segoe UI Symbol"/>
          <w:color w:val="0F2440"/>
          <w:sz w:val="15"/>
          <w:szCs w:val="15"/>
        </w:rPr>
        <w:t xml:space="preserve">●</w:t>
      </w:r>
      <w:r>
        <w:rPr>
          <w:rFonts w:ascii="Segoe UI Symbol" w:hAnsi="Segoe UI Symbol" w:cs="Segoe UI Symbol" w:eastAsia="Segoe UI Symbol"/>
          <w:color w:val="0F2440"/>
          <w:sz w:val="15"/>
          <w:szCs w:val="15"/>
        </w:rPr>
        <w:t xml:space="preserve">●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); a equipe de Vigilância em Saúde está no ciclo porque, sem ela, a vigilância popular não encontra a tradicional.</w:t>
      </w:r>
    </w:p>
    <w:p>
      <w:pPr>
        <w:keepNext/>
        <w:spacing w:before="200" w:after="100" w:line="264" w:lineRule="auto"/>
        <w:jc w:val="left"/>
      </w:pPr>
      <w:bookmarkStart w:id="45" w:name="_q_op12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12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Papéis e responsabilidades no Ciclo de Inteligência Territorial</w:t>
      </w:r>
      <w:bookmarkEnd w:id="45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945"/>
        <w:gridCol w:w="619"/>
        <w:gridCol w:w="619"/>
        <w:gridCol w:w="619"/>
        <w:gridCol w:w="619"/>
        <w:gridCol w:w="619"/>
        <w:gridCol w:w="3804"/>
      </w:tblGrid>
      <w:tr>
        <w:trPr>
          <w:tblHeader/>
          <w:cantSplit/>
        </w:trPr>
        <w:tc>
          <w:tcPr>
            <w:tcW w:w="194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ATOR</w:t>
            </w:r>
          </w:p>
        </w:tc>
        <w:tc>
          <w:tcPr>
            <w:tcW w:w="619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F1</w:t>
            </w:r>
          </w:p>
        </w:tc>
        <w:tc>
          <w:tcPr>
            <w:tcW w:w="619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F2</w:t>
            </w:r>
          </w:p>
        </w:tc>
        <w:tc>
          <w:tcPr>
            <w:tcW w:w="619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F3</w:t>
            </w:r>
          </w:p>
        </w:tc>
        <w:tc>
          <w:tcPr>
            <w:tcW w:w="619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F4</w:t>
            </w:r>
          </w:p>
        </w:tc>
        <w:tc>
          <w:tcPr>
            <w:tcW w:w="619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F5</w:t>
            </w:r>
          </w:p>
        </w:tc>
        <w:tc>
          <w:tcPr>
            <w:tcW w:w="3804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O QUE É SÓ DELE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Pesquisadores populares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3804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Registrar alertas e atualizar a cartografia; protagonizar a deliberação; participar da verificação; escrever o Relatório de Ciclo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Dupla de Facilitação da SCS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3804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Conduzir a reunião e a MTEI; assinar atas; comunicar os serviços; acompanhar prazos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Equipes de APS (ESF e ACS)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3804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Manter o cadastro; responder encaminhamentos; cadastrar domicílios não registrados; incorporar prioridades à programação (APPT)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Equipe de Vigilância em Saúde (epidemiológica, ambiental, ACE)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3804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Manter notificações e LIRAa; investigar alertas compatíveis com agravos; incluir pontos críticos no roteiro dos ACE; responder em 72 horas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Técnico de dados do CTIS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—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3804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Cruzar os dois fluxos no ambiente seguro; calcular Painel, IVT e INS; preparar o relatório de dados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Supervisor de campo do CTIS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3804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Revisão semanal de alertas; acompanhamento dos críticos; coordenação da reflexividade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Coordenação do CTIS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—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—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—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61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  <w:r>
              <w:rPr>
                <w:rFonts w:ascii="Segoe UI Symbol" w:hAnsi="Segoe UI Symbol" w:cs="Segoe UI Symbol" w:eastAsia="Segoe UI Symbol"/>
                <w:color w:val="0F2440"/>
                <w:sz w:val="12"/>
                <w:szCs w:val="12"/>
              </w:rPr>
              <w:t xml:space="preserve">●</w:t>
            </w:r>
          </w:p>
        </w:tc>
        <w:tc>
          <w:tcPr>
            <w:tcW w:w="3804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Escalonamento (Nível 2); publicações após devolução; interface com a gestão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Segoe UI Symbol" w:hAnsi="Segoe UI Symbol" w:cs="Segoe UI Symbol" w:eastAsia="Segoe UI Symbol"/>
          <w:color w:val="0F2440"/>
          <w:sz w:val="15"/>
          <w:szCs w:val="15"/>
        </w:rPr>
        <w:t xml:space="preserve">●</w:t>
      </w:r>
      <w:r>
        <w:rPr>
          <w:rFonts w:ascii="Segoe UI Symbol" w:hAnsi="Segoe UI Symbol" w:cs="Segoe UI Symbol" w:eastAsia="Segoe UI Symbol"/>
          <w:color w:val="0F2440"/>
          <w:sz w:val="15"/>
          <w:szCs w:val="15"/>
        </w:rPr>
        <w:t xml:space="preserve">●</w:t>
      </w:r>
      <w:r>
        <w:rPr>
          <w:rFonts w:ascii="Segoe UI Symbol" w:hAnsi="Segoe UI Symbol" w:cs="Segoe UI Symbol" w:eastAsia="Segoe UI Symbol"/>
          <w:color w:val="0F2440"/>
          <w:sz w:val="15"/>
          <w:szCs w:val="15"/>
        </w:rPr>
        <w:t xml:space="preserve">●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responsável primário · </w:t>
      </w:r>
      <w:r>
        <w:rPr>
          <w:rFonts w:ascii="Segoe UI Symbol" w:hAnsi="Segoe UI Symbol" w:cs="Segoe UI Symbol" w:eastAsia="Segoe UI Symbol"/>
          <w:color w:val="0F2440"/>
          <w:sz w:val="15"/>
          <w:szCs w:val="15"/>
        </w:rPr>
        <w:t xml:space="preserve">●</w:t>
      </w:r>
      <w:r>
        <w:rPr>
          <w:rFonts w:ascii="Segoe UI Symbol" w:hAnsi="Segoe UI Symbol" w:cs="Segoe UI Symbol" w:eastAsia="Segoe UI Symbol"/>
          <w:color w:val="0F2440"/>
          <w:sz w:val="15"/>
          <w:szCs w:val="15"/>
        </w:rPr>
        <w:t xml:space="preserve">●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compartilhado · </w:t>
      </w:r>
      <w:r>
        <w:rPr>
          <w:rFonts w:ascii="Segoe UI Symbol" w:hAnsi="Segoe UI Symbol" w:cs="Segoe UI Symbol" w:eastAsia="Segoe UI Symbol"/>
          <w:color w:val="0F2440"/>
          <w:sz w:val="15"/>
          <w:szCs w:val="15"/>
        </w:rPr>
        <w:t xml:space="preserve">●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apoio · — não atua</w:t>
      </w:r>
    </w:p>
    <w:p>
      <w:pPr>
        <w:pStyle w:val="Heading2"/>
        <w:keepNext/>
        <w:spacing w:before="360" w:after="120" w:line="264" w:lineRule="auto"/>
        <w:jc w:val="left"/>
      </w:pPr>
      <w:bookmarkStart w:id="46" w:name="_h29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12 Calendário operacional</w:t>
      </w:r>
      <w:bookmarkEnd w:id="46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O ciclo roda em sete ritmos encaixados: o contínuo alimenta o semanal, que alimenta o mensal, e assim por diante.</w:t>
      </w:r>
    </w:p>
    <w:p>
      <w:pPr>
        <w:keepNext/>
        <w:spacing w:before="200" w:after="100" w:line="264" w:lineRule="auto"/>
        <w:jc w:val="left"/>
      </w:pPr>
      <w:bookmarkStart w:id="47" w:name="_q_op13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13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Calendário operacional</w:t>
      </w:r>
      <w:bookmarkEnd w:id="47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805"/>
        <w:gridCol w:w="3170"/>
        <w:gridCol w:w="2062"/>
        <w:gridCol w:w="1807"/>
      </w:tblGrid>
      <w:tr>
        <w:trPr>
          <w:tblHeader/>
          <w:cantSplit/>
        </w:trPr>
        <w:tc>
          <w:tcPr>
            <w:tcW w:w="180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RITMO</w:t>
            </w:r>
          </w:p>
        </w:tc>
        <w:tc>
          <w:tcPr>
            <w:tcW w:w="3170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O QUE ACONTECE (FASE)</w:t>
            </w:r>
          </w:p>
        </w:tc>
        <w:tc>
          <w:tcPr>
            <w:tcW w:w="2062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PRODUTO</w:t>
            </w:r>
          </w:p>
        </w:tc>
        <w:tc>
          <w:tcPr>
            <w:tcW w:w="1807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RESPONSÁVEL PRINCIPAL</w:t>
            </w:r>
          </w:p>
        </w:tc>
      </w:tr>
      <w:tr>
        <w:trPr>
          <w:cantSplit/>
        </w:trPr>
        <w:tc>
          <w:tcPr>
            <w:tcW w:w="180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Contínuo</w:t>
            </w:r>
          </w:p>
        </w:tc>
        <w:tc>
          <w:tcPr>
            <w:tcW w:w="317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Registro de alertas e atualização da cartografia (F1); fluxo de 72 horas (F4)</w:t>
            </w:r>
          </w:p>
        </w:tc>
        <w:tc>
          <w:tcPr>
            <w:tcW w:w="2062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Alertas no mapa; respostas registradas</w:t>
            </w:r>
          </w:p>
        </w:tc>
        <w:tc>
          <w:tcPr>
            <w:tcW w:w="180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Pesquisadores populares; serviços</w:t>
            </w:r>
          </w:p>
        </w:tc>
      </w:tr>
      <w:tr>
        <w:trPr>
          <w:cantSplit/>
        </w:trPr>
        <w:tc>
          <w:tcPr>
            <w:tcW w:w="180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Semanal</w:t>
            </w:r>
          </w:p>
        </w:tc>
        <w:tc>
          <w:tcPr>
            <w:tcW w:w="317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Revisão dos alertas e destaque dos críticos (F1); carga dos registros oficiais (F1); conferência de prazos (F4)</w:t>
            </w:r>
          </w:p>
        </w:tc>
        <w:tc>
          <w:tcPr>
            <w:tcW w:w="2062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Lista de críticos; contagens por microárea</w:t>
            </w:r>
          </w:p>
        </w:tc>
        <w:tc>
          <w:tcPr>
            <w:tcW w:w="180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Supervisor; técnico de dados; Dupla</w:t>
            </w:r>
          </w:p>
        </w:tc>
      </w:tr>
      <w:tr>
        <w:trPr>
          <w:cantSplit/>
        </w:trPr>
        <w:tc>
          <w:tcPr>
            <w:tcW w:w="180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Mensal</w:t>
            </w:r>
          </w:p>
        </w:tc>
        <w:tc>
          <w:tcPr>
            <w:tcW w:w="317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Cruzamento dos fluxos e Painel (F2); reunião deliberativa (F3); encaminhamentos e incorporações (F4)</w:t>
            </w:r>
          </w:p>
        </w:tc>
        <w:tc>
          <w:tcPr>
            <w:tcW w:w="2062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Relatório de dados; ata; respostas</w:t>
            </w:r>
          </w:p>
        </w:tc>
        <w:tc>
          <w:tcPr>
            <w:tcW w:w="180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Técnico de dados; Dupla; serviços</w:t>
            </w:r>
          </w:p>
        </w:tc>
      </w:tr>
      <w:tr>
        <w:trPr>
          <w:cantSplit/>
        </w:trPr>
        <w:tc>
          <w:tcPr>
            <w:tcW w:w="180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Trimestral</w:t>
            </w:r>
          </w:p>
        </w:tc>
        <w:tc>
          <w:tcPr>
            <w:tcW w:w="317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Prioridades e programação das equipes (F3, F4); Relatório de Ciclo (F5); Dimensões 2 e 3 dos DPT (F2)</w:t>
            </w:r>
          </w:p>
        </w:tc>
        <w:tc>
          <w:tcPr>
            <w:tcW w:w="2062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Relatório de Ciclo; programação ajustada (APPT)</w:t>
            </w:r>
          </w:p>
        </w:tc>
        <w:tc>
          <w:tcPr>
            <w:tcW w:w="180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SCS; equipes de APS e vigilância</w:t>
            </w:r>
          </w:p>
        </w:tc>
      </w:tr>
      <w:tr>
        <w:trPr>
          <w:cantSplit/>
        </w:trPr>
        <w:tc>
          <w:tcPr>
            <w:tcW w:w="180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Semestral</w:t>
            </w:r>
          </w:p>
        </w:tc>
        <w:tc>
          <w:tcPr>
            <w:tcW w:w="317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Cálculo do IVT (F2); seminário de rede das SCS (F5); Dimensão 4 dos DPT (F2)</w:t>
            </w:r>
          </w:p>
        </w:tc>
        <w:tc>
          <w:tcPr>
            <w:tcW w:w="2062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IVT por setor com incerteza</w:t>
            </w:r>
          </w:p>
        </w:tc>
        <w:tc>
          <w:tcPr>
            <w:tcW w:w="180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Técnico de dados; Coordenação</w:t>
            </w:r>
          </w:p>
        </w:tc>
      </w:tr>
      <w:tr>
        <w:trPr>
          <w:cantSplit/>
        </w:trPr>
        <w:tc>
          <w:tcPr>
            <w:tcW w:w="180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Anual</w:t>
            </w:r>
          </w:p>
        </w:tc>
        <w:tc>
          <w:tcPr>
            <w:tcW w:w="317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Atualização do INS (F2); revisão do Plano Popular, currículo e relatório técnico após devolução (F5)</w:t>
            </w:r>
          </w:p>
        </w:tc>
        <w:tc>
          <w:tcPr>
            <w:tcW w:w="2062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INS; Plano Popular revisto</w:t>
            </w:r>
          </w:p>
        </w:tc>
        <w:tc>
          <w:tcPr>
            <w:tcW w:w="180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Coordenação; SCS</w:t>
            </w:r>
          </w:p>
        </w:tc>
      </w:tr>
      <w:tr>
        <w:trPr>
          <w:cantSplit/>
        </w:trPr>
        <w:tc>
          <w:tcPr>
            <w:tcW w:w="180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Bienal</w:t>
            </w:r>
          </w:p>
        </w:tc>
        <w:tc>
          <w:tcPr>
            <w:tcW w:w="317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Validação de conteúdo do IVT (F5)</w:t>
            </w:r>
          </w:p>
        </w:tc>
        <w:tc>
          <w:tcPr>
            <w:tcW w:w="2062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Nova versão do IVT, se houver</w:t>
            </w:r>
          </w:p>
        </w:tc>
        <w:tc>
          <w:tcPr>
            <w:tcW w:w="180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SCS e equipe técnica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pStyle w:val="Heading3"/>
        <w:keepNext/>
        <w:spacing w:before="280" w:after="100" w:line="264" w:lineRule="auto"/>
        <w:jc w:val="left"/>
      </w:pPr>
      <w:bookmarkStart w:id="48" w:name="_h30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12.1 Semana-tipo (sugestão; cada SCS fixa a sua)</w:t>
      </w:r>
      <w:bookmarkEnd w:id="48"/>
    </w:p>
    <w:p>
      <w:pPr>
        <w:keepNext/>
        <w:spacing w:before="200" w:after="100" w:line="264" w:lineRule="auto"/>
        <w:jc w:val="left"/>
      </w:pPr>
      <w:bookmarkStart w:id="49" w:name="_q_op14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14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Semana-tipo</w:t>
      </w:r>
      <w:bookmarkEnd w:id="49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945"/>
        <w:gridCol w:w="6899"/>
      </w:tblGrid>
      <w:tr>
        <w:trPr>
          <w:tblHeader/>
          <w:cantSplit/>
        </w:trPr>
        <w:tc>
          <w:tcPr>
            <w:tcW w:w="194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DIA</w:t>
            </w:r>
          </w:p>
        </w:tc>
        <w:tc>
          <w:tcPr>
            <w:tcW w:w="6899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ROTINA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Todos os dias</w:t>
            </w:r>
          </w:p>
        </w:tc>
        <w:tc>
          <w:tcPr>
            <w:tcW w:w="689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Registro de alertas; críticos disparam o fluxo de 72 horas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Segunda-feira</w:t>
            </w:r>
          </w:p>
        </w:tc>
        <w:tc>
          <w:tcPr>
            <w:tcW w:w="689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Supervisor revisa os alertas da semana anterior e destaca os críticos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Quarta-feira</w:t>
            </w:r>
          </w:p>
        </w:tc>
        <w:tc>
          <w:tcPr>
            <w:tcW w:w="6899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Dupla confere os prazos dos encaminhamentos abertos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Sexta-feira</w:t>
            </w:r>
          </w:p>
        </w:tc>
        <w:tc>
          <w:tcPr>
            <w:tcW w:w="6899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Técnico de dados carrega as contagens oficiais e atualiza o mapa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pStyle w:val="Heading2"/>
        <w:keepNext/>
        <w:spacing w:before="360" w:after="120" w:line="264" w:lineRule="auto"/>
        <w:jc w:val="left"/>
      </w:pPr>
      <w:bookmarkStart w:id="50" w:name="_h31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13 Painel de Vigilância Integrada</w:t>
      </w:r>
      <w:bookmarkEnd w:id="50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Nove indicadores, todos de fontes que já existem na rotina do ciclo, respondem a quatro perguntas: o que cada vigilância sinaliza, se elas se reforçam, se o invisível passou a constar e se os serviços respondem. Não são agregados e não medem vulnerabilidade.</w:t>
      </w:r>
    </w:p>
    <w:p>
      <w:pPr>
        <w:keepNext/>
        <w:spacing w:before="200" w:after="100" w:line="264" w:lineRule="auto"/>
        <w:jc w:val="left"/>
      </w:pPr>
      <w:bookmarkStart w:id="51" w:name="_q_op15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15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Painel de Vigilância Integrada: indicadores e metas</w:t>
      </w:r>
      <w:bookmarkEnd w:id="51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530"/>
        <w:gridCol w:w="1503"/>
        <w:gridCol w:w="2741"/>
        <w:gridCol w:w="1591"/>
        <w:gridCol w:w="1238"/>
        <w:gridCol w:w="1241"/>
      </w:tblGrid>
      <w:tr>
        <w:trPr>
          <w:tblHeader/>
          <w:cantSplit/>
        </w:trPr>
        <w:tc>
          <w:tcPr>
            <w:tcW w:w="530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CÓD.</w:t>
            </w:r>
          </w:p>
        </w:tc>
        <w:tc>
          <w:tcPr>
            <w:tcW w:w="1503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PERGUNTA</w:t>
            </w:r>
          </w:p>
        </w:tc>
        <w:tc>
          <w:tcPr>
            <w:tcW w:w="2741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INDICADOR</w:t>
            </w:r>
          </w:p>
        </w:tc>
        <w:tc>
          <w:tcPr>
            <w:tcW w:w="1591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FONTE E RITMO</w:t>
            </w:r>
          </w:p>
        </w:tc>
        <w:tc>
          <w:tcPr>
            <w:tcW w:w="1238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MÍNIMA</w:t>
            </w:r>
          </w:p>
        </w:tc>
        <w:tc>
          <w:tcPr>
            <w:tcW w:w="1241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RECOMENDADA</w:t>
            </w:r>
          </w:p>
        </w:tc>
      </w:tr>
      <w:tr>
        <w:trPr>
          <w:cantSplit/>
        </w:trPr>
        <w:tc>
          <w:tcPr>
            <w:tcW w:w="8844" w:type="dxa"/>
            <w:gridSpan w:val="6"/>
            <w:shd w:val="clear" w:color="auto"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pacing w:val="20"/>
                <w:sz w:val="15"/>
                <w:szCs w:val="15"/>
              </w:rPr>
              <w:t xml:space="preserve">SINAIS DAS DUAS VIGILÂNCIAS</w:t>
            </w:r>
          </w:p>
        </w:tc>
      </w:tr>
      <w:tr>
        <w:trPr>
          <w:cantSplit/>
        </w:trPr>
        <w:tc>
          <w:tcPr>
            <w:tcW w:w="53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V1</w:t>
            </w:r>
          </w:p>
        </w:tc>
        <w:tc>
          <w:tcPr>
            <w:tcW w:w="150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que o território sinaliza?</w:t>
            </w:r>
          </w:p>
        </w:tc>
        <w:tc>
          <w:tcPr>
            <w:tcW w:w="27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Alertas por 1.000 habitantes, por categoria e microárea</w:t>
            </w:r>
          </w:p>
        </w:tc>
        <w:tc>
          <w:tcPr>
            <w:tcW w:w="159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Ágora; mensal</w:t>
            </w:r>
          </w:p>
        </w:tc>
        <w:tc>
          <w:tcPr>
            <w:tcW w:w="123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sem meta</w:t>
            </w:r>
          </w:p>
        </w:tc>
        <w:tc>
          <w:tcPr>
            <w:tcW w:w="12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sem meta</w:t>
            </w:r>
          </w:p>
        </w:tc>
      </w:tr>
      <w:tr>
        <w:trPr>
          <w:cantSplit/>
        </w:trPr>
        <w:tc>
          <w:tcPr>
            <w:tcW w:w="53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V2</w:t>
            </w:r>
          </w:p>
        </w:tc>
        <w:tc>
          <w:tcPr>
            <w:tcW w:w="150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que os serviços registram?</w:t>
            </w:r>
          </w:p>
        </w:tc>
        <w:tc>
          <w:tcPr>
            <w:tcW w:w="274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Casos dos agravos prioritários por microárea; canal endêmico por área de UBS</w:t>
            </w:r>
          </w:p>
        </w:tc>
        <w:tc>
          <w:tcPr>
            <w:tcW w:w="159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SINAN; mensal</w:t>
            </w:r>
          </w:p>
        </w:tc>
        <w:tc>
          <w:tcPr>
            <w:tcW w:w="123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sem meta</w:t>
            </w:r>
          </w:p>
        </w:tc>
        <w:tc>
          <w:tcPr>
            <w:tcW w:w="124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sem meta</w:t>
            </w:r>
          </w:p>
        </w:tc>
      </w:tr>
      <w:tr>
        <w:trPr>
          <w:cantSplit/>
        </w:trPr>
        <w:tc>
          <w:tcPr>
            <w:tcW w:w="8844" w:type="dxa"/>
            <w:gridSpan w:val="6"/>
            <w:shd w:val="clear" w:color="auto"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pacing w:val="20"/>
                <w:sz w:val="15"/>
                <w:szCs w:val="15"/>
              </w:rPr>
              <w:t xml:space="preserve">ARTICULAÇÃO ENTRE AS VIGILÂNCIAS</w:t>
            </w:r>
          </w:p>
        </w:tc>
      </w:tr>
      <w:tr>
        <w:trPr>
          <w:cantSplit/>
        </w:trPr>
        <w:tc>
          <w:tcPr>
            <w:tcW w:w="53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V3</w:t>
            </w:r>
          </w:p>
        </w:tc>
        <w:tc>
          <w:tcPr>
            <w:tcW w:w="150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alerta se confirma?</w:t>
            </w:r>
          </w:p>
        </w:tc>
        <w:tc>
          <w:tcPr>
            <w:tcW w:w="27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Coorte de alertas de três meses antes: verificados e, entre eles, confirmados</w:t>
            </w:r>
          </w:p>
        </w:tc>
        <w:tc>
          <w:tcPr>
            <w:tcW w:w="159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Ágora × SINAN/e-SUS (ambiente seguro); mensal</w:t>
            </w:r>
          </w:p>
        </w:tc>
        <w:tc>
          <w:tcPr>
            <w:tcW w:w="123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80% verificados; 40% confirmados</w:t>
            </w:r>
          </w:p>
        </w:tc>
        <w:tc>
          <w:tcPr>
            <w:tcW w:w="12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95%; 60%</w:t>
            </w:r>
          </w:p>
        </w:tc>
      </w:tr>
      <w:tr>
        <w:trPr>
          <w:cantSplit/>
        </w:trPr>
        <w:tc>
          <w:tcPr>
            <w:tcW w:w="53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V4</w:t>
            </w:r>
          </w:p>
        </w:tc>
        <w:tc>
          <w:tcPr>
            <w:tcW w:w="150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território antecipa?</w:t>
            </w:r>
          </w:p>
        </w:tc>
        <w:tc>
          <w:tcPr>
            <w:tcW w:w="274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Casos de agravos agudos precedidos, em 30 dias e na mesma microárea, por alerta compatível; com o esperado ao acaso</w:t>
            </w:r>
          </w:p>
        </w:tc>
        <w:tc>
          <w:tcPr>
            <w:tcW w:w="159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SINAN × Ágora (ambiente seguro); mensal</w:t>
            </w:r>
          </w:p>
        </w:tc>
        <w:tc>
          <w:tcPr>
            <w:tcW w:w="123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30% e acima do acaso</w:t>
            </w:r>
          </w:p>
        </w:tc>
        <w:tc>
          <w:tcPr>
            <w:tcW w:w="124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50%</w:t>
            </w:r>
          </w:p>
        </w:tc>
      </w:tr>
      <w:tr>
        <w:trPr>
          <w:cantSplit/>
        </w:trPr>
        <w:tc>
          <w:tcPr>
            <w:tcW w:w="53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V5</w:t>
            </w:r>
          </w:p>
        </w:tc>
        <w:tc>
          <w:tcPr>
            <w:tcW w:w="150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invisível passou a constar?</w:t>
            </w:r>
          </w:p>
        </w:tc>
        <w:tc>
          <w:tcPr>
            <w:tcW w:w="27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Invisibilidades verificadas e incorporadas aos sistemas, por tipo</w:t>
            </w:r>
          </w:p>
        </w:tc>
        <w:tc>
          <w:tcPr>
            <w:tcW w:w="159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Atas e registros; trimestral</w:t>
            </w:r>
          </w:p>
        </w:tc>
        <w:tc>
          <w:tcPr>
            <w:tcW w:w="123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1 por trimestre</w:t>
            </w:r>
          </w:p>
        </w:tc>
        <w:tc>
          <w:tcPr>
            <w:tcW w:w="12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tendência crescente</w:t>
            </w:r>
          </w:p>
        </w:tc>
      </w:tr>
      <w:tr>
        <w:trPr>
          <w:cantSplit/>
        </w:trPr>
        <w:tc>
          <w:tcPr>
            <w:tcW w:w="8844" w:type="dxa"/>
            <w:gridSpan w:val="6"/>
            <w:shd w:val="clear" w:color="auto"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pacing w:val="20"/>
                <w:sz w:val="15"/>
                <w:szCs w:val="15"/>
              </w:rPr>
              <w:t xml:space="preserve">RESPOSTA E GOVERNANÇA</w:t>
            </w:r>
          </w:p>
        </w:tc>
      </w:tr>
      <w:tr>
        <w:trPr>
          <w:cantSplit/>
        </w:trPr>
        <w:tc>
          <w:tcPr>
            <w:tcW w:w="53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V6</w:t>
            </w:r>
          </w:p>
        </w:tc>
        <w:tc>
          <w:tcPr>
            <w:tcW w:w="150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 serviço responde ao alerta crítico?</w:t>
            </w:r>
          </w:p>
        </w:tc>
        <w:tc>
          <w:tcPr>
            <w:tcW w:w="27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Alertas críticos com resposta em até 72 horas; tempo mediano</w:t>
            </w:r>
          </w:p>
        </w:tc>
        <w:tc>
          <w:tcPr>
            <w:tcW w:w="159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Ágora; mensal</w:t>
            </w:r>
          </w:p>
        </w:tc>
        <w:tc>
          <w:tcPr>
            <w:tcW w:w="123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80%</w:t>
            </w:r>
          </w:p>
        </w:tc>
        <w:tc>
          <w:tcPr>
            <w:tcW w:w="12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95%</w:t>
            </w:r>
          </w:p>
        </w:tc>
      </w:tr>
      <w:tr>
        <w:trPr>
          <w:cantSplit/>
        </w:trPr>
        <w:tc>
          <w:tcPr>
            <w:tcW w:w="53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V7</w:t>
            </w:r>
          </w:p>
        </w:tc>
        <w:tc>
          <w:tcPr>
            <w:tcW w:w="150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 gestão responde à Sala?</w:t>
            </w:r>
          </w:p>
        </w:tc>
        <w:tc>
          <w:tcPr>
            <w:tcW w:w="274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Encaminhamentos com resposta dentro do prazo do registro</w:t>
            </w:r>
          </w:p>
        </w:tc>
        <w:tc>
          <w:tcPr>
            <w:tcW w:w="159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Atas e Ágora; mensal</w:t>
            </w:r>
          </w:p>
        </w:tc>
        <w:tc>
          <w:tcPr>
            <w:tcW w:w="123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60%</w:t>
            </w:r>
          </w:p>
        </w:tc>
        <w:tc>
          <w:tcPr>
            <w:tcW w:w="124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80%</w:t>
            </w:r>
          </w:p>
        </w:tc>
      </w:tr>
      <w:tr>
        <w:trPr>
          <w:cantSplit/>
        </w:trPr>
        <w:tc>
          <w:tcPr>
            <w:tcW w:w="53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V8</w:t>
            </w:r>
          </w:p>
        </w:tc>
        <w:tc>
          <w:tcPr>
            <w:tcW w:w="150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 Sala muda a rotina dos serviços?</w:t>
            </w:r>
          </w:p>
        </w:tc>
        <w:tc>
          <w:tcPr>
            <w:tcW w:w="27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Prioridades da SCS na programação trimestral das equipes (APPT)</w:t>
            </w:r>
          </w:p>
        </w:tc>
        <w:tc>
          <w:tcPr>
            <w:tcW w:w="159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Atas e programação; trimestral</w:t>
            </w:r>
          </w:p>
        </w:tc>
        <w:tc>
          <w:tcPr>
            <w:tcW w:w="123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50%</w:t>
            </w:r>
          </w:p>
        </w:tc>
        <w:tc>
          <w:tcPr>
            <w:tcW w:w="12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75%</w:t>
            </w:r>
          </w:p>
        </w:tc>
      </w:tr>
      <w:tr>
        <w:trPr>
          <w:cantSplit/>
        </w:trPr>
        <w:tc>
          <w:tcPr>
            <w:tcW w:w="8844" w:type="dxa"/>
            <w:gridSpan w:val="6"/>
            <w:shd w:val="clear" w:color="auto"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01366F"/>
                <w:spacing w:val="20"/>
                <w:sz w:val="15"/>
                <w:szCs w:val="15"/>
              </w:rPr>
              <w:t xml:space="preserve">PARTICIPAÇÃO</w:t>
            </w:r>
          </w:p>
        </w:tc>
      </w:tr>
      <w:tr>
        <w:trPr>
          <w:cantSplit/>
        </w:trPr>
        <w:tc>
          <w:tcPr>
            <w:tcW w:w="53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V9</w:t>
            </w:r>
          </w:p>
        </w:tc>
        <w:tc>
          <w:tcPr>
            <w:tcW w:w="150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Quem participa?</w:t>
            </w:r>
          </w:p>
        </w:tc>
        <w:tc>
          <w:tcPr>
            <w:tcW w:w="27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Pesquisadores ativos no mês (% dos formados); segmentos na reunião</w:t>
            </w:r>
          </w:p>
        </w:tc>
        <w:tc>
          <w:tcPr>
            <w:tcW w:w="159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Ágora e presença; mensal</w:t>
            </w:r>
          </w:p>
        </w:tc>
        <w:tc>
          <w:tcPr>
            <w:tcW w:w="123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50% e 2</w:t>
            </w:r>
          </w:p>
        </w:tc>
        <w:tc>
          <w:tcPr>
            <w:tcW w:w="124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70% e 4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Metas propostas, a pactuar na SCS e com a gestão no ciclo inaugural.</w:t>
      </w:r>
    </w:p>
    <w:p>
      <w:pPr>
        <w:pStyle w:val="Heading3"/>
        <w:keepNext/>
        <w:spacing w:before="280" w:after="100" w:line="264" w:lineRule="auto"/>
        <w:jc w:val="left"/>
      </w:pPr>
      <w:bookmarkStart w:id="52" w:name="_h32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13.1 Como ler</w:t>
      </w:r>
      <w:bookmarkEnd w:id="52"/>
    </w:p>
    <w:p>
      <w:pPr>
        <w:pStyle w:val="ListParagraph"/>
        <w:numPr>
          <w:ilvl w:val="0"/>
          <w:numId w:val="26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V1 e V2 não têm meta.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São lidos juntos, sobre o IVT, com a matriz de leitura de sinais (F2).</w:t>
      </w:r>
    </w:p>
    <w:p>
      <w:pPr>
        <w:pStyle w:val="ListParagraph"/>
        <w:numPr>
          <w:ilvl w:val="0"/>
          <w:numId w:val="26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Confirmação baixa entre alertas verificados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pede revisão de categorias e formação; </w:t>
      </w: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muitos alertas não verificados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indicam falha do serviço, e não da vigilância popular.</w:t>
      </w:r>
    </w:p>
    <w:p>
      <w:pPr>
        <w:pStyle w:val="ListParagraph"/>
        <w:numPr>
          <w:ilvl w:val="0"/>
          <w:numId w:val="26"/>
        </w:numPr>
        <w:spacing w:before="0" w:after="16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V6 a V8 medem a exigibilidade: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se o território é ouvido. Sem eles, a vigilância popular pode registrar muito e não mudar nada.</w:t>
      </w:r>
    </w:p>
    <w:p>
      <w:pPr>
        <w:pStyle w:val="Heading3"/>
        <w:keepNext/>
        <w:spacing w:before="280" w:after="100" w:line="264" w:lineRule="auto"/>
        <w:jc w:val="left"/>
      </w:pPr>
      <w:bookmarkStart w:id="53" w:name="_h33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13.2 Gatilhos</w:t>
      </w:r>
      <w:bookmarkEnd w:id="53"/>
    </w:p>
    <w:p>
      <w:pPr>
        <w:pStyle w:val="ListParagraph"/>
        <w:numPr>
          <w:ilvl w:val="0"/>
          <w:numId w:val="27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Indicador de V3 a V9 abaixo da mínima por </w:t>
      </w: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dois períodos seguidos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</w:t>
      </w:r>
      <w:r>
        <w:rPr>
          <w:rFonts w:ascii="Segoe UI Symbol" w:hAnsi="Segoe UI Symbol" w:cs="Segoe UI Symbol" w:eastAsia="Segoe UI Symbol"/>
          <w:color w:val="0F2440"/>
          <w:sz w:val="20"/>
          <w:szCs w:val="20"/>
        </w:rPr>
        <w:t xml:space="preserve">→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supervisor examina e leva à SCS com proposta de correção.</w:t>
      </w:r>
    </w:p>
    <w:p>
      <w:pPr>
        <w:pStyle w:val="ListParagraph"/>
        <w:numPr>
          <w:ilvl w:val="0"/>
          <w:numId w:val="27"/>
        </w:numPr>
        <w:spacing w:before="0" w:after="70" w:line="288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V6 abaixo da mínima por dois meses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</w:t>
      </w:r>
      <w:r>
        <w:rPr>
          <w:rFonts w:ascii="Segoe UI Symbol" w:hAnsi="Segoe UI Symbol" w:cs="Segoe UI Symbol" w:eastAsia="Segoe UI Symbol"/>
          <w:color w:val="0F2440"/>
          <w:sz w:val="20"/>
          <w:szCs w:val="20"/>
        </w:rPr>
        <w:t xml:space="preserve">→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aciona o Nível 2 de governança com o histórico de alertas sem resposta.</w:t>
      </w:r>
    </w:p>
    <w:p>
      <w:pPr>
        <w:pStyle w:val="ListParagraph"/>
        <w:numPr>
          <w:ilvl w:val="0"/>
          <w:numId w:val="27"/>
        </w:numPr>
        <w:spacing w:before="0" w:after="160" w:line="288" w:lineRule="auto"/>
        <w:jc w:val="both"/>
        <w:sectPr>
          <w:headerReference w:type="default" r:id="rId25"/>
          <w:headerReference w:type="even" r:id="rId26"/>
          <w:footerReference w:type="default" r:id="rId21"/>
          <w:footerReference w:type="even" r:id="rId22"/>
          <w:type w:val="nextPage"/>
          <w:pgSz w:w="11906" w:h="16838"/>
          <w:pgMar w:top="1474" w:right="1531" w:bottom="1814" w:left="1531" w:header="850" w:footer="330" w:gutter="0"/>
          <w:cols w:space="720"/>
          <w:docGrid w:linePitch="360"/>
        </w:sectPr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Dois ou mais indicadores do mesmo bloco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abaixo da mínima </w:t>
      </w:r>
      <w:r>
        <w:rPr>
          <w:rFonts w:ascii="Segoe UI Symbol" w:hAnsi="Segoe UI Symbol" w:cs="Segoe UI Symbol" w:eastAsia="Segoe UI Symbol"/>
          <w:color w:val="0F2440"/>
          <w:sz w:val="20"/>
          <w:szCs w:val="20"/>
        </w:rPr>
        <w:t xml:space="preserve">→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o bloco vira pauta prioritária do Relatório de Ciclo.</w:t>
      </w:r>
    </w:p>
    <w:p>
      <w:pPr>
        <w:spacing w:before="0" w:after="0" w:line="700" w:lineRule="exact"/>
        <w:jc w:val="both"/>
      </w:pPr>
    </w:p>
    <w:p>
      <w:pPr>
        <w:spacing w:before="0" w:after="420" w:line="280" w:lineRule="auto"/>
        <w:jc w:val="left"/>
      </w:pPr>
      <w:r>
        <w:rPr>
          <w:rFonts w:ascii="Barlow Condensed SemiBold" w:hAnsi="Barlow Condensed SemiBold" w:cs="Barlow Condensed SemiBold" w:eastAsia="Barlow Condensed SemiBold"/>
          <w:color w:val="FFFFFF"/>
          <w:sz w:val="17"/>
          <w:szCs w:val="17"/>
          <w:shd w:val="clear" w:color="auto" w:fill="007614"/>
        </w:rPr>
        <w:t xml:space="preserve">  PARTE 4  </w:t>
      </w:r>
    </w:p>
    <w:p>
      <w:pPr>
        <w:pStyle w:val="Heading1"/>
        <w:spacing w:before="0" w:after="0" w:line="860" w:lineRule="exact"/>
        <w:jc w:val="left"/>
        <w:sectPr>
          <w:headerReference w:type="default" r:id="rId18"/>
          <w:headerReference w:type="even" r:id="rId18"/>
          <w:footerReference w:type="default" r:id="rId16"/>
          <w:footerReference w:type="even" r:id="rId16"/>
          <w:type w:val="nextPage"/>
          <w:pgSz w:w="11906" w:h="16838"/>
          <w:pgMar w:top="1474" w:right="1531" w:bottom="1814" w:left="1531" w:header="850" w:footer="330" w:gutter="0"/>
          <w:cols w:space="720"/>
          <w:docGrid w:linePitch="360"/>
        </w:sectPr>
      </w:pPr>
      <w:bookmarkStart w:id="54" w:name="_h34"/>
      <w:r>
        <w:rPr>
          <w:rFonts w:ascii="Barlow Condensed" w:hAnsi="Barlow Condensed" w:cs="Barlow Condensed" w:eastAsia="Barlow Condensed"/>
          <w:b/>
          <w:bCs/>
          <w:color w:val="01366F"/>
          <w:sz w:val="80"/>
          <w:szCs w:val="80"/>
        </w:rPr>
        <w:t xml:space="preserve">Governança</w:t>
      </w:r>
      <w:r>
        <w:br/>
      </w:r>
      <w:r>
        <w:rPr>
          <w:rFonts w:ascii="Barlow Condensed" w:hAnsi="Barlow Condensed" w:cs="Barlow Condensed" w:eastAsia="Barlow Condensed"/>
          <w:b/>
          <w:bCs/>
          <w:color w:val="007614"/>
          <w:sz w:val="80"/>
          <w:szCs w:val="80"/>
        </w:rPr>
        <w:t xml:space="preserve">e sustentação</w:t>
      </w:r>
      <w:bookmarkEnd w:id="54"/>
    </w:p>
    <w:p>
      <w:pPr>
        <w:pStyle w:val="Heading2"/>
        <w:keepNext/>
        <w:spacing w:before="360" w:after="120" w:line="264" w:lineRule="auto"/>
        <w:jc w:val="left"/>
      </w:pPr>
      <w:bookmarkStart w:id="55" w:name="_h35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14 Governança em três níveis e escalonamento</w:t>
      </w:r>
      <w:bookmarkEnd w:id="55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A preponderância do território tem forma institucional: a SCS é a instância primária, e nenhuma decisão sobre dados ou ações territoriais é tomada sem ela. Os níveis de cima existem para sustentar e cobrar, não para decidir no lugar do território.</w:t>
      </w:r>
    </w:p>
    <w:p>
      <w:pPr>
        <w:keepNext/>
        <w:spacing w:before="0" w:after="0" w:line="200" w:lineRule="exact"/>
        <w:jc w:val="both"/>
      </w:pPr>
    </w:p>
    <w:tbl>
      <w:tblPr>
        <w:tblW w:w="8844" w:type="dxa"/>
        <w:jc w:val="center"/>
        <w:tblBorders>
          <w:top w:val="single" w:sz="6" w:space="0" w:color="D9DEE3"/>
          <w:left w:val="single" w:sz="6" w:space="0" w:color="D9DEE3"/>
          <w:bottom w:val="single" w:sz="6" w:space="0" w:color="D9DEE3"/>
          <w:right w:val="single" w:sz="6" w:space="0" w:color="D9DEE3"/>
          <w:insideH w:val="nil"/>
          <w:insideV w:val="nil"/>
        </w:tblBorders>
        <w:tblLayout w:type="fixed"/>
        <w:tblCellMar>
          <w:top w:w="180" w:type="dxa"/>
          <w:left w:w="180" w:type="dxa"/>
          <w:bottom w:w="160" w:type="dxa"/>
          <w:right w:w="180" w:type="dxa"/>
        </w:tblCellMar>
        <w:tblLook w:val="0000"/>
      </w:tblPr>
      <w:tblGrid>
        <w:gridCol w:w="8844"/>
      </w:tblGrid>
      <w:tr>
        <w:trPr>
          <w:cantSplit/>
        </w:trPr>
        <w:tc>
          <w:tcPr>
            <w:tcW w:w="8844" w:type="dxa"/>
            <w:shd w:val="clear" w:color="auto" w:fill="FFFFFF"/>
          </w:tcPr>
          <w:p>
            <w:pPr>
              <w:keepNext/>
              <w:spacing w:before="0" w:after="120" w:line="264" w:lineRule="auto"/>
              <w:jc w:val="left"/>
            </w:pPr>
            <w:bookmarkStart w:id="56" w:name="_f_gov"/>
            <w:r>
              <w:rPr>
                <w:rFonts w:ascii="Barlow Condensed SemiBold" w:hAnsi="Barlow Condensed SemiBold" w:cs="Barlow Condensed SemiBold" w:eastAsia="Barlow Condensed SemiBold"/>
                <w:color w:val="007614"/>
                <w:sz w:val="21"/>
                <w:szCs w:val="21"/>
              </w:rPr>
              <w:t xml:space="preserve">Figura 5 – </w:t>
            </w:r>
            <w:r>
              <w:rPr>
                <w:rFonts w:ascii="Barlow Condensed SemiBold" w:hAnsi="Barlow Condensed SemiBold" w:cs="Barlow Condensed SemiBold" w:eastAsia="Barlow Condensed SemiBold"/>
                <w:color w:val="01366F"/>
                <w:sz w:val="21"/>
                <w:szCs w:val="21"/>
              </w:rPr>
              <w:t xml:space="preserve">Governança em três níveis e subsidiariedade ascendente</w:t>
            </w:r>
            <w:bookmarkEnd w:id="56"/>
          </w:p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5387340" cy="2187260"/>
                  <wp:effectExtent l="0" t="0" r="0" b="0"/>
                  <wp:docPr id="15" name="img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g1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218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O desenho se lê de baixo para cima: o que se resolve na SCS não sobe; o que sobe volta à SCS com a decisão tomada.</w:t>
      </w:r>
    </w:p>
    <w:p>
      <w:pPr>
        <w:pStyle w:val="Heading3"/>
        <w:keepNext/>
        <w:spacing w:before="280" w:after="100" w:line="264" w:lineRule="auto"/>
        <w:jc w:val="left"/>
      </w:pPr>
      <w:bookmarkStart w:id="57" w:name="_h36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14.1 Quando escalonar</w:t>
      </w:r>
      <w:bookmarkEnd w:id="57"/>
    </w:p>
    <w:p>
      <w:pPr>
        <w:keepNext/>
        <w:spacing w:before="200" w:after="100" w:line="264" w:lineRule="auto"/>
        <w:jc w:val="left"/>
      </w:pPr>
      <w:bookmarkStart w:id="58" w:name="_q_op16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16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Situações de escalonamento</w:t>
      </w:r>
      <w:bookmarkEnd w:id="58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3537"/>
        <w:gridCol w:w="2830"/>
        <w:gridCol w:w="2477"/>
      </w:tblGrid>
      <w:tr>
        <w:trPr>
          <w:tblHeader/>
          <w:cantSplit/>
        </w:trPr>
        <w:tc>
          <w:tcPr>
            <w:tcW w:w="3537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SITUAÇÃO</w:t>
            </w:r>
          </w:p>
        </w:tc>
        <w:tc>
          <w:tcPr>
            <w:tcW w:w="2830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QUEM RESOLVE</w:t>
            </w:r>
          </w:p>
        </w:tc>
        <w:tc>
          <w:tcPr>
            <w:tcW w:w="2477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O QUE LEVA</w:t>
            </w:r>
          </w:p>
        </w:tc>
      </w:tr>
      <w:tr>
        <w:trPr>
          <w:cantSplit/>
        </w:trPr>
        <w:tc>
          <w:tcPr>
            <w:tcW w:w="353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Divergência sobre a prioridade de um alerta</w:t>
            </w:r>
          </w:p>
        </w:tc>
        <w:tc>
          <w:tcPr>
            <w:tcW w:w="283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Nível 1, na reunião</w:t>
            </w:r>
          </w:p>
        </w:tc>
        <w:tc>
          <w:tcPr>
            <w:tcW w:w="247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Matriz UIC e motivo registrado em ata</w:t>
            </w:r>
          </w:p>
        </w:tc>
      </w:tr>
      <w:tr>
        <w:trPr>
          <w:cantSplit/>
        </w:trPr>
        <w:tc>
          <w:tcPr>
            <w:tcW w:w="353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Alerta crítico sem resposta em 72 horas</w:t>
            </w:r>
          </w:p>
        </w:tc>
        <w:tc>
          <w:tcPr>
            <w:tcW w:w="283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Nível 2 notifica a coordenação regional de saúde</w:t>
            </w:r>
          </w:p>
        </w:tc>
        <w:tc>
          <w:tcPr>
            <w:tcW w:w="247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Registro do alerta e da comunicação formal</w:t>
            </w:r>
          </w:p>
        </w:tc>
      </w:tr>
      <w:tr>
        <w:trPr>
          <w:cantSplit/>
        </w:trPr>
        <w:tc>
          <w:tcPr>
            <w:tcW w:w="353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V6 abaixo da meta mínima por dois meses consecutivos</w:t>
            </w:r>
          </w:p>
        </w:tc>
        <w:tc>
          <w:tcPr>
            <w:tcW w:w="283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Nível 2</w:t>
            </w:r>
          </w:p>
        </w:tc>
        <w:tc>
          <w:tcPr>
            <w:tcW w:w="247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Histórico de alertas sem resposta</w:t>
            </w:r>
          </w:p>
        </w:tc>
      </w:tr>
      <w:tr>
        <w:trPr>
          <w:cantSplit/>
        </w:trPr>
        <w:tc>
          <w:tcPr>
            <w:tcW w:w="353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Indicador de V3 a V9 abaixo da meta mínima por dois períodos consecutivos</w:t>
            </w:r>
          </w:p>
        </w:tc>
        <w:tc>
          <w:tcPr>
            <w:tcW w:w="283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Supervisor de campo leva à SCS</w:t>
            </w:r>
          </w:p>
        </w:tc>
        <w:tc>
          <w:tcPr>
            <w:tcW w:w="247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Proposta de correção</w:t>
            </w:r>
          </w:p>
        </w:tc>
      </w:tr>
      <w:tr>
        <w:trPr>
          <w:cantSplit/>
        </w:trPr>
        <w:tc>
          <w:tcPr>
            <w:tcW w:w="353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Dois ou mais indicadores do mesmo bloco abaixo da meta mínima</w:t>
            </w:r>
          </w:p>
        </w:tc>
        <w:tc>
          <w:tcPr>
            <w:tcW w:w="283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SCS, no Relatório de Ciclo</w:t>
            </w:r>
          </w:p>
        </w:tc>
        <w:tc>
          <w:tcPr>
            <w:tcW w:w="247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Pauta prioritária do trimestre</w:t>
            </w:r>
          </w:p>
        </w:tc>
      </w:tr>
      <w:tr>
        <w:trPr>
          <w:cantSplit/>
        </w:trPr>
        <w:tc>
          <w:tcPr>
            <w:tcW w:w="353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Discordância sobre o método de cálculo de um indicador</w:t>
            </w:r>
          </w:p>
        </w:tc>
        <w:tc>
          <w:tcPr>
            <w:tcW w:w="283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Nível 2; para o IVT, na validação de conteúdo bienal com a SCS</w:t>
            </w:r>
          </w:p>
        </w:tc>
        <w:tc>
          <w:tcPr>
            <w:tcW w:w="247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Ficha técnica e metaindicadores</w:t>
            </w:r>
          </w:p>
        </w:tc>
      </w:tr>
      <w:tr>
        <w:trPr>
          <w:cantSplit/>
        </w:trPr>
        <w:tc>
          <w:tcPr>
            <w:tcW w:w="353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Encaminhamento que exige decisão institucional</w:t>
            </w:r>
          </w:p>
        </w:tc>
        <w:tc>
          <w:tcPr>
            <w:tcW w:w="283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Níveis 2 e 3, por advocacy (90 a 180 dias)</w:t>
            </w:r>
          </w:p>
        </w:tc>
        <w:tc>
          <w:tcPr>
            <w:tcW w:w="247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INS, IVT e histórico de respostas</w:t>
            </w:r>
          </w:p>
        </w:tc>
      </w:tr>
      <w:tr>
        <w:trPr>
          <w:cantSplit/>
        </w:trPr>
        <w:tc>
          <w:tcPr>
            <w:tcW w:w="353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Disputa sobre o uso institucional dos dados do território</w:t>
            </w:r>
          </w:p>
        </w:tc>
        <w:tc>
          <w:tcPr>
            <w:tcW w:w="283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Nível 3</w:t>
            </w:r>
          </w:p>
        </w:tc>
        <w:tc>
          <w:tcPr>
            <w:tcW w:w="247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Autorização da SCS e termos de uso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 SemiBold" w:hAnsi="Barlow SemiBold" w:cs="Barlow SemiBold" w:eastAsia="Barlow SemiBold"/>
          <w:color w:val="01366F"/>
          <w:sz w:val="20"/>
          <w:szCs w:val="20"/>
        </w:rPr>
        <w:t xml:space="preserve">Regra que não se escalona:</w:t>
      </w:r>
      <w:r>
        <w:rPr>
          <w:rFonts w:ascii="Barlow" w:hAnsi="Barlow" w:cs="Barlow" w:eastAsia="Barlow"/>
          <w:color w:val="0F2440"/>
          <w:sz w:val="20"/>
          <w:szCs w:val="20"/>
        </w:rPr>
        <w:t xml:space="preserve"> devolver antes de publicar. Nenhum resultado chega à gestão, à academia ou a financiadores antes de ter sido apresentado e discutido na SCS.</w:t>
      </w:r>
    </w:p>
    <w:p>
      <w:pPr>
        <w:pStyle w:val="Heading2"/>
        <w:keepNext/>
        <w:spacing w:before="360" w:after="120" w:line="264" w:lineRule="auto"/>
        <w:jc w:val="left"/>
      </w:pPr>
      <w:bookmarkStart w:id="59" w:name="_h37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15 Ameaças, sinais de alerta e contingência</w:t>
      </w:r>
      <w:bookmarkEnd w:id="59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Quatro ameaças recorrentes podem esvaziar a articulação. Cada uma tem um sinal que aparece antes do colapso e uma contramedida definida.</w:t>
      </w:r>
    </w:p>
    <w:p>
      <w:pPr>
        <w:keepNext/>
        <w:spacing w:before="200" w:after="100" w:line="264" w:lineRule="auto"/>
        <w:jc w:val="left"/>
      </w:pPr>
      <w:bookmarkStart w:id="60" w:name="_q_op17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17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Ameaças, sinais de alerta e contramedidas</w:t>
      </w:r>
      <w:bookmarkEnd w:id="60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703"/>
        <w:gridCol w:w="2458"/>
        <w:gridCol w:w="2977"/>
        <w:gridCol w:w="1706"/>
      </w:tblGrid>
      <w:tr>
        <w:trPr>
          <w:tblHeader/>
          <w:cantSplit/>
        </w:trPr>
        <w:tc>
          <w:tcPr>
            <w:tcW w:w="1703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AMEAÇA</w:t>
            </w:r>
          </w:p>
        </w:tc>
        <w:tc>
          <w:tcPr>
            <w:tcW w:w="2458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SINAL DE ALERTA</w:t>
            </w:r>
          </w:p>
        </w:tc>
        <w:tc>
          <w:tcPr>
            <w:tcW w:w="2977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CONTRAMEDIDA</w:t>
            </w:r>
          </w:p>
        </w:tc>
        <w:tc>
          <w:tcPr>
            <w:tcW w:w="1706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QUEM ACIONA</w:t>
            </w:r>
          </w:p>
        </w:tc>
      </w:tr>
      <w:tr>
        <w:trPr>
          <w:cantSplit/>
        </w:trPr>
        <w:tc>
          <w:tcPr>
            <w:tcW w:w="170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Fadiga participativa</w:t>
            </w:r>
          </w:p>
        </w:tc>
        <w:tc>
          <w:tcPr>
            <w:tcW w:w="245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Queda de V9; mesmas pessoas em todas as tarefas</w:t>
            </w:r>
          </w:p>
        </w:tc>
        <w:tc>
          <w:tcPr>
            <w:tcW w:w="297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Ajuda de custo; distribuir a carga; autonomia progressiva</w:t>
            </w:r>
          </w:p>
        </w:tc>
        <w:tc>
          <w:tcPr>
            <w:tcW w:w="170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Supervisor de campo e Coordenação</w:t>
            </w:r>
          </w:p>
        </w:tc>
      </w:tr>
      <w:tr>
        <w:trPr>
          <w:cantSplit/>
        </w:trPr>
        <w:tc>
          <w:tcPr>
            <w:tcW w:w="170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Captura tecnocrática</w:t>
            </w:r>
          </w:p>
        </w:tc>
        <w:tc>
          <w:tcPr>
            <w:tcW w:w="245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Técnicos falam mais que pesquisadores populares; poucas contestações em ata</w:t>
            </w:r>
          </w:p>
        </w:tc>
        <w:tc>
          <w:tcPr>
            <w:tcW w:w="297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Pesquisadores falam primeiro em cada bloco; nenhum dado vira ação sem deliberação</w:t>
            </w:r>
          </w:p>
        </w:tc>
        <w:tc>
          <w:tcPr>
            <w:tcW w:w="170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Dupla de Facilitação</w:t>
            </w:r>
          </w:p>
        </w:tc>
      </w:tr>
      <w:tr>
        <w:trPr>
          <w:cantSplit/>
        </w:trPr>
        <w:tc>
          <w:tcPr>
            <w:tcW w:w="1703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Desconexão entre IT e ação</w:t>
            </w:r>
          </w:p>
        </w:tc>
        <w:tc>
          <w:tcPr>
            <w:tcW w:w="245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Queda de V6, V7 ou V8</w:t>
            </w:r>
          </w:p>
        </w:tc>
        <w:tc>
          <w:tcPr>
            <w:tcW w:w="2977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Escalonamento ao Nível 2; devolver à SCS o destino de cada encaminhamento; advocacy com histórico de respostas</w:t>
            </w:r>
          </w:p>
        </w:tc>
        <w:tc>
          <w:tcPr>
            <w:tcW w:w="170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Dupla e Nível 2</w:t>
            </w:r>
          </w:p>
        </w:tc>
      </w:tr>
      <w:tr>
        <w:trPr>
          <w:cantSplit/>
        </w:trPr>
        <w:tc>
          <w:tcPr>
            <w:tcW w:w="1703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Dependência tecnológica</w:t>
            </w:r>
          </w:p>
        </w:tc>
        <w:tc>
          <w:tcPr>
            <w:tcW w:w="245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Plataforma Ágora indisponível</w:t>
            </w:r>
          </w:p>
        </w:tc>
        <w:tc>
          <w:tcPr>
            <w:tcW w:w="2977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Modo contingência (abaixo)</w:t>
            </w:r>
          </w:p>
        </w:tc>
        <w:tc>
          <w:tcPr>
            <w:tcW w:w="170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Técnico de dados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pStyle w:val="Heading3"/>
        <w:keepNext/>
        <w:spacing w:before="280" w:after="100" w:line="264" w:lineRule="auto"/>
        <w:jc w:val="left"/>
      </w:pPr>
      <w:bookmarkStart w:id="61" w:name="_h38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15.1 Modo contingência (Ágora indisponível)</w:t>
      </w:r>
      <w:bookmarkEnd w:id="61"/>
    </w:p>
    <w:p>
      <w:pPr>
        <w:pStyle w:val="ListParagraph"/>
        <w:numPr>
          <w:ilvl w:val="0"/>
          <w:numId w:val="28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Avisar a SCS e os pesquisadores populares que o modo contingência está ativo</w:t>
      </w:r>
    </w:p>
    <w:p>
      <w:pPr>
        <w:pStyle w:val="ListParagraph"/>
        <w:numPr>
          <w:ilvl w:val="0"/>
          <w:numId w:val="28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Usar formulários físicos equivalentes (local, data e hora, categoria, urgência)</w:t>
      </w:r>
    </w:p>
    <w:p>
      <w:pPr>
        <w:pStyle w:val="ListParagraph"/>
        <w:numPr>
          <w:ilvl w:val="0"/>
          <w:numId w:val="28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Alertas críticos: a Dupla comunica a UBS e a vigilância diretamente, mantendo as 72 horas</w:t>
      </w:r>
    </w:p>
    <w:p>
      <w:pPr>
        <w:pStyle w:val="ListParagraph"/>
        <w:numPr>
          <w:ilvl w:val="0"/>
          <w:numId w:val="28"/>
        </w:numPr>
        <w:spacing w:before="0" w:after="7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Reunião com mapa e Painel impressos do último mês disponível</w:t>
      </w:r>
    </w:p>
    <w:p>
      <w:pPr>
        <w:pStyle w:val="ListParagraph"/>
        <w:numPr>
          <w:ilvl w:val="0"/>
          <w:numId w:val="28"/>
        </w:numPr>
        <w:spacing w:before="0" w:after="160" w:line="288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Ao voltar o sistema: digitar os formulários e marcar o período como “contingência”</w:t>
      </w:r>
    </w:p>
    <w:p>
      <w:pPr>
        <w:pStyle w:val="Heading2"/>
        <w:keepNext/>
        <w:spacing w:before="360" w:after="120" w:line="264" w:lineRule="auto"/>
        <w:jc w:val="left"/>
      </w:pPr>
      <w:bookmarkStart w:id="62" w:name="_h39"/>
      <w:r>
        <w:rPr>
          <w:rFonts w:ascii="Barlow Condensed SemiBold" w:hAnsi="Barlow Condensed SemiBold" w:cs="Barlow Condensed SemiBold" w:eastAsia="Barlow Condensed SemiBold"/>
          <w:color w:val="007614"/>
          <w:sz w:val="32"/>
          <w:szCs w:val="32"/>
        </w:rPr>
        <w:t xml:space="preserve">16 Aplicação interativa e parâmetros a pactuar</w:t>
      </w:r>
      <w:bookmarkEnd w:id="62"/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O guia tem uma versão interativa, a aplicação do Protocolo de Atuação da IT, distribuída com este documento (pacote protocolo-atuacao-it, arquivo index.html). Ela roda no navegador, inclusive no celular e sem instalação, e guarda os registros apenas no aparelho de quem a usa. Cada módulo transforma uma seção deste guia em ferramenta de trabalho:</w:t>
      </w:r>
    </w:p>
    <w:p>
      <w:pPr>
        <w:keepNext/>
        <w:spacing w:before="200" w:after="100" w:line="264" w:lineRule="auto"/>
        <w:jc w:val="left"/>
      </w:pPr>
      <w:bookmarkStart w:id="63" w:name="_q_op18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18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Módulos da aplicação interativa</w:t>
      </w:r>
      <w:bookmarkEnd w:id="63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1945"/>
        <w:gridCol w:w="4598"/>
        <w:gridCol w:w="2301"/>
      </w:tblGrid>
      <w:tr>
        <w:trPr>
          <w:tblHeader/>
          <w:cantSplit/>
        </w:trPr>
        <w:tc>
          <w:tcPr>
            <w:tcW w:w="1945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MÓDULO</w:t>
            </w:r>
          </w:p>
        </w:tc>
        <w:tc>
          <w:tcPr>
            <w:tcW w:w="4598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PARA QUE SERVE</w:t>
            </w:r>
          </w:p>
        </w:tc>
        <w:tc>
          <w:tcPr>
            <w:tcW w:w="2301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SEÇÃO DO GUIA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Método</w:t>
            </w:r>
          </w:p>
        </w:tc>
        <w:tc>
          <w:tcPr>
            <w:tcW w:w="459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Compromissos, regras de ouro, os três instrumentos e um teste de escolha do instrumento certo</w:t>
            </w:r>
          </w:p>
        </w:tc>
        <w:tc>
          <w:tcPr>
            <w:tcW w:w="230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Como usar; Instrumentos de leitura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Ciclo</w:t>
            </w:r>
          </w:p>
        </w:tc>
        <w:tc>
          <w:tcPr>
            <w:tcW w:w="459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Cada fase com pergunta-guia, passos, sinal de alerta, erros a evitar e checklist do ciclo</w:t>
            </w:r>
          </w:p>
        </w:tc>
        <w:tc>
          <w:tcPr>
            <w:tcW w:w="230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F1 a F5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Leitor de sinais</w:t>
            </w:r>
          </w:p>
        </w:tc>
        <w:tc>
          <w:tcPr>
            <w:tcW w:w="459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Aplica a matriz de leitura de sinais, o quintil e o perfil exposição × sensibilidade, e gera a pergunta para a SCS</w:t>
            </w:r>
          </w:p>
        </w:tc>
        <w:tc>
          <w:tcPr>
            <w:tcW w:w="230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F2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Alerta 72 h</w:t>
            </w:r>
          </w:p>
        </w:tc>
        <w:tc>
          <w:tcPr>
            <w:tcW w:w="459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Relógio de cada alerta crítico, com o próximo passo, o escalonamento e o cálculo de V6</w:t>
            </w:r>
          </w:p>
        </w:tc>
        <w:tc>
          <w:tcPr>
            <w:tcW w:w="230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F4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Triagem</w:t>
            </w:r>
          </w:p>
        </w:tc>
        <w:tc>
          <w:tcPr>
            <w:tcW w:w="459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As quatro perguntas que definem o registro de ação, o prazo e o indicador</w:t>
            </w:r>
          </w:p>
        </w:tc>
        <w:tc>
          <w:tcPr>
            <w:tcW w:w="230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F4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Visibilização</w:t>
            </w:r>
          </w:p>
        </w:tc>
        <w:tc>
          <w:tcPr>
            <w:tcW w:w="459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Acompanha cada invisibilidade da identificação à devolução, com o cálculo de V5</w:t>
            </w:r>
          </w:p>
        </w:tc>
        <w:tc>
          <w:tcPr>
            <w:tcW w:w="230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F4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Reunião SCS</w:t>
            </w:r>
          </w:p>
        </w:tc>
        <w:tc>
          <w:tcPr>
            <w:tcW w:w="459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Relógio dos sete blocos, presença por segmento, retorno, contestações, Matriz UIC, encaminhamentos e ata</w:t>
            </w:r>
          </w:p>
        </w:tc>
        <w:tc>
          <w:tcPr>
            <w:tcW w:w="230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F3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Painel PVI</w:t>
            </w:r>
          </w:p>
        </w:tc>
        <w:tc>
          <w:tcPr>
            <w:tcW w:w="459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Aplica metas, leitura e gatilhos aos nove indicadores</w:t>
            </w:r>
          </w:p>
        </w:tc>
        <w:tc>
          <w:tcPr>
            <w:tcW w:w="230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Painel de Vigilância Integrada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Agenda</w:t>
            </w:r>
          </w:p>
        </w:tc>
        <w:tc>
          <w:tcPr>
            <w:tcW w:w="459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Distribui os ritmos a partir do início do ciclo e do dia fixo da reunião</w:t>
            </w:r>
          </w:p>
        </w:tc>
        <w:tc>
          <w:tcPr>
            <w:tcW w:w="2301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Calendário operacional</w:t>
            </w:r>
          </w:p>
        </w:tc>
      </w:tr>
      <w:tr>
        <w:trPr>
          <w:cantSplit/>
        </w:trPr>
        <w:tc>
          <w:tcPr>
            <w:tcW w:w="1945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Papéis, Governança, Implantação, Riscos</w:t>
            </w:r>
          </w:p>
        </w:tc>
        <w:tc>
          <w:tcPr>
            <w:tcW w:w="459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Consulta por ator, simulador de escalonamento, checklist de prontidão e modo contingência</w:t>
            </w:r>
          </w:p>
        </w:tc>
        <w:tc>
          <w:tcPr>
            <w:tcW w:w="2301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Seções correspondentes</w:t>
            </w:r>
          </w:p>
        </w:tc>
      </w:tr>
    </w:tbl>
    <w:p>
      <w:pPr>
        <w:spacing w:before="0" w:after="120" w:line="200" w:lineRule="exact"/>
        <w:jc w:val="both"/>
      </w:pPr>
    </w:p>
    <w:p>
      <w:pPr>
        <w:spacing w:before="0" w:after="140" w:line="300" w:lineRule="auto"/>
        <w:jc w:val="both"/>
      </w:pPr>
      <w:r>
        <w:rPr>
          <w:rFonts w:ascii="Barlow" w:hAnsi="Barlow" w:cs="Barlow" w:eastAsia="Barlow"/>
          <w:color w:val="0F2440"/>
          <w:sz w:val="20"/>
          <w:szCs w:val="20"/>
        </w:rPr>
        <w:t xml:space="preserve">A aplicação é instrumento de apoio e de formação. Ela não substitui a Plataforma Ágora, e nela não se registram dados nominais de saúde.</w:t>
      </w:r>
    </w:p>
    <w:p>
      <w:pPr>
        <w:pStyle w:val="Heading3"/>
        <w:keepNext/>
        <w:spacing w:before="280" w:after="100" w:line="264" w:lineRule="auto"/>
        <w:jc w:val="left"/>
      </w:pPr>
      <w:bookmarkStart w:id="64" w:name="_h40"/>
      <w:r>
        <w:rPr>
          <w:rFonts w:ascii="Barlow Condensed SemiBold" w:hAnsi="Barlow Condensed SemiBold" w:cs="Barlow Condensed SemiBold" w:eastAsia="Barlow Condensed SemiBold"/>
          <w:color w:val="01366F"/>
          <w:sz w:val="25"/>
          <w:szCs w:val="25"/>
        </w:rPr>
        <w:t xml:space="preserve">16.1 Parâmetros a pactuar no ciclo inaugural</w:t>
      </w:r>
      <w:bookmarkEnd w:id="64"/>
    </w:p>
    <w:p>
      <w:pPr>
        <w:keepNext/>
        <w:spacing w:before="200" w:after="100" w:line="264" w:lineRule="auto"/>
        <w:jc w:val="left"/>
      </w:pPr>
      <w:bookmarkStart w:id="65" w:name="_q_op19"/>
      <w:r>
        <w:rPr>
          <w:rFonts w:ascii="Barlow Condensed SemiBold" w:hAnsi="Barlow Condensed SemiBold" w:cs="Barlow Condensed SemiBold" w:eastAsia="Barlow Condensed SemiBold"/>
          <w:color w:val="007614"/>
          <w:sz w:val="21"/>
          <w:szCs w:val="21"/>
        </w:rPr>
        <w:t xml:space="preserve">Quadro 19 – </w:t>
      </w:r>
      <w:r>
        <w:rPr>
          <w:rFonts w:ascii="Barlow Condensed SemiBold" w:hAnsi="Barlow Condensed SemiBold" w:cs="Barlow Condensed SemiBold" w:eastAsia="Barlow Condensed SemiBold"/>
          <w:color w:val="01366F"/>
          <w:sz w:val="21"/>
          <w:szCs w:val="21"/>
        </w:rPr>
        <w:t xml:space="preserve">Parâmetros a pactuar no ciclo inaugural</w:t>
      </w:r>
      <w:bookmarkEnd w:id="65"/>
    </w:p>
    <w:tbl>
      <w:tblPr>
        <w:tblW w:w="8844" w:type="dxa"/>
        <w:jc w:val="center"/>
        <w:tblBorders>
          <w:top w:val="nil"/>
          <w:left w:val="nil"/>
          <w:bottom w:val="single" w:sz="6" w:space="0" w:color="01366F"/>
          <w:right w:val="nil"/>
          <w:insideH w:val="single" w:sz="4" w:space="0" w:color="D9DEE3"/>
          <w:insideV w:val="nil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4A0" w:firstRow="1" w:lastRow="0" w:firstColumn="1" w:lastColumn="0" w:noHBand="0" w:noVBand="1"/>
      </w:tblPr>
      <w:tblGrid>
        <w:gridCol w:w="3006"/>
        <w:gridCol w:w="3360"/>
        <w:gridCol w:w="2478"/>
      </w:tblGrid>
      <w:tr>
        <w:trPr>
          <w:tblHeader/>
          <w:cantSplit/>
        </w:trPr>
        <w:tc>
          <w:tcPr>
            <w:tcW w:w="3006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PARÂMETRO</w:t>
            </w:r>
          </w:p>
        </w:tc>
        <w:tc>
          <w:tcPr>
            <w:tcW w:w="3360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PROPOSTA DO PROTOCOLO</w:t>
            </w:r>
          </w:p>
        </w:tc>
        <w:tc>
          <w:tcPr>
            <w:tcW w:w="2478" w:type="dxa"/>
            <w:shd w:val="clear" w:color="auto" w:fill="01366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 SemiBold" w:hAnsi="Barlow Condensed SemiBold" w:cs="Barlow Condensed SemiBold" w:eastAsia="Barlow Condensed SemiBold"/>
                <w:color w:val="FFFFFF"/>
                <w:spacing w:val="15"/>
                <w:sz w:val="15"/>
                <w:szCs w:val="15"/>
              </w:rPr>
              <w:t xml:space="preserve">QUEM PACTUA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Metas do PVI (V3 a V9)</w:t>
            </w:r>
          </w:p>
        </w:tc>
        <w:tc>
          <w:tcPr>
            <w:tcW w:w="336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Mínima e recomendada conforme o Painel</w:t>
            </w:r>
          </w:p>
        </w:tc>
        <w:tc>
          <w:tcPr>
            <w:tcW w:w="247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SCS e gestão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Agravos prioritários e categorias de alerta</w:t>
            </w:r>
          </w:p>
        </w:tc>
        <w:tc>
          <w:tcPr>
            <w:tcW w:w="336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Definidos pelo Plano Popular</w:t>
            </w:r>
          </w:p>
        </w:tc>
        <w:tc>
          <w:tcPr>
            <w:tcW w:w="247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SCS, com APS e vigilância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Janela de antecipação (V4)</w:t>
            </w:r>
          </w:p>
        </w:tc>
        <w:tc>
          <w:tcPr>
            <w:tcW w:w="336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30 dias, mesma microárea, categoria compatível</w:t>
            </w:r>
          </w:p>
        </w:tc>
        <w:tc>
          <w:tcPr>
            <w:tcW w:w="247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Vigilância em Saúde e CTIS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Prazo de resposta a alertas críticos</w:t>
            </w:r>
          </w:p>
        </w:tc>
        <w:tc>
          <w:tcPr>
            <w:tcW w:w="336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72 horas a partir da hora zero</w:t>
            </w:r>
          </w:p>
        </w:tc>
        <w:tc>
          <w:tcPr>
            <w:tcW w:w="247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SCS, UBS e vigilância, por escrito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Entrega do relatório de dados</w:t>
            </w:r>
          </w:p>
        </w:tc>
        <w:tc>
          <w:tcPr>
            <w:tcW w:w="336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Antes da reunião, em linguagem legível</w:t>
            </w:r>
          </w:p>
        </w:tc>
        <w:tc>
          <w:tcPr>
            <w:tcW w:w="247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Dupla e técnico de dados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Dia fixo da reunião e semana-tipo</w:t>
            </w:r>
          </w:p>
        </w:tc>
        <w:tc>
          <w:tcPr>
            <w:tcW w:w="3360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Cada SCS fixa os seus</w:t>
            </w:r>
          </w:p>
        </w:tc>
        <w:tc>
          <w:tcPr>
            <w:tcW w:w="2478" w:type="dxa"/>
            <w:shd w:val="clear" w:color="auto" w:fill="E9F2EB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SCS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 SemiBold" w:hAnsi="Barlow SemiBold" w:cs="Barlow SemiBold" w:eastAsia="Barlow SemiBold"/>
                <w:color w:val="01366F"/>
                <w:sz w:val="17"/>
                <w:szCs w:val="17"/>
              </w:rPr>
              <w:t xml:space="preserve">Segmentos comunitários acompanhados em V9</w:t>
            </w:r>
          </w:p>
        </w:tc>
        <w:tc>
          <w:tcPr>
            <w:tcW w:w="3360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Os do mapa sociométrico da Etapa 1</w:t>
            </w:r>
          </w:p>
        </w:tc>
        <w:tc>
          <w:tcPr>
            <w:tcW w:w="2478" w:type="dxa"/>
            <w:shd w:val="clear" w:color="auto" w:fill="FFFFFF"/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Barlow" w:hAnsi="Barlow" w:cs="Barlow" w:eastAsia="Barlow"/>
                <w:color w:val="0F2440"/>
                <w:sz w:val="17"/>
                <w:szCs w:val="17"/>
              </w:rPr>
              <w:t xml:space="preserve">SCS</w:t>
            </w:r>
          </w:p>
        </w:tc>
      </w:tr>
    </w:tbl>
    <w:p>
      <w:pPr>
        <w:spacing w:before="0" w:after="120" w:line="200" w:lineRule="exact"/>
        <w:jc w:val="both"/>
      </w:pPr>
    </w:p>
    <w:sectPr>
      <w:headerReference w:type="default" r:id="rId27"/>
      <w:headerReference w:type="even" r:id="rId28"/>
      <w:footerReference w:type="default" r:id="rId21"/>
      <w:footerReference w:type="even" r:id="rId22"/>
      <w:type w:val="nextPage"/>
      <w:pgSz w:w="11906" w:h="16838"/>
      <w:pgMar w:top="1474" w:right="1531" w:bottom="1814" w:left="1531" w:header="850" w:footer="3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rlow">
    <w:charset w:val="00"/>
    <w:family w:val="swiss"/>
    <w:pitch w:val="variable"/>
    <w:embedRegular r:id="rIdF1" w:fontKey="{E11E2784-DE61-41B1-9D02-FFB957C50984}"/>
    <w:embedBold r:id="rIdF3" w:fontKey="{08D161DA-7231-425B-8F6F-6BB6D968E9B6}"/>
    <w:embedItalic r:id="rIdF2" w:fontKey="{8FE01DB9-6890-44C0-A997-402DDAF978CF}"/>
  </w:font>
  <w:font w:name="Barlow Medium">
    <w:charset w:val="00"/>
    <w:family w:val="swiss"/>
    <w:pitch w:val="variable"/>
    <w:embedRegular r:id="rIdF4" w:fontKey="{7F5AB29D-F2AD-455B-9318-2D6D52CEC457}"/>
  </w:font>
  <w:font w:name="Barlow SemiBold">
    <w:charset w:val="00"/>
    <w:family w:val="swiss"/>
    <w:pitch w:val="variable"/>
    <w:embedRegular r:id="rIdF5" w:fontKey="{9DD1AFA1-4081-4B72-9866-F92FABEB8BFE}"/>
  </w:font>
  <w:font w:name="Barlow Condensed">
    <w:charset w:val="00"/>
    <w:family w:val="swiss"/>
    <w:pitch w:val="variable"/>
    <w:embedRegular r:id="rIdF6" w:fontKey="{40FE3F0F-962B-4B2F-A157-8360586C46A1}"/>
    <w:embedBold r:id="rIdF7" w:fontKey="{A79CF569-DDEC-4DAE-820D-CF50913D2296}"/>
  </w:font>
  <w:font w:name="Barlow Condensed Medium">
    <w:charset w:val="00"/>
    <w:family w:val="swiss"/>
    <w:pitch w:val="variable"/>
    <w:embedRegular r:id="rIdF8" w:fontKey="{0A21C469-390B-47B2-8C49-A947E74F4489}"/>
  </w:font>
  <w:font w:name="Barlow Condensed SemiBold">
    <w:charset w:val="00"/>
    <w:family w:val="swiss"/>
    <w:pitch w:val="variable"/>
    <w:embedRegular r:id="rIdF9" w:fontKey="{6A9BB3CF-9A62-4406-AD64-18C5B65E1537}"/>
  </w:font>
  <w:font w:name="Segoe UI Symbol">
    <w:charset w:val="00"/>
    <w:family w:val="swiss"/>
    <w:pitch w:val="variable"/>
  </w:font>
</w:fonts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both"/>
    </w:pP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lio"/>
      <w:spacing w:before="0" w:after="0" w:line="240" w:lineRule="auto"/>
      <w:jc w:val="right"/>
      <w:rPr>
        <w:rFonts w:ascii="Barlow Condensed SemiBold" w:hAnsi="Barlow Condensed SemiBold" w:cs="Barlow Condensed SemiBold" w:eastAsia="Barlow Condensed SemiBold"/>
        <w:color w:val="FFFFFF"/>
        <w:sz w:val="21"/>
        <w:szCs w:val="21"/>
      </w:rPr>
    </w:pPr>
    <w:fldSimple w:instr=" PAGE ">
      <w:r>
        <w:rPr>
          <w:rFonts w:ascii="Barlow Condensed SemiBold" w:hAnsi="Barlow Condensed SemiBold" w:cs="Barlow Condensed SemiBold" w:eastAsia="Barlow Condensed SemiBold"/>
          <w:color w:val="FFFFFF"/>
          <w:sz w:val="21"/>
          <w:szCs w:val="21"/>
        </w:rPr>
        <w:t>1</w:t>
      </w:r>
    </w:fldSimple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lio"/>
      <w:spacing w:before="0" w:after="0" w:line="240" w:lineRule="auto"/>
      <w:jc w:val="left"/>
      <w:rPr>
        <w:rFonts w:ascii="Barlow Condensed SemiBold" w:hAnsi="Barlow Condensed SemiBold" w:cs="Barlow Condensed SemiBold" w:eastAsia="Barlow Condensed SemiBold"/>
        <w:color w:val="FFFFFF"/>
        <w:sz w:val="21"/>
        <w:szCs w:val="21"/>
      </w:rPr>
    </w:pPr>
    <w:fldSimple w:instr=" PAGE ">
      <w:r>
        <w:rPr>
          <w:rFonts w:ascii="Barlow Condensed SemiBold" w:hAnsi="Barlow Condensed SemiBold" w:cs="Barlow Condensed SemiBold" w:eastAsia="Barlow Condensed SemiBold"/>
          <w:color w:val="FFFFFF"/>
          <w:sz w:val="21"/>
          <w:szCs w:val="21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01" name="Fundo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1" name="Fundo 1"/>
                  <pic:cNvPicPr/>
                </pic:nvPicPr>
                <pic:blipFill>
                  <a:blip r:embed="rIdB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03" name="Fundo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3" name="Fundo 3"/>
                  <pic:cNvPicPr/>
                </pic:nvPicPr>
                <pic:blipFill>
                  <a:blip r:embed="rIdB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04" name="Fundo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4" name="Fundo 4"/>
                  <pic:cNvPicPr/>
                </pic:nvPicPr>
                <pic:blipFill>
                  <a:blip r:embed="rIdB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05" name="Fundo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5" name="Fundo 5"/>
                  <pic:cNvPicPr/>
                </pic:nvPicPr>
                <pic:blipFill>
                  <a:blip r:embed="rIdB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arlow Condensed SemiBold" w:hAnsi="Barlow Condensed SemiBold" w:cs="Barlow Condensed SemiBold" w:eastAsia="Barlow Condensed SemiBold"/>
        <w:color w:val="FFFFFF"/>
        <w:sz w:val="15"/>
        <w:szCs w:val="15"/>
        <w:shd w:val="clear" w:color="auto" w:fill="01366F"/>
      </w:rPr>
      <w:t xml:space="preserve">  PARTE 1 · FUNDAMENTOS  </w: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lef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06" name="Fundo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6" name="Fundo 6"/>
                  <pic:cNvPicPr/>
                </pic:nvPicPr>
                <pic:blipFill>
                  <a:blip r:embed="rIdB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arlow Condensed SemiBold" w:hAnsi="Barlow Condensed SemiBold" w:cs="Barlow Condensed SemiBold" w:eastAsia="Barlow Condensed SemiBold"/>
        <w:color w:val="FFFFFF"/>
        <w:sz w:val="15"/>
        <w:szCs w:val="15"/>
        <w:shd w:val="clear" w:color="auto" w:fill="01366F"/>
      </w:rPr>
      <w:t xml:space="preserve">  PARTE 1 · FUNDAMENTOS  </w:t>
    </w: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09" name="Fundo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9" name="Fundo 9"/>
                  <pic:cNvPicPr/>
                </pic:nvPicPr>
                <pic:blipFill>
                  <a:blip r:embed="rIdB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arlow Condensed SemiBold" w:hAnsi="Barlow Condensed SemiBold" w:cs="Barlow Condensed SemiBold" w:eastAsia="Barlow Condensed SemiBold"/>
        <w:color w:val="FFFFFF"/>
        <w:sz w:val="15"/>
        <w:szCs w:val="15"/>
        <w:shd w:val="clear" w:color="auto" w:fill="01366F"/>
      </w:rPr>
      <w:t xml:space="preserve">  PARTE 2 · O CICLO  </w:t>
    </w: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lef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10" name="Fundo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0" name="Fundo 10"/>
                  <pic:cNvPicPr/>
                </pic:nvPicPr>
                <pic:blipFill>
                  <a:blip r:embed="rIdB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arlow Condensed SemiBold" w:hAnsi="Barlow Condensed SemiBold" w:cs="Barlow Condensed SemiBold" w:eastAsia="Barlow Condensed SemiBold"/>
        <w:color w:val="FFFFFF"/>
        <w:sz w:val="15"/>
        <w:szCs w:val="15"/>
        <w:shd w:val="clear" w:color="auto" w:fill="01366F"/>
      </w:rPr>
      <w:t xml:space="preserve">  PARTE 2 · O CICLO  </w:t>
    </w: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11" name="Fundo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1" name="Fundo 11"/>
                  <pic:cNvPicPr/>
                </pic:nvPicPr>
                <pic:blipFill>
                  <a:blip r:embed="rIdB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arlow Condensed SemiBold" w:hAnsi="Barlow Condensed SemiBold" w:cs="Barlow Condensed SemiBold" w:eastAsia="Barlow Condensed SemiBold"/>
        <w:color w:val="FFFFFF"/>
        <w:sz w:val="15"/>
        <w:szCs w:val="15"/>
        <w:shd w:val="clear" w:color="auto" w:fill="01366F"/>
      </w:rPr>
      <w:t xml:space="preserve">  PARTE 3 · ORGANIZAÇÃO  </w:t>
    </w: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lef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12" name="Fundo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2" name="Fundo 12"/>
                  <pic:cNvPicPr/>
                </pic:nvPicPr>
                <pic:blipFill>
                  <a:blip r:embed="rIdB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arlow Condensed SemiBold" w:hAnsi="Barlow Condensed SemiBold" w:cs="Barlow Condensed SemiBold" w:eastAsia="Barlow Condensed SemiBold"/>
        <w:color w:val="FFFFFF"/>
        <w:sz w:val="15"/>
        <w:szCs w:val="15"/>
        <w:shd w:val="clear" w:color="auto" w:fill="01366F"/>
      </w:rPr>
      <w:t xml:space="preserve">  PARTE 3 · ORGANIZAÇÃO  </w:t>
    </w: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13" name="Fundo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3" name="Fundo 13"/>
                  <pic:cNvPicPr/>
                </pic:nvPicPr>
                <pic:blipFill>
                  <a:blip r:embed="rIdB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arlow Condensed SemiBold" w:hAnsi="Barlow Condensed SemiBold" w:cs="Barlow Condensed SemiBold" w:eastAsia="Barlow Condensed SemiBold"/>
        <w:color w:val="FFFFFF"/>
        <w:sz w:val="15"/>
        <w:szCs w:val="15"/>
        <w:shd w:val="clear" w:color="auto" w:fill="01366F"/>
      </w:rPr>
      <w:t xml:space="preserve">  PARTE 4 · GOVERNANÇA  </w:t>
    </w: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jc w:val="lef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14" name="Fundo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4" name="Fundo 14"/>
                  <pic:cNvPicPr/>
                </pic:nvPicPr>
                <pic:blipFill>
                  <a:blip r:embed="rIdB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arlow Condensed SemiBold" w:hAnsi="Barlow Condensed SemiBold" w:cs="Barlow Condensed SemiBold" w:eastAsia="Barlow Condensed SemiBold"/>
        <w:color w:val="FFFFFF"/>
        <w:sz w:val="15"/>
        <w:szCs w:val="15"/>
        <w:shd w:val="clear" w:color="auto" w:fill="01366F"/>
      </w:rPr>
      <w:t xml:space="preserve">  PARTE 4 · GOVERNANÇA  </w:t>
    </w:r>
  </w:p>
</w:hdr>
</file>

<file path=word/numbering.xml><?xml version="1.0" encoding="utf-8"?>
<w:numbering xmlns:w="http://schemas.openxmlformats.org/wordprocessingml/2006/main">
  <w:abstractNum w:abstractNumId="11">
    <w:multiLevelType w:val="singleLevel"/>
    <w:lvl w:ilvl="0">
      <w:start w:val="1"/>
      <w:numFmt w:val="bullet"/>
      <w:lvlText w:val="•"/>
      <w:lvlJc w:val="left"/>
      <w:pPr>
        <w:ind w:left="340" w:hanging="240"/>
      </w:pPr>
      <w:rPr>
        <w:rFonts w:ascii="Barlow" w:hAnsi="Barlow"/>
        <w:color w:val="007614"/>
        <w:sz w:val="24"/>
      </w:r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ind w:left="380" w:hanging="300"/>
      </w:pPr>
      <w:rPr>
        <w:rFonts w:ascii="Barlow Condensed SemiBold" w:hAnsi="Barlow Condensed SemiBold"/>
        <w:color w:val="007614"/>
        <w:sz w:val="21"/>
      </w:r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ind w:left="380" w:hanging="300"/>
      </w:pPr>
      <w:rPr>
        <w:rFonts w:ascii="Barlow Condensed SemiBold" w:hAnsi="Barlow Condensed SemiBold"/>
        <w:color w:val="007614"/>
        <w:sz w:val="21"/>
      </w:rPr>
    </w:lvl>
  </w:abstractNum>
  <w:abstractNum w:abstractNumId="14">
    <w:multiLevelType w:val="singleLevel"/>
    <w:lvl w:ilvl="0">
      <w:start w:val="1"/>
      <w:numFmt w:val="bullet"/>
      <w:lvlText w:val="•"/>
      <w:lvlJc w:val="left"/>
      <w:pPr>
        <w:ind w:left="340" w:hanging="240"/>
      </w:pPr>
      <w:rPr>
        <w:rFonts w:ascii="Barlow" w:hAnsi="Barlow"/>
        <w:color w:val="007614"/>
        <w:sz w:val="24"/>
      </w:rPr>
    </w:lvl>
  </w:abstractNum>
  <w:abstractNum w:abstractNumId="15">
    <w:multiLevelType w:val="singleLevel"/>
    <w:lvl w:ilvl="0">
      <w:start w:val="1"/>
      <w:numFmt w:val="bullet"/>
      <w:lvlText w:val="☐"/>
      <w:lvlJc w:val="left"/>
      <w:pPr>
        <w:ind w:left="400" w:hanging="320"/>
      </w:pPr>
      <w:rPr>
        <w:rFonts w:ascii="Segoe UI Symbol" w:hAnsi="Segoe UI Symbol" w:cs="Segoe UI Symbol"/>
        <w:color w:val="007614"/>
        <w:sz w:val="22"/>
      </w:rPr>
    </w:lvl>
  </w:abstractNum>
  <w:abstractNum w:abstractNumId="16">
    <w:multiLevelType w:val="singleLevel"/>
    <w:lvl w:ilvl="0">
      <w:start w:val="1"/>
      <w:numFmt w:val="decimal"/>
      <w:lvlText w:val="%1."/>
      <w:lvlJc w:val="left"/>
      <w:pPr>
        <w:ind w:left="380" w:hanging="300"/>
      </w:pPr>
      <w:rPr>
        <w:rFonts w:ascii="Barlow Condensed SemiBold" w:hAnsi="Barlow Condensed SemiBold"/>
        <w:color w:val="007614"/>
        <w:sz w:val="21"/>
      </w:rPr>
    </w:lvl>
  </w:abstractNum>
  <w:abstractNum w:abstractNumId="17">
    <w:multiLevelType w:val="singleLevel"/>
    <w:lvl w:ilvl="0">
      <w:start w:val="1"/>
      <w:numFmt w:val="bullet"/>
      <w:lvlText w:val="•"/>
      <w:lvlJc w:val="left"/>
      <w:pPr>
        <w:ind w:left="340" w:hanging="240"/>
      </w:pPr>
      <w:rPr>
        <w:rFonts w:ascii="Barlow" w:hAnsi="Barlow"/>
        <w:color w:val="007614"/>
        <w:sz w:val="24"/>
      </w:rPr>
    </w:lvl>
  </w:abstractNum>
  <w:abstractNum w:abstractNumId="18">
    <w:multiLevelType w:val="singleLevel"/>
    <w:lvl w:ilvl="0">
      <w:start w:val="1"/>
      <w:numFmt w:val="decimal"/>
      <w:lvlText w:val="%1."/>
      <w:lvlJc w:val="left"/>
      <w:pPr>
        <w:ind w:left="380" w:hanging="300"/>
      </w:pPr>
      <w:rPr>
        <w:rFonts w:ascii="Barlow Condensed SemiBold" w:hAnsi="Barlow Condensed SemiBold"/>
        <w:color w:val="007614"/>
        <w:sz w:val="21"/>
      </w:rPr>
    </w:lvl>
  </w:abstractNum>
  <w:abstractNum w:abstractNumId="19">
    <w:multiLevelType w:val="singleLevel"/>
    <w:lvl w:ilvl="0">
      <w:start w:val="1"/>
      <w:numFmt w:val="bullet"/>
      <w:lvlText w:val="•"/>
      <w:lvlJc w:val="left"/>
      <w:pPr>
        <w:ind w:left="340" w:hanging="240"/>
      </w:pPr>
      <w:rPr>
        <w:rFonts w:ascii="Barlow" w:hAnsi="Barlow"/>
        <w:color w:val="007614"/>
        <w:sz w:val="24"/>
      </w:rPr>
    </w:lvl>
  </w:abstractNum>
  <w:abstractNum w:abstractNumId="20">
    <w:multiLevelType w:val="singleLevel"/>
    <w:lvl w:ilvl="0">
      <w:start w:val="1"/>
      <w:numFmt w:val="bullet"/>
      <w:lvlText w:val="•"/>
      <w:lvlJc w:val="left"/>
      <w:pPr>
        <w:ind w:left="340" w:hanging="240"/>
      </w:pPr>
      <w:rPr>
        <w:rFonts w:ascii="Barlow" w:hAnsi="Barlow"/>
        <w:color w:val="007614"/>
        <w:sz w:val="24"/>
      </w:rPr>
    </w:lvl>
  </w:abstractNum>
  <w:abstractNum w:abstractNumId="21">
    <w:multiLevelType w:val="singleLevel"/>
    <w:lvl w:ilvl="0">
      <w:start w:val="1"/>
      <w:numFmt w:val="decimal"/>
      <w:lvlText w:val="%1."/>
      <w:lvlJc w:val="left"/>
      <w:pPr>
        <w:ind w:left="380" w:hanging="300"/>
      </w:pPr>
      <w:rPr>
        <w:rFonts w:ascii="Barlow Condensed SemiBold" w:hAnsi="Barlow Condensed SemiBold"/>
        <w:color w:val="007614"/>
        <w:sz w:val="21"/>
      </w:rPr>
    </w:lvl>
  </w:abstractNum>
  <w:abstractNum w:abstractNumId="22">
    <w:multiLevelType w:val="singleLevel"/>
    <w:lvl w:ilvl="0">
      <w:start w:val="1"/>
      <w:numFmt w:val="bullet"/>
      <w:lvlText w:val="•"/>
      <w:lvlJc w:val="left"/>
      <w:pPr>
        <w:ind w:left="340" w:hanging="240"/>
      </w:pPr>
      <w:rPr>
        <w:rFonts w:ascii="Barlow" w:hAnsi="Barlow"/>
        <w:color w:val="007614"/>
        <w:sz w:val="24"/>
      </w:rPr>
    </w:lvl>
  </w:abstractNum>
  <w:abstractNum w:abstractNumId="23">
    <w:multiLevelType w:val="singleLevel"/>
    <w:lvl w:ilvl="0">
      <w:start w:val="1"/>
      <w:numFmt w:val="decimal"/>
      <w:lvlText w:val="%1."/>
      <w:lvlJc w:val="left"/>
      <w:pPr>
        <w:ind w:left="380" w:hanging="300"/>
      </w:pPr>
      <w:rPr>
        <w:rFonts w:ascii="Barlow Condensed SemiBold" w:hAnsi="Barlow Condensed SemiBold"/>
        <w:color w:val="007614"/>
        <w:sz w:val="21"/>
      </w:rPr>
    </w:lvl>
  </w:abstractNum>
  <w:abstractNum w:abstractNumId="24">
    <w:multiLevelType w:val="singleLevel"/>
    <w:lvl w:ilvl="0">
      <w:start w:val="1"/>
      <w:numFmt w:val="bullet"/>
      <w:lvlText w:val="•"/>
      <w:lvlJc w:val="left"/>
      <w:pPr>
        <w:ind w:left="340" w:hanging="240"/>
      </w:pPr>
      <w:rPr>
        <w:rFonts w:ascii="Barlow" w:hAnsi="Barlow"/>
        <w:color w:val="007614"/>
        <w:sz w:val="24"/>
      </w:rPr>
    </w:lvl>
  </w:abstractNum>
  <w:abstractNum w:abstractNumId="25">
    <w:multiLevelType w:val="singleLevel"/>
    <w:lvl w:ilvl="0">
      <w:start w:val="1"/>
      <w:numFmt w:val="bullet"/>
      <w:lvlText w:val="•"/>
      <w:lvlJc w:val="left"/>
      <w:pPr>
        <w:ind w:left="340" w:hanging="240"/>
      </w:pPr>
      <w:rPr>
        <w:rFonts w:ascii="Barlow" w:hAnsi="Barlow"/>
        <w:color w:val="007614"/>
        <w:sz w:val="24"/>
      </w:rPr>
    </w:lvl>
  </w:abstractNum>
  <w:abstractNum w:abstractNumId="26">
    <w:multiLevelType w:val="singleLevel"/>
    <w:lvl w:ilvl="0">
      <w:start w:val="1"/>
      <w:numFmt w:val="bullet"/>
      <w:lvlText w:val="•"/>
      <w:lvlJc w:val="left"/>
      <w:pPr>
        <w:ind w:left="340" w:hanging="240"/>
      </w:pPr>
      <w:rPr>
        <w:rFonts w:ascii="Barlow" w:hAnsi="Barlow"/>
        <w:color w:val="007614"/>
        <w:sz w:val="24"/>
      </w:rPr>
    </w:lvl>
  </w:abstractNum>
  <w:abstractNum w:abstractNumId="27">
    <w:multiLevelType w:val="singleLevel"/>
    <w:lvl w:ilvl="0">
      <w:start w:val="1"/>
      <w:numFmt w:val="bullet"/>
      <w:lvlText w:val="•"/>
      <w:lvlJc w:val="left"/>
      <w:pPr>
        <w:ind w:left="340" w:hanging="240"/>
      </w:pPr>
      <w:rPr>
        <w:rFonts w:ascii="Barlow" w:hAnsi="Barlow"/>
        <w:color w:val="007614"/>
        <w:sz w:val="24"/>
      </w:rPr>
    </w:lvl>
  </w:abstractNum>
  <w:abstractNum w:abstractNumId="28">
    <w:multiLevelType w:val="singleLevel"/>
    <w:lvl w:ilvl="0">
      <w:start w:val="1"/>
      <w:numFmt w:val="bullet"/>
      <w:lvlText w:val="☐"/>
      <w:lvlJc w:val="left"/>
      <w:pPr>
        <w:ind w:left="400" w:hanging="320"/>
      </w:pPr>
      <w:rPr>
        <w:rFonts w:ascii="Segoe UI Symbol" w:hAnsi="Segoe UI Symbol" w:cs="Segoe UI Symbol"/>
        <w:color w:val="007614"/>
        <w:sz w:val="22"/>
      </w:rPr>
    </w:lvl>
  </w:abstract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embedTrueTypeFonts/>
  <w:defaultTabStop w:val="708"/>
  <w:hyphenationZone w:val="425"/>
  <w:evenAndOddHeaders/>
  <w:characterSpacingControl w:val="doNotCompress"/>
  <w:compat>
    <w:compatSetting w:name="compatibilityMode" w:uri="http://schemas.microsoft.com/office/word" w:val="15"/>
  </w:compat>
  <w:themeFontLang w:val="pt-BR"/>
</w:settings>
</file>

<file path=word/styles.xml><?xml version="1.0" encoding="utf-8"?>
<w:styles xmlns:w="http://schemas.openxmlformats.org/wordprocessingml/2006/main">
  <w:docDefaults>
    <w:rPrDefault>
      <w:rPr>
        <w:rFonts w:ascii="Barlow" w:hAnsi="Barlow" w:cs="Barlow" w:eastAsia="Barlow"/>
        <w:color w:val="0F2440"/>
        <w:sz w:val="20"/>
        <w:szCs w:val="20"/>
        <w:lang w:val="pt-BR" w:eastAsia="en-US" w:bidi="ar-SA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jc w:val="both"/>
    </w:pPr>
    <w:rPr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arlow Condensed" w:hAnsi="Barlow Condensed"/>
      <w:b/>
      <w:color w:val="01366F"/>
      <w:sz w:val="5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arlow Condensed SemiBold" w:hAnsi="Barlow Condensed SemiBold"/>
      <w:color w:val="007614"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arlow Condensed SemiBold" w:hAnsi="Barlow Condensed SemiBold"/>
      <w:color w:val="01366F"/>
      <w:sz w:val="25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Barlow SemiBold" w:hAnsi="Barlow SemiBold"/>
      <w:color w:val="01366F"/>
    </w:rPr>
  </w:style>
  <w:style w:type="paragraph" w:styleId="Folio">
    <w:name w:val="Fólio"/>
    <w:basedOn w:val="Normal"/>
    <w:qFormat/>
    <w:pPr/>
    <w:rPr>
      <w:rFonts w:ascii="Barlow Condensed SemiBold" w:hAnsi="Barlow Condensed SemiBold"/>
      <w:color w:val="FFFFFF"/>
      <w:sz w:val="21"/>
    </w:rPr>
  </w:style>
  <w:style w:type="paragraph" w:styleId="ListParagraph">
    <w:name w:val="List Paragraph"/>
    <w:basedOn w:val="Normal"/>
    <w:qFormat/>
    <w:pPr>
      <w:ind w:left="340"/>
      <w:contextualSpacing/>
    </w:pPr>
    <w:rPr/>
  </w:style>
  <w:style w:type="paragraph" w:styleId="TOC1">
    <w:name w:val="toc 1"/>
    <w:basedOn w:val="Normal"/>
    <w:qFormat/>
    <w:pPr/>
    <w:rPr/>
  </w:style>
  <w:style w:type="paragraph" w:styleId="TOC2">
    <w:name w:val="toc 2"/>
    <w:basedOn w:val="Normal"/>
    <w:qFormat/>
    <w:pPr>
      <w:ind w:left="300"/>
    </w:pPr>
    <w:rPr/>
  </w:style>
  <w:style w:type="paragraph" w:styleId="TOC3">
    <w:name w:val="toc 3"/>
    <w:basedOn w:val="Normal"/>
    <w:qFormat/>
    <w:pPr>
      <w:ind w:left="600"/>
    </w:pPr>
    <w:rPr/>
  </w:style>
  <w:style w:type="character" w:styleId="Hyperlink">
    <w:name w:val="Hyperlink"/>
    <w:rPr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theme" Target="theme/theme1.xml"/><Relationship Id="rId10" Type="http://schemas.openxmlformats.org/officeDocument/2006/relationships/image" Target="media/img4.png"/><Relationship Id="rId11" Type="http://schemas.openxmlformats.org/officeDocument/2006/relationships/image" Target="media/img8.png"/><Relationship Id="rId12" Type="http://schemas.openxmlformats.org/officeDocument/2006/relationships/image" Target="media/img10.png"/><Relationship Id="rId13" Type="http://schemas.openxmlformats.org/officeDocument/2006/relationships/image" Target="media/img12.png"/><Relationship Id="rId14" Type="http://schemas.openxmlformats.org/officeDocument/2006/relationships/image" Target="media/img14.png"/><Relationship Id="rId15" Type="http://schemas.openxmlformats.org/officeDocument/2006/relationships/header" Target="header1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header" Target="header4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header" Target="header10.xml"/><Relationship Id="rId25" Type="http://schemas.openxmlformats.org/officeDocument/2006/relationships/header" Target="header11.xml"/><Relationship Id="rId26" Type="http://schemas.openxmlformats.org/officeDocument/2006/relationships/header" Target="header12.xml"/><Relationship Id="rId27" Type="http://schemas.openxmlformats.org/officeDocument/2006/relationships/header" Target="header13.xml"/><Relationship Id="rId28" Type="http://schemas.openxmlformats.org/officeDocument/2006/relationships/header" Target="header14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Relationship Id="rIdF7" Type="http://schemas.openxmlformats.org/officeDocument/2006/relationships/font" Target="fonts/font7.odttf"/><Relationship Id="rIdF8" Type="http://schemas.openxmlformats.org/officeDocument/2006/relationships/font" Target="fonts/font8.odttf"/><Relationship Id="rIdF9" Type="http://schemas.openxmlformats.org/officeDocument/2006/relationships/font" Target="fonts/font9.odttf"/></Relationships>
</file>

<file path=word/_rels/header1.xml.rels><?xml version="1.0" encoding="UTF-8" standalone="yes"?><Relationships xmlns="http://schemas.openxmlformats.org/package/2006/relationships"><Relationship Id="rIdB1" Type="http://schemas.openxmlformats.org/officeDocument/2006/relationships/image" Target="media/bg1.png"/></Relationships>
</file>

<file path=word/_rels/header3.xml.rels><?xml version="1.0" encoding="UTF-8" standalone="yes"?><Relationships xmlns="http://schemas.openxmlformats.org/package/2006/relationships"><Relationship Id="rIdB1" Type="http://schemas.openxmlformats.org/officeDocument/2006/relationships/image" Target="media/bg2.png"/></Relationships>
</file>

<file path=word/_rels/header4.xml.rels><?xml version="1.0" encoding="UTF-8" standalone="yes"?><Relationships xmlns="http://schemas.openxmlformats.org/package/2006/relationships"><Relationship Id="rIdB1" Type="http://schemas.openxmlformats.org/officeDocument/2006/relationships/image" Target="media/bg3.png"/></Relationships>
</file>

<file path=word/_rels/header5.xml.rels><?xml version="1.0" encoding="UTF-8" standalone="yes"?><Relationships xmlns="http://schemas.openxmlformats.org/package/2006/relationships"><Relationship Id="rIdB1" Type="http://schemas.openxmlformats.org/officeDocument/2006/relationships/image" Target="media/bg6.png"/></Relationships>
</file>

<file path=word/_rels/header6.xml.rels><?xml version="1.0" encoding="UTF-8" standalone="yes"?><Relationships xmlns="http://schemas.openxmlformats.org/package/2006/relationships"><Relationship Id="rIdB1" Type="http://schemas.openxmlformats.org/officeDocument/2006/relationships/image" Target="media/bg7.png"/></Relationships>
</file>

<file path=word/_rels/header9.xml.rels><?xml version="1.0" encoding="UTF-8" standalone="yes"?><Relationships xmlns="http://schemas.openxmlformats.org/package/2006/relationships"><Relationship Id="rIdB1" Type="http://schemas.openxmlformats.org/officeDocument/2006/relationships/image" Target="media/bg6.png"/></Relationships>
</file>

<file path=word/_rels/header10.xml.rels><?xml version="1.0" encoding="UTF-8" standalone="yes"?><Relationships xmlns="http://schemas.openxmlformats.org/package/2006/relationships"><Relationship Id="rIdB1" Type="http://schemas.openxmlformats.org/officeDocument/2006/relationships/image" Target="media/bg7.png"/></Relationships>
</file>

<file path=word/_rels/header11.xml.rels><?xml version="1.0" encoding="UTF-8" standalone="yes"?><Relationships xmlns="http://schemas.openxmlformats.org/package/2006/relationships"><Relationship Id="rIdB1" Type="http://schemas.openxmlformats.org/officeDocument/2006/relationships/image" Target="media/bg6.png"/></Relationships>
</file>

<file path=word/_rels/header12.xml.rels><?xml version="1.0" encoding="UTF-8" standalone="yes"?><Relationships xmlns="http://schemas.openxmlformats.org/package/2006/relationships"><Relationship Id="rIdB1" Type="http://schemas.openxmlformats.org/officeDocument/2006/relationships/image" Target="media/bg7.png"/></Relationships>
</file>

<file path=word/_rels/header13.xml.rels><?xml version="1.0" encoding="UTF-8" standalone="yes"?><Relationships xmlns="http://schemas.openxmlformats.org/package/2006/relationships"><Relationship Id="rIdB1" Type="http://schemas.openxmlformats.org/officeDocument/2006/relationships/image" Target="media/bg6.png"/></Relationships>
</file>

<file path=word/_rels/header14.xml.rels><?xml version="1.0" encoding="UTF-8" standalone="yes"?><Relationships xmlns="http://schemas.openxmlformats.org/package/2006/relationships"><Relationship Id="rIdB1" Type="http://schemas.openxmlformats.org/officeDocument/2006/relationships/image" Target="media/bg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Protocolo Operacional da Inteligência Territorial</dc:title>
  <dc:creator>Fiocruz Brasília · CoLaboratório CTIS · PICAPS</dc:creator>
  <dc:language>pt-BR</dc:language>
</cp:coreProperties>
</file>