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1300" w:lineRule="exact"/>
        <w:jc w:val="both"/>
      </w:pPr>
    </w:p>
    <w:p>
      <w:pPr>
        <w:spacing w:before="0" w:after="260" w:line="24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007614"/>
          <w:spacing w:val="40"/>
          <w:sz w:val="17"/>
          <w:szCs w:val="17"/>
        </w:rPr>
        <w:t xml:space="preserve">INTELIGÊNCIA TERRITORIAL · PICAPS · VERSÃO 2.0</w:t>
      </w:r>
    </w:p>
    <w:p>
      <w:pPr>
        <w:spacing w:before="0" w:after="0" w:line="1000" w:lineRule="exact"/>
        <w:jc w:val="left"/>
      </w:pPr>
      <w:r>
        <w:rPr>
          <w:rFonts w:ascii="Barlow Condensed" w:hAnsi="Barlow Condensed" w:cs="Barlow Condensed" w:eastAsia="Barlow Condensed"/>
          <w:b/>
          <w:bCs/>
          <w:color w:val="01366F"/>
          <w:sz w:val="96"/>
          <w:szCs w:val="96"/>
        </w:rPr>
        <w:t xml:space="preserve">PROTOCOLO DE</w:t>
      </w:r>
    </w:p>
    <w:p>
      <w:pPr>
        <w:spacing w:before="0" w:after="0" w:line="1000" w:lineRule="exact"/>
        <w:jc w:val="left"/>
      </w:pPr>
      <w:r>
        <w:rPr>
          <w:rFonts w:ascii="Barlow Condensed" w:hAnsi="Barlow Condensed" w:cs="Barlow Condensed" w:eastAsia="Barlow Condensed"/>
          <w:b/>
          <w:bCs/>
          <w:color w:val="01366F"/>
          <w:sz w:val="96"/>
          <w:szCs w:val="96"/>
        </w:rPr>
        <w:t xml:space="preserve">INTELIGÊNCIA</w:t>
      </w:r>
    </w:p>
    <w:p>
      <w:pPr>
        <w:spacing w:before="0" w:after="0" w:line="1000" w:lineRule="exact"/>
        <w:jc w:val="left"/>
      </w:pPr>
      <w:r>
        <w:rPr>
          <w:rFonts w:ascii="Barlow Condensed" w:hAnsi="Barlow Condensed" w:cs="Barlow Condensed" w:eastAsia="Barlow Condensed"/>
          <w:b/>
          <w:bCs/>
          <w:color w:val="007614"/>
          <w:sz w:val="96"/>
          <w:szCs w:val="96"/>
        </w:rPr>
        <w:t xml:space="preserve">TERRITORIAL</w:t>
      </w:r>
    </w:p>
    <w:p>
      <w:pPr>
        <w:pBdr>
          <w:left w:val="single" w:sz="24" w:space="0" w:color="007614"/>
        </w:pBdr>
        <w:spacing w:before="360" w:after="0" w:line="640" w:lineRule="exact"/>
        <w:ind w:left="40"/>
        <w:jc w:val="left"/>
      </w:pPr>
    </w:p>
    <w:p>
      <w:pPr>
        <w:spacing w:before="300" w:after="160" w:line="300" w:lineRule="auto"/>
        <w:ind w:right="3600"/>
        <w:jc w:val="left"/>
      </w:pPr>
      <w:r>
        <w:rPr>
          <w:rFonts w:ascii="Barlow" w:hAnsi="Barlow" w:cs="Barlow" w:eastAsia="Barlow"/>
          <w:color w:val="01366F"/>
          <w:sz w:val="22"/>
          <w:szCs w:val="22"/>
        </w:rPr>
        <w:t xml:space="preserve">Articulação entre a vigilância epidemiológica tradicional e a vigilância popular em saúde, com preponderância do território</w:t>
      </w:r>
    </w:p>
    <w:p>
      <w:pPr>
        <w:spacing w:before="0" w:after="0" w:line="280" w:lineRule="auto"/>
        <w:jc w:val="left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Wagner de Jesus Martins, Fernanda Machiner, Maria Eduarda Silva, Jeferson Martins de Castro</w:t>
      </w:r>
    </w:p>
    <w:p>
      <w:pPr>
        <w:framePr w:w="2800" w:h="1400" w:hRule="exact" w:wrap="around" w:hAnchor="page" w:vAnchor="page" w:x="8200" w:y="12500"/>
        <w:spacing w:before="0" w:after="0" w:line="640" w:lineRule="exact"/>
        <w:jc w:val="right"/>
      </w:pPr>
      <w:r>
        <w:rPr>
          <w:rFonts w:ascii="Barlow Condensed SemiBold" w:hAnsi="Barlow Condensed SemiBold" w:cs="Barlow Condensed SemiBold" w:eastAsia="Barlow Condensed SemiBold"/>
          <w:color w:val="FFFFFF"/>
          <w:spacing w:val="40"/>
          <w:sz w:val="20"/>
          <w:szCs w:val="20"/>
        </w:rPr>
        <w:t xml:space="preserve">BRASÍLIA</w:t>
      </w:r>
      <w:r>
        <w:br/>
      </w:r>
      <w:r>
        <w:rPr>
          <w:rFonts w:ascii="Barlow Condensed" w:hAnsi="Barlow Condensed" w:cs="Barlow Condensed" w:eastAsia="Barlow Condensed"/>
          <w:b/>
          <w:bCs/>
          <w:color w:val="FFFFFF"/>
          <w:sz w:val="60"/>
          <w:szCs w:val="60"/>
        </w:rPr>
        <w:t xml:space="preserve">2026</w:t>
      </w:r>
    </w:p>
    <w:p>
      <w:pPr>
        <w:spacing w:before="0" w:after="0" w:line="20" w:lineRule="exact"/>
        <w:jc w:val="both"/>
        <w:sectPr>
          <w:headerReference w:type="default" r:id="rId26"/>
          <w:headerReference w:type="even" r:id="rId26"/>
          <w:footerReference w:type="default" r:id="rId27"/>
          <w:footerReference w:type="even" r:id="rId27"/>
          <w:type w:val="nextPage"/>
          <w:pgSz w:w="11906" w:h="16838"/>
          <w:pgMar w:top="1300" w:right="1361" w:bottom="1000" w:left="1361" w:header="850" w:footer="330" w:gutter="0"/>
          <w:cols w:space="720"/>
          <w:docGrid w:linePitch="360"/>
        </w:sectPr>
      </w:pPr>
    </w:p>
    <w:p>
      <w:pPr>
        <w:spacing w:before="400" w:after="0" w:line="280" w:lineRule="auto"/>
        <w:jc w:val="center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Wagner de Jesus Martins, Fernanda Machiner, Maria Eduarda Silva, Jeferson Martins de Castro</w:t>
      </w:r>
    </w:p>
    <w:p>
      <w:pPr>
        <w:spacing w:before="0" w:after="0" w:line="2200" w:lineRule="exact"/>
        <w:jc w:val="both"/>
      </w:pPr>
    </w:p>
    <w:p>
      <w:pPr>
        <w:spacing w:before="0" w:after="0" w:line="620" w:lineRule="exact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56"/>
          <w:szCs w:val="56"/>
        </w:rPr>
        <w:t xml:space="preserve">PROTOCOLO DE</w:t>
      </w:r>
    </w:p>
    <w:p>
      <w:pPr>
        <w:spacing w:before="0" w:after="0" w:line="620" w:lineRule="exact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56"/>
          <w:szCs w:val="56"/>
        </w:rPr>
        <w:t xml:space="preserve">INTELIGÊNCIA</w:t>
      </w:r>
    </w:p>
    <w:p>
      <w:pPr>
        <w:spacing w:before="0" w:after="0" w:line="620" w:lineRule="exact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56"/>
          <w:szCs w:val="56"/>
        </w:rPr>
        <w:t xml:space="preserve">TERRITORIAL</w:t>
      </w:r>
    </w:p>
    <w:p>
      <w:pPr>
        <w:spacing w:before="300" w:after="80" w:line="240" w:lineRule="auto"/>
        <w:jc w:val="center"/>
      </w:pPr>
      <w:r>
        <w:rPr>
          <w:rFonts w:ascii="Barlow Condensed SemiBold" w:hAnsi="Barlow Condensed SemiBold" w:cs="Barlow Condensed SemiBold" w:eastAsia="Barlow Condensed SemiBold"/>
          <w:color w:val="007614"/>
          <w:spacing w:val="40"/>
          <w:sz w:val="17"/>
          <w:szCs w:val="17"/>
        </w:rPr>
        <w:t xml:space="preserve">INTELIGÊNCIA TERRITORIAL · PICAPS · VERSÃO 2.0</w:t>
      </w:r>
    </w:p>
    <w:p>
      <w:pPr>
        <w:spacing w:before="0" w:after="0" w:line="280" w:lineRule="auto"/>
        <w:ind w:left="900" w:right="900"/>
        <w:jc w:val="center"/>
      </w:pPr>
      <w:r>
        <w:rPr>
          <w:rFonts w:ascii="Barlow" w:hAnsi="Barlow" w:cs="Barlow" w:eastAsia="Barlow"/>
          <w:i/>
          <w:iCs/>
          <w:color w:val="5F6B76"/>
          <w:sz w:val="20"/>
          <w:szCs w:val="20"/>
        </w:rPr>
        <w:t xml:space="preserve">Articulação entre a vigilância epidemiológica tradicional e a vigilância popular em saúde, com preponderância do território</w:t>
      </w:r>
    </w:p>
    <w:p>
      <w:pPr>
        <w:spacing w:before="0" w:after="0" w:line="4200" w:lineRule="exact"/>
        <w:jc w:val="both"/>
      </w:pPr>
    </w:p>
    <w:p>
      <w:pPr>
        <w:spacing w:before="0" w:after="0" w:line="260" w:lineRule="auto"/>
        <w:jc w:val="center"/>
      </w:pPr>
      <w:r>
        <w:rPr>
          <w:rFonts w:ascii="Barlow Condensed SemiBold" w:hAnsi="Barlow Condensed SemiBold" w:cs="Barlow Condensed SemiBold" w:eastAsia="Barlow Condensed SemiBold"/>
          <w:color w:val="01366F"/>
          <w:sz w:val="20"/>
          <w:szCs w:val="20"/>
        </w:rPr>
        <w:t xml:space="preserve">Fiocruz Brasília</w:t>
      </w:r>
    </w:p>
    <w:p>
      <w:pPr>
        <w:spacing w:before="0" w:after="0" w:line="260" w:lineRule="auto"/>
        <w:jc w:val="center"/>
      </w:pPr>
      <w:r>
        <w:rPr>
          <w:rFonts w:ascii="Barlow Condensed SemiBold" w:hAnsi="Barlow Condensed SemiBold" w:cs="Barlow Condensed SemiBold" w:eastAsia="Barlow Condensed SemiBold"/>
          <w:color w:val="01366F"/>
          <w:sz w:val="20"/>
          <w:szCs w:val="20"/>
        </w:rPr>
        <w:t xml:space="preserve">Brasília</w:t>
      </w:r>
    </w:p>
    <w:p>
      <w:pPr>
        <w:spacing w:before="0" w:after="0" w:line="260" w:lineRule="auto"/>
        <w:jc w:val="center"/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  <w:r>
        <w:rPr>
          <w:rFonts w:ascii="Barlow Condensed" w:hAnsi="Barlow Condensed" w:cs="Barlow Condensed" w:eastAsia="Barlow Condensed"/>
          <w:b/>
          <w:bCs/>
          <w:color w:val="01366F"/>
          <w:sz w:val="20"/>
          <w:szCs w:val="20"/>
        </w:rPr>
        <w:t xml:space="preserve">2026</w:t>
      </w:r>
    </w:p>
    <w:p>
      <w:pPr>
        <w:spacing w:before="0" w:after="0" w:line="7600" w:lineRule="exact"/>
        <w:jc w:val="both"/>
      </w:pPr>
    </w:p>
    <w:p>
      <w:pPr>
        <w:spacing w:before="140" w:after="20" w:line="24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007614"/>
          <w:spacing w:val="30"/>
          <w:sz w:val="15"/>
          <w:szCs w:val="15"/>
        </w:rPr>
        <w:t xml:space="preserve">AUTORIA</w:t>
      </w:r>
    </w:p>
    <w:p>
      <w:pPr>
        <w:spacing w:before="0" w:after="0" w:line="270" w:lineRule="auto"/>
        <w:jc w:val="left"/>
      </w:pPr>
      <w:r>
        <w:rPr>
          <w:rFonts w:ascii="Barlow" w:hAnsi="Barlow" w:cs="Barlow" w:eastAsia="Barlow"/>
          <w:color w:val="0F2440"/>
          <w:sz w:val="18"/>
          <w:szCs w:val="18"/>
        </w:rPr>
        <w:t xml:space="preserve">Wagner de Jesus Martins, Fernanda Machiner, Maria Eduarda Silva, Jeferson Martins de Castro</w:t>
      </w:r>
    </w:p>
    <w:p>
      <w:pPr>
        <w:spacing w:before="140" w:after="20" w:line="24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007614"/>
          <w:spacing w:val="30"/>
          <w:sz w:val="15"/>
          <w:szCs w:val="15"/>
        </w:rPr>
        <w:t xml:space="preserve">REALIZAÇÃO</w:t>
      </w:r>
    </w:p>
    <w:p>
      <w:pPr>
        <w:spacing w:before="0" w:after="0" w:line="270" w:lineRule="auto"/>
        <w:jc w:val="left"/>
      </w:pPr>
      <w:r>
        <w:rPr>
          <w:rFonts w:ascii="Barlow" w:hAnsi="Barlow" w:cs="Barlow" w:eastAsia="Barlow"/>
          <w:color w:val="0F2440"/>
          <w:sz w:val="18"/>
          <w:szCs w:val="18"/>
        </w:rPr>
        <w:t xml:space="preserve">Fundação Oswaldo Cruz – Fiocruz Brasília · CoLaboratório de Ciência, Tecnologia, Inovação e Sociedade (CTIS) · Plataforma de Inteligência Cooperativa com a Atenção Primária à Saúde (PICAPS)</w:t>
      </w:r>
    </w:p>
    <w:p>
      <w:pPr>
        <w:spacing w:before="140" w:after="20" w:line="24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007614"/>
          <w:spacing w:val="30"/>
          <w:sz w:val="15"/>
          <w:szCs w:val="15"/>
        </w:rPr>
        <w:t xml:space="preserve">EDIÇÃO</w:t>
      </w:r>
    </w:p>
    <w:p>
      <w:pPr>
        <w:spacing w:before="0" w:after="0" w:line="270" w:lineRule="auto"/>
        <w:jc w:val="left"/>
      </w:pPr>
      <w:r>
        <w:rPr>
          <w:rFonts w:ascii="Barlow" w:hAnsi="Barlow" w:cs="Barlow" w:eastAsia="Barlow"/>
          <w:color w:val="0F2440"/>
          <w:sz w:val="18"/>
          <w:szCs w:val="18"/>
        </w:rPr>
        <w:t xml:space="preserve">Versão 2.0 · Brasília, outubro de 2026</w:t>
      </w:r>
    </w:p>
    <w:p>
      <w:pPr>
        <w:spacing w:before="140" w:after="20" w:line="24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007614"/>
          <w:spacing w:val="30"/>
          <w:sz w:val="15"/>
          <w:szCs w:val="15"/>
        </w:rPr>
        <w:t xml:space="preserve">DOCUMENTOS RELACIONADOS</w:t>
      </w:r>
    </w:p>
    <w:p>
      <w:pPr>
        <w:spacing w:before="0" w:after="0" w:line="270" w:lineRule="auto"/>
        <w:jc w:val="left"/>
      </w:pPr>
      <w:r>
        <w:rPr>
          <w:rFonts w:ascii="Barlow" w:hAnsi="Barlow" w:cs="Barlow" w:eastAsia="Barlow"/>
          <w:color w:val="0F2440"/>
          <w:sz w:val="18"/>
          <w:szCs w:val="18"/>
        </w:rPr>
        <w:t xml:space="preserve">Protocolo de Inteligência Territorial; Protocolo Operacional da Inteligência Territorial; Índice de Necessidade de Saúde (INS); Guia metodológico do Índice de Vulnerabilidade Territorial (IVT)</w:t>
      </w:r>
    </w:p>
    <w:p>
      <w:pPr>
        <w:spacing w:before="140" w:after="20" w:line="24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007614"/>
          <w:spacing w:val="30"/>
          <w:sz w:val="15"/>
          <w:szCs w:val="15"/>
        </w:rPr>
        <w:t xml:space="preserve">COMO CITAR</w:t>
      </w:r>
    </w:p>
    <w:p>
      <w:pPr>
        <w:spacing w:before="0" w:after="0" w:line="270" w:lineRule="auto"/>
        <w:jc w:val="left"/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  <w:r>
        <w:rPr>
          <w:rFonts w:ascii="Barlow" w:hAnsi="Barlow" w:cs="Barlow" w:eastAsia="Barlow"/>
          <w:color w:val="0F2440"/>
          <w:sz w:val="18"/>
          <w:szCs w:val="18"/>
        </w:rPr>
        <w:t xml:space="preserve">MARTINS, W. J.; MACHINER, F.; SILVA, M. E.; CASTRO, J. M. </w:t>
      </w:r>
      <w:r>
        <w:rPr>
          <w:rFonts w:ascii="Barlow SemiBold" w:hAnsi="Barlow SemiBold" w:cs="Barlow SemiBold" w:eastAsia="Barlow SemiBold"/>
          <w:color w:val="01366F"/>
          <w:sz w:val="18"/>
          <w:szCs w:val="18"/>
        </w:rPr>
        <w:t xml:space="preserve">Protocolo de Inteligência Territorial</w:t>
      </w:r>
      <w:r>
        <w:rPr>
          <w:rFonts w:ascii="Barlow" w:hAnsi="Barlow" w:cs="Barlow" w:eastAsia="Barlow"/>
          <w:color w:val="0F2440"/>
          <w:sz w:val="18"/>
          <w:szCs w:val="18"/>
        </w:rPr>
        <w:t xml:space="preserve">. Versão 2.0. Brasília: Fiocruz Brasília/CoLaboratório CTIS/PICAPS, 2026.</w:t>
      </w:r>
    </w:p>
    <w:p>
      <w:pPr>
        <w:pBdr>
          <w:bottom w:val="single" w:sz="12" w:space="10" w:color="007614"/>
        </w:pBdr>
        <w:spacing w:before="0" w:after="480" w:line="300" w:lineRule="auto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44"/>
          <w:szCs w:val="44"/>
        </w:rPr>
        <w:t xml:space="preserve">NOTA DE VERSÃO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versão 2.0 reorganiza o protocolo em torno de sua finalidade: articular a vigilância epidemiológica tradicional e a vigilância popular em saúde, de modo que o território tenha preponderância na definição do que se vigia, na validação e na interpretação dos dados e na exigência de resposta. Em relação à versão 1.0:</w:t>
      </w:r>
    </w:p>
    <w:p>
      <w:pPr>
        <w:pStyle w:val="ListParagraph"/>
        <w:numPr>
          <w:ilvl w:val="0"/>
          <w:numId w:val="1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funções, atores e indicadores que não servem a essa articulação foram retirados;</w:t>
      </w:r>
    </w:p>
    <w:p>
      <w:pPr>
        <w:pStyle w:val="ListParagraph"/>
        <w:numPr>
          <w:ilvl w:val="0"/>
          <w:numId w:val="1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índice de vulnerabilidade passa a denominar-se Índice de Vulnerabilidade Territorial (IVT) e opera dentro do território;</w:t>
      </w:r>
    </w:p>
    <w:p>
      <w:pPr>
        <w:pStyle w:val="ListParagraph"/>
        <w:numPr>
          <w:ilvl w:val="0"/>
          <w:numId w:val="1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Índice de Necessidade de Saúde (INS) foi incluído, ao lado do IVT, para a comparação entre territórios;</w:t>
      </w:r>
    </w:p>
    <w:p>
      <w:pPr>
        <w:pStyle w:val="ListParagraph"/>
        <w:numPr>
          <w:ilvl w:val="0"/>
          <w:numId w:val="1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os indicadores do ciclo foram reduzidos a um Painel de Vigilância Integrada de nove indicadores de coleta regular;</w:t>
      </w:r>
    </w:p>
    <w:p>
      <w:pPr>
        <w:pStyle w:val="ListParagraph"/>
        <w:numPr>
          <w:ilvl w:val="0"/>
          <w:numId w:val="1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Equipe de Vigilância em Saúde passou a figurar entre os atores do ciclo;</w:t>
      </w:r>
    </w:p>
    <w:p>
      <w:pPr>
        <w:pStyle w:val="ListParagraph"/>
        <w:numPr>
          <w:ilvl w:val="0"/>
          <w:numId w:val="11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foram incorporadas a visibilização social, com protocolo de incorporação das invisibilidades aos sistemas oficiais, e a implantação em seis etapas da metodologia PICAPS.</w:t>
      </w:r>
    </w:p>
    <w:p>
      <w:pPr>
        <w:spacing w:before="0" w:after="140" w:line="300" w:lineRule="auto"/>
        <w:jc w:val="both"/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Esta edição foi revista à luz do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Protocolo Operacional da Inteligência Territorial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que a acompanha. A Parte IV passou a trazer, para cada fase, a pergunta-guia, o sinal de alerta e os erros a evitar; a matriz de leitura de sinais e a leitura por exposição e sensibilidade; o roteiro da reunião deliberativa; a triagem dos encaminhamentos em quatro registros de ação; o fluxo de 72 horas; o quadro de escalonamento; a lista de prontidão e o modo contingência; e os parâmetros a pactuar no ciclo inaugural. Os ritmos do ciclo foram explicitados em sete (contínuo, semanal, mensal, trimestral, semestral, anual e bienal), e as regras de atuação foram harmonizadas com as do guia operacional.</w:t>
      </w:r>
    </w:p>
    <w:p>
      <w:pPr>
        <w:pBdr>
          <w:bottom w:val="single" w:sz="12" w:space="10" w:color="007614"/>
        </w:pBdr>
        <w:spacing w:before="0" w:after="480" w:line="300" w:lineRule="auto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44"/>
          <w:szCs w:val="44"/>
        </w:rPr>
        <w:t xml:space="preserve">SUMÁRIO</w:t>
      </w:r>
    </w:p>
    <w:p>
      <w:pPr>
        <w:tabs>
          <w:tab w:val="right" w:pos="8844"/>
        </w:tabs>
        <w:spacing w:before="200" w:after="40" w:line="260" w:lineRule="auto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h0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APRESENTAÇÃO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9</w:t>
        </w:r>
      </w:hyperlink>
    </w:p>
    <w:p>
      <w:pPr>
        <w:tabs>
          <w:tab w:val="right" w:pos="8844"/>
        </w:tabs>
        <w:spacing w:before="200" w:after="40" w:line="260" w:lineRule="auto"/>
        <w:jc w:val="left"/>
      </w:pPr>
      <w:hyperlink w:anchor="_h1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PARTE I · FUNDAMENTOS TEÓRICO-METODOLÓGICOS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11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1.1 Três tradições matriciais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12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3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1.2 Definição e dimensões da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14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4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1.3 Vigilância tradicional, vigilância popular e vigilância integrada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16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5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1.4 Visibilização social, empoderamento e governança participativa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18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6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1.5 Compromisso com a transformação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18</w:t>
        </w:r>
      </w:hyperlink>
    </w:p>
    <w:p>
      <w:pPr>
        <w:tabs>
          <w:tab w:val="right" w:pos="8844"/>
        </w:tabs>
        <w:spacing w:before="200" w:after="40" w:line="260" w:lineRule="auto"/>
        <w:jc w:val="left"/>
      </w:pPr>
      <w:hyperlink w:anchor="_h7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PARTE II · A TRANSVERSALIDADE DA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20</w:t>
        </w:r>
      </w:hyperlink>
    </w:p>
    <w:p>
      <w:pPr>
        <w:tabs>
          <w:tab w:val="right" w:pos="8844"/>
        </w:tabs>
        <w:spacing w:before="200" w:after="40" w:line="260" w:lineRule="auto"/>
        <w:jc w:val="left"/>
      </w:pPr>
      <w:hyperlink w:anchor="_h8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PARTE III · AS INTERFACES DA IT COM OS QUATRO EIXOS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24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9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3.1 Eixo Radar de Territórios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25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0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3.2 Eixo Teleorientação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26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1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3.3 Eixo Inteligência Epidemiológica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26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2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3.4 Eixo Saúde Digital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28</w:t>
        </w:r>
      </w:hyperlink>
    </w:p>
    <w:p>
      <w:pPr>
        <w:tabs>
          <w:tab w:val="right" w:pos="8844"/>
        </w:tabs>
        <w:spacing w:before="200" w:after="40" w:line="260" w:lineRule="auto"/>
        <w:jc w:val="left"/>
      </w:pPr>
      <w:hyperlink w:anchor="_h13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PARTE IV · PROTOCOLO DE ATUAÇÃO DA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30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4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4.1 Regras de atuação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31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5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4.2 Implantação: o ciclo inaugural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32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6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4.3 Instrumentos de leitura do território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33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7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4.4 O Ciclo de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34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18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4.5 As cinco fases em operação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35</w:t>
        </w:r>
      </w:hyperlink>
    </w:p>
    <w:p>
      <w:pPr>
        <w:tabs>
          <w:tab w:val="right" w:pos="8844"/>
        </w:tabs>
        <w:spacing w:before="0" w:after="20" w:line="250" w:lineRule="auto"/>
        <w:ind w:left="600"/>
        <w:jc w:val="left"/>
      </w:pPr>
      <w:hyperlink w:anchor="_h19" w:history="1">
        <w:r>
          <w:rPr>
            <w:rFonts w:ascii="Barlow" w:hAnsi="Barlow" w:cs="Barlow" w:eastAsia="Barlow"/>
            <w:color w:val="5F6B76"/>
            <w:sz w:val="18"/>
            <w:szCs w:val="18"/>
          </w:rPr>
          <w:t xml:space="preserve">Fase 1 — Captação de sinais (contínua)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35</w:t>
        </w:r>
      </w:hyperlink>
    </w:p>
    <w:p>
      <w:pPr>
        <w:tabs>
          <w:tab w:val="right" w:pos="8844"/>
        </w:tabs>
        <w:spacing w:before="0" w:after="20" w:line="250" w:lineRule="auto"/>
        <w:ind w:left="600"/>
        <w:jc w:val="left"/>
      </w:pPr>
      <w:hyperlink w:anchor="_h20" w:history="1">
        <w:r>
          <w:rPr>
            <w:rFonts w:ascii="Barlow" w:hAnsi="Barlow" w:cs="Barlow" w:eastAsia="Barlow"/>
            <w:color w:val="5F6B76"/>
            <w:sz w:val="18"/>
            <w:szCs w:val="18"/>
          </w:rPr>
          <w:t xml:space="preserve">Fase 2 — Integração e análise (mensal, semestral e anual)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36</w:t>
        </w:r>
      </w:hyperlink>
    </w:p>
    <w:p>
      <w:pPr>
        <w:tabs>
          <w:tab w:val="right" w:pos="8844"/>
        </w:tabs>
        <w:spacing w:before="0" w:after="20" w:line="250" w:lineRule="auto"/>
        <w:ind w:left="600"/>
        <w:jc w:val="left"/>
      </w:pPr>
      <w:hyperlink w:anchor="_h21" w:history="1">
        <w:r>
          <w:rPr>
            <w:rFonts w:ascii="Barlow" w:hAnsi="Barlow" w:cs="Barlow" w:eastAsia="Barlow"/>
            <w:color w:val="5F6B76"/>
            <w:sz w:val="18"/>
            <w:szCs w:val="18"/>
          </w:rPr>
          <w:t xml:space="preserve">Fase 3 — Interpretação e deliberação (mensal, na SCS)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38</w:t>
        </w:r>
      </w:hyperlink>
    </w:p>
    <w:p>
      <w:pPr>
        <w:tabs>
          <w:tab w:val="right" w:pos="8844"/>
        </w:tabs>
        <w:spacing w:before="0" w:after="20" w:line="250" w:lineRule="auto"/>
        <w:ind w:left="600"/>
        <w:jc w:val="left"/>
      </w:pPr>
      <w:hyperlink w:anchor="_h22" w:history="1">
        <w:r>
          <w:rPr>
            <w:rFonts w:ascii="Barlow" w:hAnsi="Barlow" w:cs="Barlow" w:eastAsia="Barlow"/>
            <w:color w:val="5F6B76"/>
            <w:sz w:val="18"/>
            <w:szCs w:val="18"/>
          </w:rPr>
          <w:t xml:space="preserve">Fase 4 — Ação e exigibilidade (48 horas a 180 dias)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40</w:t>
        </w:r>
      </w:hyperlink>
    </w:p>
    <w:p>
      <w:pPr>
        <w:tabs>
          <w:tab w:val="right" w:pos="8844"/>
        </w:tabs>
        <w:spacing w:before="0" w:after="20" w:line="250" w:lineRule="auto"/>
        <w:ind w:left="600"/>
        <w:jc w:val="left"/>
      </w:pPr>
      <w:hyperlink w:anchor="_h23" w:history="1">
        <w:r>
          <w:rPr>
            <w:rFonts w:ascii="Barlow" w:hAnsi="Barlow" w:cs="Barlow" w:eastAsia="Barlow"/>
            <w:color w:val="5F6B76"/>
            <w:sz w:val="18"/>
            <w:szCs w:val="18"/>
          </w:rPr>
          <w:t xml:space="preserve">Fase 5 — Reflexividade (trimestral, anual e bienal)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42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4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4.6 Papéis e responsabilidades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43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5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4.7 Calendário operacional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43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6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4.8 Indicadores: o Painel de Vigilância Integrada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44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7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4.9 Governança e escalonamento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46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8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4.10 Ameaças à sustentabilidade e contingência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47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29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4.11 Parâmetros a pactuar no ciclo inaugural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48</w:t>
        </w:r>
      </w:hyperlink>
    </w:p>
    <w:p>
      <w:pPr>
        <w:tabs>
          <w:tab w:val="right" w:pos="8844"/>
        </w:tabs>
        <w:spacing w:before="0" w:after="30" w:line="260" w:lineRule="auto"/>
        <w:ind w:left="300"/>
        <w:jc w:val="left"/>
      </w:pPr>
      <w:hyperlink w:anchor="_h30" w:history="1">
        <w:r>
          <w:rPr>
            <w:rFonts w:ascii="Barlow" w:hAnsi="Barlow" w:cs="Barlow" w:eastAsia="Barlow"/>
            <w:color w:val="0F2440"/>
            <w:sz w:val="19"/>
            <w:szCs w:val="19"/>
          </w:rPr>
          <w:t xml:space="preserve">4.12 Condições de sustentabilidade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48</w:t>
        </w:r>
      </w:hyperlink>
    </w:p>
    <w:p>
      <w:pPr>
        <w:tabs>
          <w:tab w:val="right" w:pos="8844"/>
        </w:tabs>
        <w:spacing w:before="200" w:after="40" w:line="260" w:lineRule="auto"/>
        <w:jc w:val="left"/>
      </w:pPr>
      <w:hyperlink w:anchor="_h31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CONCLUSÃO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50</w:t>
        </w:r>
      </w:hyperlink>
    </w:p>
    <w:p>
      <w:pPr>
        <w:tabs>
          <w:tab w:val="right" w:pos="8844"/>
        </w:tabs>
        <w:spacing w:before="200" w:after="40" w:line="260" w:lineRule="auto"/>
        <w:jc w:val="left"/>
      </w:pPr>
      <w:hyperlink w:anchor="_h32" w:history="1">
        <w:r>
          <w:rPr>
            <w:rFonts w:ascii="Barlow Condensed SemiBold" w:hAnsi="Barlow Condensed SemiBold" w:cs="Barlow Condensed SemiBold" w:eastAsia="Barlow Condensed SemiBold"/>
            <w:color w:val="01366F"/>
            <w:spacing w:val="10"/>
            <w:sz w:val="19"/>
            <w:szCs w:val="19"/>
          </w:rPr>
          <w:t xml:space="preserve">REFERÊNCIAS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9"/>
            <w:szCs w:val="19"/>
          </w:rPr>
          <w:t xml:space="preserve">52</w:t>
        </w:r>
      </w:hyperlink>
      <w:r>
        <w:fldChar w:fldCharType="end"/>
      </w:r>
    </w:p>
    <w:p>
      <w:pPr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</w:p>
    <w:p>
      <w:pPr>
        <w:pBdr>
          <w:bottom w:val="single" w:sz="12" w:space="10" w:color="007614"/>
        </w:pBdr>
        <w:spacing w:before="0" w:after="480" w:line="300" w:lineRule="auto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44"/>
          <w:szCs w:val="44"/>
        </w:rPr>
        <w:t xml:space="preserve">LISTA DE FIGURAS</w:t>
      </w:r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ge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Geografia crítica e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12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coop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2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Inteligência cooperativa e território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13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tec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3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Tecnologias sociais e epidemiologia crítica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14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def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4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Definição de Inteligência Territorial e o que ela herda de cada tradição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15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naocoletiva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5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A IT é inteligência cooperativa, mas não meramente coletiva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15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metod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6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Duas vigilâncias, um mapa, uma Sala que decide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17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papel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7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O papel da PICAPS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19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transv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8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Inteligência Territorial como transversalidade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21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diagonal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9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A IT na PICAPS: diagonal que conecta os quatro eixos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21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circular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10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A circularidade constitutiva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23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eixo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11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A Inteligência Territorial atravessa os quatro eixos da PICAPS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25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instrumento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12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Três instrumentos de leitura, três perguntas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33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cit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13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Ciclo de Inteligência Territorial: cinco fases e sete ritmos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34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matriz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14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Matriz de leitura de sinais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37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f72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15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Fluxo do alerta crítico em 72 horas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41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f_gov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Figura 16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Governança em três níveis e subsidiariedade ascendente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46</w:t>
        </w:r>
      </w:hyperlink>
    </w:p>
    <w:p>
      <w:pPr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</w:p>
    <w:p>
      <w:pPr>
        <w:pBdr>
          <w:bottom w:val="single" w:sz="12" w:space="10" w:color="007614"/>
        </w:pBdr>
        <w:spacing w:before="0" w:after="480" w:line="300" w:lineRule="auto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44"/>
          <w:szCs w:val="44"/>
        </w:rPr>
        <w:t xml:space="preserve">LISTA DE QUADROS</w:t>
      </w:r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dimensoe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Dimensões constitutivas da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15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vigilancia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2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Vigilância tradicional, vigilância popular e vigilância integrada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16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integraca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3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Mapa de integração da IT como eixo transversal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22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radar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4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Interfaces operacionais entre a IT e o Eixo Radar de Territórios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25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tele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5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Interfaces operacionais entre a IT e o Eixo Teleorientação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26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epi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6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Interfaces operacionais entre a IT e o Eixo Inteligência Epidemiológica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27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digital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7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Interfaces operacionais entre a IT e o Eixo Saúde Digital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28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anatomia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8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Anatomia de cada procedimento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31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etapa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9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Etapas de implantação da metodologia PICAPS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32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cit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10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Ciclo de Inteligência Territorial: visão sintética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35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quadrante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11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Leitura exposição × sensibilidade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38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roteir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12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Roteiro da reunião deliberativa da SCS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39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registro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13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Registros de ação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40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incorporaca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14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Incorporação das invisibilidades aos sistemas oficiais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41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papei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15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Papéis e responsabilidades no Ciclo de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43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calendari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16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Calendário operacional do Ciclo de Inteligência Territorial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43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semana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17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Semana-tipo da SCS (sugestão)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44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pvi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18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Painel de Vigilância Integrada: indicadores e metas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44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escalonamento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19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Situações de escalonamento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47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ameaca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20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Ameaças, sinais de alerta e contramedidas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47</w:t>
        </w:r>
      </w:hyperlink>
    </w:p>
    <w:p>
      <w:pPr>
        <w:tabs>
          <w:tab w:val="left" w:pos="1150"/>
          <w:tab w:val="right" w:pos="8844"/>
        </w:tabs>
        <w:spacing w:before="0" w:after="60" w:line="260" w:lineRule="auto"/>
        <w:ind w:left="1150" w:right="500" w:hanging="1150"/>
        <w:jc w:val="left"/>
      </w:pPr>
      <w:hyperlink w:anchor="_q_parametros" w:history="1"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Quadro 21</w:t>
        </w:r>
        <w:r>
          <w:tab/>
        </w:r>
        <w:r>
          <w:rPr>
            <w:rFonts w:ascii="Barlow" w:hAnsi="Barlow" w:cs="Barlow" w:eastAsia="Barlow"/>
            <w:color w:val="0F2440"/>
            <w:sz w:val="18"/>
            <w:szCs w:val="18"/>
          </w:rPr>
          <w:t xml:space="preserve">Parâmetros a pactuar no ciclo inaugural</w:t>
        </w:r>
        <w:r>
          <w:tab/>
        </w:r>
        <w:r>
          <w:rPr>
            <w:rFonts w:ascii="Barlow Condensed SemiBold" w:hAnsi="Barlow Condensed SemiBold" w:cs="Barlow Condensed SemiBold" w:eastAsia="Barlow Condensed SemiBold"/>
            <w:color w:val="007614"/>
            <w:sz w:val="18"/>
            <w:szCs w:val="18"/>
          </w:rPr>
          <w:t xml:space="preserve">48</w:t>
        </w:r>
      </w:hyperlink>
    </w:p>
    <w:p>
      <w:pPr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</w:p>
    <w:p>
      <w:pPr>
        <w:pBdr>
          <w:bottom w:val="single" w:sz="12" w:space="10" w:color="007614"/>
        </w:pBdr>
        <w:spacing w:before="0" w:after="480" w:line="300" w:lineRule="auto"/>
        <w:jc w:val="center"/>
      </w:pPr>
      <w:r>
        <w:rPr>
          <w:rFonts w:ascii="Barlow Condensed" w:hAnsi="Barlow Condensed" w:cs="Barlow Condensed" w:eastAsia="Barlow Condensed"/>
          <w:b/>
          <w:bCs/>
          <w:color w:val="01366F"/>
          <w:sz w:val="44"/>
          <w:szCs w:val="44"/>
        </w:rPr>
        <w:t xml:space="preserve">LISTA DE SIGLAS</w:t>
      </w:r>
    </w:p>
    <w:tbl>
      <w:tblPr>
        <w:tblW w:w="884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000"/>
      </w:tblPr>
      <w:tblGrid>
        <w:gridCol w:w="1250"/>
        <w:gridCol w:w="3050"/>
        <w:gridCol w:w="240"/>
        <w:gridCol w:w="1250"/>
        <w:gridCol w:w="3054"/>
      </w:tblGrid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ACE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Agente de combate às endemias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IVT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Índice de Vulnerabilidade Territorial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ACS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Agente comunitário de saúde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LGPD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Lei Geral de Proteção de Dados Pessoais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APPT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Atenção Primária de Precisão Territorial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LIRAa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Levantamento Rápido de Índices para Aedes aegypti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APS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Atenção Primária à Saúde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MTEI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Matriz de Tradução Epistêmica Intercultural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CID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Classificação Internacional de Doenças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PDAD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Pesquisa Distrital por Amostra de Domicílios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CIT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Ciclo de Inteligência Territorial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PES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Planejamento estratégico situacional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CRAS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Centro de Referência de Assistência Social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PICAPS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Plataforma de Inteligência Cooperativa com a Atenção Primária à Saúde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CTIS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CoLaboratório de Ciência, Tecnologia, Inovação e Sociedade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PVI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Painel de Vigilância Integrada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DPT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Diálogos Prospectivos Territoriais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SCS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Sala de Cooperação Social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e-SUS APS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Estratégia de informatização da Atenção Primária à Saúde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SIH/SUS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Sistema de Informações Hospitalares do SUS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ESF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Estratégia Saúde da Família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SIM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Sistema de Informações sobre Mortalidade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IBGE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Instituto Brasileiro de Geografia e Estatística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SINAN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Sistema de Informação de Agravos de Notificação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INS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Índice de Necessidade de Saúde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SINASC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Sistema de Informações sobre Nascidos Vivos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INS-DF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Índice de Necessidade de Saúde, recorte distrital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SUS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Sistema Único de Saúde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INS-M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Índice de Necessidade de Saúde, recorte municipal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UBS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Unidade Básica de Saúde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IRS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Índice de Resiliência Sociotécnica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UIC</w:t>
            </w:r>
          </w:p>
        </w:tc>
        <w:tc>
          <w:tcPr>
            <w:tcW w:w="3054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Urgência, impacto e capacidade de agência (Matriz UIC)</w:t>
            </w:r>
          </w:p>
        </w:tc>
      </w:tr>
      <w:tr>
        <w:tc>
          <w:tcPr>
            <w:tcW w:w="12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18"/>
                <w:szCs w:val="18"/>
              </w:rPr>
              <w:t xml:space="preserve">IT</w:t>
            </w:r>
          </w:p>
        </w:tc>
        <w:tc>
          <w:tcPr>
            <w:tcW w:w="3050" w:type="dxa"/>
          </w:tcPr>
          <w:p>
            <w:pPr>
              <w:spacing w:before="0" w:after="0" w:line="250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Inteligência Territorial</w:t>
            </w:r>
          </w:p>
        </w:tc>
        <w:tc>
          <w:tcPr>
            <w:tcW w:w="24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1250" w:type="dxa"/>
          </w:tcPr>
          <w:p>
            <w:pPr>
              <w:spacing w:before="0" w:after="0" w:line="300" w:lineRule="auto"/>
              <w:jc w:val="both"/>
            </w:pPr>
          </w:p>
        </w:tc>
        <w:tc>
          <w:tcPr>
            <w:tcW w:w="3054" w:type="dxa"/>
          </w:tcPr>
          <w:p>
            <w:pPr>
              <w:spacing w:before="0" w:after="0" w:line="300" w:lineRule="auto"/>
              <w:jc w:val="both"/>
            </w:pPr>
          </w:p>
        </w:tc>
      </w:tr>
    </w:tbl>
    <w:p>
      <w:pPr>
        <w:spacing w:before="0" w:after="0" w:line="300" w:lineRule="auto"/>
        <w:jc w:val="both"/>
      </w:pPr>
    </w:p>
    <w:p>
      <w:pPr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</w:p>
    <w:p>
      <w:pPr>
        <w:pStyle w:val="Heading1"/>
        <w:pBdr>
          <w:bottom w:val="single" w:sz="12" w:space="10" w:color="007614"/>
        </w:pBdr>
        <w:spacing w:before="0" w:after="480" w:line="300" w:lineRule="auto"/>
        <w:jc w:val="center"/>
      </w:pPr>
      <w:bookmarkStart w:id="1" w:name="_h0"/>
      <w:r>
        <w:rPr>
          <w:rFonts w:ascii="Barlow Condensed" w:hAnsi="Barlow Condensed" w:cs="Barlow Condensed" w:eastAsia="Barlow Condensed"/>
          <w:b/>
          <w:bCs/>
          <w:color w:val="01366F"/>
          <w:sz w:val="44"/>
          <w:szCs w:val="44"/>
        </w:rPr>
        <w:t xml:space="preserve">APRESENTAÇÃO</w:t>
      </w:r>
      <w:bookmarkEnd w:id="1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Plataforma de Inteligência Cooperativa com a Atenção Primária à Saúde (PICAPS) estrutura-se em quatro eixos de inovação: o Eixo Radar de Territórios (inovação social), o Eixo Teleorientação (inovação educacional), o Eixo Inteligência Epidemiológica (inovação em serviços) e o Eixo Saúde Digital (inovação digital). Cada eixo opera com objetivos, ferramentas e atores relativamente distintos. O que os unifica, e o que faz com que sua soma produza algo maior do que quatro iniciativas paralelas, é a Inteligência Territorial (IT).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Inteligência Territorial não é um quinto eixo da PICAPS. É um eixo transversal que, ao mesmo tempo em que produz conhecimento sobre o território, planeja, delibera e orienta os outros quatro. É ela que conduz a aplicação integrada das cinco dimensões analíticas dos Diálogos Prospectivos Territoriais (DPT), convertendo dados dispersos em diagnóstico territorial qualificado, em conhecimento acionável e em planos de ação.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Este protocolo tem uma finalidade precisa: articular a vigilância epidemiológica tradicional e a vigilância popular em saúde de modo que o território tenha preponderância nesse fluxo.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As duas vigilâncias correm hoje em paralelo. A tradicional, operada pelo Estado, produz dados padronizados, comparáveis e com força legal, mas não vê o que não chega aos serviços, o que não tem código e o que acontece entre uma visita e outra. A popular, exercida pelos moradores, vê o que os sistemas não veem, no momento em que acontece e nas categorias do próprio território, mas permanece invisível para as instituições quando não tem canais pactuados, tradução e retorno (MACHADO et al., 2024; OLIVEIRA et al., 2024). A PICAPS existe para integrá-las, e o protocolo organiza essa integração em três compromissos:</w:t>
      </w:r>
    </w:p>
    <w:p>
      <w:pPr>
        <w:pStyle w:val="ListParagraph"/>
        <w:numPr>
          <w:ilvl w:val="0"/>
          <w:numId w:val="12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Visibilização social: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tornar visível, nas arenas em que se decide, o que o território sabe e os sistemas oficiais não registram. A cartografia social é o instrumento central desse compromisso.</w:t>
      </w:r>
    </w:p>
    <w:p>
      <w:pPr>
        <w:pStyle w:val="ListParagraph"/>
        <w:numPr>
          <w:ilvl w:val="0"/>
          <w:numId w:val="12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Empoderamento: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fortalecer a capacidade do território de ler a própria realidade, nomear seus problemas, contestar os dados que o descrevem e agir sobre suas condições de vida (FREIRE, 1987).</w:t>
      </w:r>
    </w:p>
    <w:p>
      <w:pPr>
        <w:pStyle w:val="ListParagraph"/>
        <w:numPr>
          <w:ilvl w:val="0"/>
          <w:numId w:val="12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Governança participativa: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dar ao território, por meio das Salas de Cooperação Social (SCS), a primeira e a última palavra sobre o que se vigia, como se interpretam os dados e o que se exige dos serviços e da gestão.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Com base nessa finalidade, cabe à IT definir as prioridades do ecossistema, orientar o que deve ser observado e registrado pelas duas vigilâncias, estruturar a formação dos pesquisadores populares e das equipes, governar os dados e deliberar sobre os encaminhamentos aos serviços e à gestão. Sem ela, cada eixo funciona isolado: o Radar coleta dados sem interpretação; a Teleorientação forma sem articular redes nem dar-lhes sustentabilidade; a Inteligência Epidemiológica analisa sem contexto, presa ao paradigma biomédico; e a Saúde Digital desenvolve plataformas desterritorializadas e sem governança.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documento tem três objetivos articulados. O primeiro é sustentar teórica e metodologicamente o conceito de IT e sua relação com as duas vigilâncias (Parte I). O segundo é demonstrar como a IT atravessa os quatro eixos sem se confundir com nenhum deles (Partes II e III). O terceiro é apresentar o protocolo de atuação: a implantação, os instrumentos de leitura do território, o ciclo operacional, os papéis, a temporalidade, a governança, os indicadores e as condições de sustentabilidade (Parte IV).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Três instrumentos de leitura sustentam o protocolo. Dois são documentados em projetos próprios, com os quais este texto é coerente: o Índice de Necessidade de Saúde (INS), que compara territórios para fins de alocação (MACHINER et al., 2026); o Índice de Vulnerabilidade Territorial (IVT), que lê a vulnerabilidade dentro de cada território (FIOCRUZ BRASÍLIA, 2026a). O terceiro é o Painel de Vigilância Integrada (PVI), especificado neste protocolo, que acompanha mês a mês os sinais das duas vigilâncias e a resposta que recebem.</w:t>
      </w:r>
    </w:p>
    <w:p>
      <w:pPr>
        <w:spacing w:before="0" w:after="140" w:line="300" w:lineRule="auto"/>
        <w:jc w:val="both"/>
        <w:sectPr>
          <w:headerReference w:type="default" r:id="rId28"/>
          <w:headerReference w:type="even" r:id="rId28"/>
          <w:footerReference w:type="default" r:id="rId27"/>
          <w:footerReference w:type="even" r:id="rId27"/>
          <w:type w:val="nextPage"/>
          <w:pgSz w:w="11906" w:h="16838"/>
          <w:pgMar w:top="1700" w:right="1531" w:bottom="1700" w:left="1531" w:header="850" w:footer="330" w:gutter="0"/>
          <w:cols w:space="720"/>
          <w:docGrid w:linePitch="360"/>
        </w:sectPr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protocolo é acompanhado do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Protocolo Operacional da Inteligência Territorial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(FIOCRUZ BRASÍLIA, 2026d), guia metodológico de atuação que desdobra a Parte IV em procedimentos, roteiros e listas de verificação, e de uma aplicação interativa que roda no navegador. Os dois documentos são coerentes entre si: as regras, os instrumentos, as fases, os papéis, os ritmos e os indicadores são os mesmos.</w:t>
      </w:r>
    </w:p>
    <w:p>
      <w:pPr>
        <w:spacing w:before="0" w:after="0" w:line="700" w:lineRule="exact"/>
        <w:jc w:val="both"/>
      </w:pPr>
    </w:p>
    <w:p>
      <w:pPr>
        <w:spacing w:before="0" w:after="420" w:line="28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FFFFFF"/>
          <w:sz w:val="17"/>
          <w:szCs w:val="17"/>
          <w:shd w:val="clear" w:color="auto" w:fill="007614"/>
        </w:rPr>
        <w:t xml:space="preserve">  PARTE I  </w:t>
      </w:r>
    </w:p>
    <w:p>
      <w:pPr>
        <w:pStyle w:val="Heading1"/>
        <w:spacing w:before="0" w:after="0" w:line="860" w:lineRule="exact"/>
        <w:jc w:val="left"/>
        <w:sectPr>
          <w:headerReference w:type="default" r:id="rId29"/>
          <w:headerReference w:type="even" r:id="rId29"/>
          <w:footerReference w:type="default" r:id="rId27"/>
          <w:footerReference w:type="even" r:id="rId27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bookmarkStart w:id="2" w:name="_h1"/>
      <w:r>
        <w:rPr>
          <w:rFonts w:ascii="Barlow Condensed" w:hAnsi="Barlow Condensed" w:cs="Barlow Condensed" w:eastAsia="Barlow Condensed"/>
          <w:b/>
          <w:bCs/>
          <w:color w:val="01366F"/>
          <w:sz w:val="80"/>
          <w:szCs w:val="80"/>
        </w:rPr>
        <w:t xml:space="preserve">Fundamentos</w:t>
      </w:r>
      <w:r>
        <w:br/>
      </w:r>
      <w:r>
        <w:rPr>
          <w:rFonts w:ascii="Barlow Condensed" w:hAnsi="Barlow Condensed" w:cs="Barlow Condensed" w:eastAsia="Barlow Condensed"/>
          <w:b/>
          <w:bCs/>
          <w:color w:val="007614"/>
          <w:sz w:val="80"/>
          <w:szCs w:val="80"/>
        </w:rPr>
        <w:t xml:space="preserve">teórico-metodológicos</w:t>
      </w:r>
      <w:bookmarkEnd w:id="2"/>
    </w:p>
    <w:p>
      <w:pPr>
        <w:pStyle w:val="Heading2"/>
        <w:keepNext/>
        <w:spacing w:before="360" w:after="120" w:line="264" w:lineRule="auto"/>
        <w:jc w:val="left"/>
      </w:pPr>
      <w:bookmarkStart w:id="3" w:name="_h2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1.1 Três tradições matriciais</w:t>
      </w:r>
      <w:bookmarkEnd w:id="3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conceito de Inteligência Territorial emerge na confluência de três tradições intelectuais que, embora originárias de campos distintos, convergem para uma compreensão comum: o território não é um dado neutro da realidade, mas uma produção social ativa que concentra e distribui poder, saúde e possibilidades de vida. O território não é, portanto, objeto de estudo externo à PICAPS, mas sujeito ativo da produção de conhecimento, premissa com implicações diretas para a metodologia e para a operação de toda a Plataforma.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Geografia crítica.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Em Milton Santos (2002), o território é compreendido como espaço usado: não o espaço físico em si, mas a apropriação social, cultural, econômica e política que os coletivos humanos fazem dele. Um território não existe independentemente dos sujeitos que o habitam e o produzem; é, simultaneamente, produto e produtor das relações sociais. Raffestin (1993) radicaliza essa perspectiva ao demonstrar que o território resulta sempre da ação de um ator sintagmático: territorializar é, antes de tudo, um ato de poder-saber. Lefebvre (1991) completa o quadro com a tríade do espaço percebido (práticas espaciais), concebido (representações dos planejadores) e vivido (o cotidiano que negocia com as imposições estruturais). A IT situa-se precisamente na tensão entre o que os sistemas oficiais concebem sobre o território e o que os moradores percebem e vivem nele. Essa tensão é, também, a tensão entre a vigilância tradicional e a popular.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4" w:name="_f_geo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Geografia crítica e Inteligência Territorial</w:t>
            </w:r>
            <w:bookmarkEnd w:id="4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600289"/>
                  <wp:effectExtent l="0" t="0" r="0" b="0"/>
                  <wp:docPr id="5" name="img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g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600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Pesquisa-ação participativa e ciência cidadã.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Diferentemente da inteligência coletiva, que descreve propriedades emergentes de sistemas conectados e tende à homogeneização dos saberes (LÉVY, 1994), a inteligência cooperativa que funda a PICAPS é uma prática deliberada, estruturada e governada de produção conjunta de conhecimento entre sujeitos que mantêm identidades e perspectivas epistêmicas distintas. Fals Borda (1985) e Thiollent (2011) mostram que a cooperação cognitiva não se produz pela mera conexão de agentes: requer protocolos de diálogo, arenas de deliberação, reconhecimento mútuo e compromisso com a transformação. A ciência pós-normal formaliza esse arranjo no conceito de comunidade de pares estendida: em problemas de alta complexidade e elevados valores em jogo, a avaliação da qualidade do conhecimento deve incluir todos os atores afetados (FUNTOWICZ; RAVETZ, 1993). A ecologia de saberes exige que a cooperação preserve a distinção entre os saberes envolvidos: não se trata de fundir o saber popular ao científico, mas de fazê-los cooperar sem que um domestique o outro (SANTOS, 2019).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5" w:name="_f_coop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2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Inteligência cooperativa e território</w:t>
            </w:r>
            <w:bookmarkEnd w:id="5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792437"/>
                  <wp:effectExtent l="0" t="0" r="0" b="0"/>
                  <wp:docPr id="7" name="img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g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79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Tecnologias sociais e epidemiologia crítica.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Para Dagnino (2014), tecnologia social é o produto, a técnica ou a metodologia reaplicável desenvolvida na interação com a comunidade e voltada à transformação social, definição que recusa a transferência unilateral de conhecimento da academia para os territórios. No campo da saúde, essa tradição converge com a epidemiologia crítica latino-americana, para a qual o adoecimento não é disfunção individual, mas processo histórico-social inscrito nos territórios (LAURELL, 1982; BREILH, 2006). Se a epidemiologia crítica demonstra que as condições de vida determinam a saúde, a teoria das tecnologias sociais demonstra que as ferramentas para conhecer e transformar essas condições precisam ser desenvolvidas de dentro dos territórios.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6" w:name="_f_tec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3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Tecnologias sociais e epidemiologia crítica</w:t>
            </w:r>
            <w:bookmarkEnd w:id="6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972015"/>
                  <wp:effectExtent l="0" t="0" r="0" b="0"/>
                  <wp:docPr id="9" name="img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g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972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7" w:name="_h3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1.2 Definição e dimensões da Inteligência Territorial</w:t>
      </w:r>
      <w:bookmarkEnd w:id="7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conceito que sintetiza as três tradições e ancora a PICAPS é o de Inteligência Territorial: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capacidade cooperativa de um território, constituída na articulação deliberada e estruturada entre saberes técnico-científicos e saberes nativos, sob governança comunitária, de produzir, processar, interpretar, planejar e agir sobre o conhecimento relevante às suas condições de vida e saúde, com soberania territorial sobre os dados e os fins dessa produção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(MARTINS et al., 2024; GALLO; NASCIMENTO, 2019).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8" w:name="_f_def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4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Definição de Inteligência Territorial e o que ela herda de cada tradição</w:t>
            </w:r>
            <w:bookmarkEnd w:id="8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3264728"/>
                  <wp:effectExtent l="0" t="0" r="0" b="0"/>
                  <wp:docPr id="11" name="img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g1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3264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IT é inteligência cooperativa, mas não meramente coletiva: não emerge da simples conexão de agentes, mas de protocolos deliberados que preservam a heterogeneidade das perspectivas, submetem o conhecimento produzido à deliberação de quem vive as condições que ele descreve e estão comprometidos com a transformação, e não apenas com a descrição. Ela tem quatro dimensões constitutivas, sintetizadas no Quadro 1.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9" w:name="_f_naocoletiva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5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A IT é inteligência cooperativa, mas não meramente coletiva</w:t>
            </w:r>
            <w:bookmarkEnd w:id="9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1217538"/>
                  <wp:effectExtent l="0" t="0" r="0" b="0"/>
                  <wp:docPr id="13" name="img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g1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1217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keepNext/>
        <w:spacing w:before="200" w:after="100" w:line="264" w:lineRule="auto"/>
        <w:jc w:val="left"/>
      </w:pPr>
      <w:bookmarkStart w:id="10" w:name="_q_dimensoe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Dimensões constitutivas da Inteligência Territorial</w:t>
      </w:r>
      <w:bookmarkEnd w:id="10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326"/>
        <w:gridCol w:w="1768"/>
        <w:gridCol w:w="3360"/>
        <w:gridCol w:w="2390"/>
      </w:tblGrid>
      <w:tr>
        <w:trPr>
          <w:tblHeader/>
          <w:cantSplit/>
        </w:trPr>
        <w:tc>
          <w:tcPr>
            <w:tcW w:w="132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DIMENSÃO</w:t>
            </w:r>
          </w:p>
        </w:tc>
        <w:tc>
          <w:tcPr>
            <w:tcW w:w="176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PERGUNTA-CHAVE</w:t>
            </w:r>
          </w:p>
        </w:tc>
        <w:tc>
          <w:tcPr>
            <w:tcW w:w="336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ENVOLVE</w:t>
            </w:r>
          </w:p>
        </w:tc>
        <w:tc>
          <w:tcPr>
            <w:tcW w:w="239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INSTRUMENTOS NA PICAPS</w:t>
            </w:r>
          </w:p>
        </w:tc>
      </w:tr>
      <w:tr>
        <w:trPr>
          <w:cantSplit/>
        </w:trPr>
        <w:tc>
          <w:tcPr>
            <w:tcW w:w="132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Cognitiva</w:t>
            </w:r>
          </w:p>
        </w:tc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está acontecendo aqui?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Produção de conhecimento territorial pelas duas vigilâncias: dados primários (vigilância popular, cartografia social) e secundários (sistemas oficiais)</w:t>
            </w:r>
          </w:p>
        </w:tc>
        <w:tc>
          <w:tcPr>
            <w:tcW w:w="239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DPT, dimensões 1 a 4; INS; IVT; Plataforma Ágora; sistemas de informação do SUS</w:t>
            </w:r>
          </w:p>
        </w:tc>
      </w:tr>
      <w:tr>
        <w:trPr>
          <w:cantSplit/>
        </w:trPr>
        <w:tc>
          <w:tcPr>
            <w:tcW w:w="132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Deliberativa</w:t>
            </w:r>
          </w:p>
        </w:tc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priorizamos e por quê?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Interpretação coletiva dos achados; validação e contestação dos dados oficiais e populares; priorização pela Matriz UIC (urgência, impacto e capacidade de agência); formulação do Plano Popular</w:t>
            </w:r>
          </w:p>
        </w:tc>
        <w:tc>
          <w:tcPr>
            <w:tcW w:w="239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Reuniões deliberativas da SCS; Matriz de Tradução Epistêmica Intercultural (MTEI); Painel de Vigilância Integrada</w:t>
            </w:r>
          </w:p>
        </w:tc>
      </w:tr>
      <w:tr>
        <w:trPr>
          <w:cantSplit/>
        </w:trPr>
        <w:tc>
          <w:tcPr>
            <w:tcW w:w="132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Estratégica</w:t>
            </w:r>
          </w:p>
        </w:tc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Como queremos que seja e o que vamos fazer?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Cenários prospectivos; Plano Popular; planejamento estratégico situacional; mobilização de recursos e atores; exigência de resposta</w:t>
            </w:r>
          </w:p>
        </w:tc>
        <w:tc>
          <w:tcPr>
            <w:tcW w:w="239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DPT, dimensão 5; Três Horizontes (SHARPE, 2013); PES (MATUS, 1987)</w:t>
            </w:r>
          </w:p>
        </w:tc>
      </w:tr>
      <w:tr>
        <w:trPr>
          <w:cantSplit/>
        </w:trPr>
        <w:tc>
          <w:tcPr>
            <w:tcW w:w="132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Reflexiva</w:t>
            </w:r>
          </w:p>
        </w:tc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aprendemos e como melhoramos?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Avaliação da articulação entre as vigilâncias; análise qualitativa; revisão das categorias de observação e do currículo; atualização metodológica</w:t>
            </w:r>
          </w:p>
        </w:tc>
        <w:tc>
          <w:tcPr>
            <w:tcW w:w="239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Relatório de Ciclo; validação de conteúdo do IVT; Franquia Social Metodológica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As quatro dimensões operam o Ciclo de Inteligência Territorial (CIT): o aprendizado reflexivo alimenta a produção cognitiva do ciclo seguinte, que alimenta a deliberação, a estratégia e assim sucessivamente.</w:t>
      </w:r>
    </w:p>
    <w:p>
      <w:pPr>
        <w:pStyle w:val="Heading2"/>
        <w:keepNext/>
        <w:spacing w:before="360" w:after="120" w:line="264" w:lineRule="auto"/>
        <w:jc w:val="left"/>
      </w:pPr>
      <w:bookmarkStart w:id="11" w:name="_h4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1.3 Vigilância tradicional, vigilância popular e vigilância integrada territorial</w:t>
      </w:r>
      <w:bookmarkEnd w:id="11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IT não é uma versão sofisticada da vigilância epidemiológica tradicional, nem sua substituta. A Política Nacional de Vigilância em Saúde estabelece a integração da vigilância com a atenção primária e a participação da comunidade como diretrizes (CONSELHO NACIONAL DE SAÚDE, 2018), e a tradição brasileira da vigilância da saúde já propunha organizar as práticas sanitárias a partir dos problemas do território (TEIXEIRA; PAIM; VILASBÔAS, 1998). A vigilância popular em saúde, por sua vez, reconhece os moradores como sujeitos da observação, da interpretação e da ação, e não como fontes de dados (MACHADO et al., 2024). A IT organiza a cooperação entre as duas, que têm forças e limites complementares, conforme o Quadro 2.</w:t>
      </w:r>
    </w:p>
    <w:p>
      <w:pPr>
        <w:keepNext/>
        <w:spacing w:before="200" w:after="100" w:line="264" w:lineRule="auto"/>
        <w:jc w:val="left"/>
      </w:pPr>
      <w:bookmarkStart w:id="12" w:name="_q_vigilancia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2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Vigilância tradicional, vigilância popular e vigilância integrada territorial</w:t>
      </w:r>
      <w:bookmarkEnd w:id="12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415"/>
        <w:gridCol w:w="2476"/>
        <w:gridCol w:w="2476"/>
        <w:gridCol w:w="2477"/>
      </w:tblGrid>
      <w:tr>
        <w:trPr>
          <w:tblHeader/>
          <w:cantSplit/>
        </w:trPr>
        <w:tc>
          <w:tcPr>
            <w:tcW w:w="141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DIMENSÃO</w:t>
            </w:r>
          </w:p>
        </w:tc>
        <w:tc>
          <w:tcPr>
            <w:tcW w:w="247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VIGILÂNCIA EPIDEMIOLÓGICA TRADICIONAL</w:t>
            </w:r>
          </w:p>
        </w:tc>
        <w:tc>
          <w:tcPr>
            <w:tcW w:w="247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VIGILÂNCIA POPULAR EM SAÚDE</w:t>
            </w:r>
          </w:p>
        </w:tc>
        <w:tc>
          <w:tcPr>
            <w:tcW w:w="247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VIGILÂNCIA INTEGRADA TERRITORIAL (IT NA PICAPS)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Quem observa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Profissionais e serviços do SUS, segundo normas nacionais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Moradores e pesquisadores populares, a partir da experiência do território</w:t>
            </w:r>
          </w:p>
        </w:tc>
        <w:tc>
          <w:tcPr>
            <w:tcW w:w="247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Os dois, em cooperação, na Sala de Cooperação Social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O que observa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Agravos de notificação, óbitos, nascimentos, atendimentos, vetores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Condições de vida, riscos e eventos que não chegam aos serviços ou não têm código</w:t>
            </w:r>
          </w:p>
        </w:tc>
        <w:tc>
          <w:tcPr>
            <w:tcW w:w="247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Os dois fluxos sobre o mesmo mapa, com atenção ao que só um deles vê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Categorias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Padronizadas e comparáveis (CID, fichas de notificação)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Do território, situadas e abertas a eventos não previstos</w:t>
            </w:r>
          </w:p>
        </w:tc>
        <w:tc>
          <w:tcPr>
            <w:tcW w:w="247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Traduzidas entre si pela MTEI, sem que uma subordine a outra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Força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Comparabilidade, cobertura legal, séries históricas, obrigação de resposta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Oportunidade, granularidade, visibilidade do não registrado</w:t>
            </w:r>
          </w:p>
        </w:tc>
        <w:tc>
          <w:tcPr>
            <w:tcW w:w="247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Antecipação, correção mútua e exigibilidade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Limite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Cega ao que não chega ao serviço; reativa; sub-registro desigual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Invisível às instituições sem canais e sem retorno; sujeita a sobrecarga</w:t>
            </w:r>
          </w:p>
        </w:tc>
        <w:tc>
          <w:tcPr>
            <w:tcW w:w="247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Depende de pactuação com os serviços e da sustentabilidade da participação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Quem decide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Gestão e serviços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território, sem poder formal sobre a resposta</w:t>
            </w:r>
          </w:p>
        </w:tc>
        <w:tc>
          <w:tcPr>
            <w:tcW w:w="247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território delibera prioridades; serviços e gestão respondem, e a resposta é registrada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Relação com a ação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Análise informa a gestão; a comunidade pode ser informada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Ação comunitária e reivindicação</w:t>
            </w:r>
          </w:p>
        </w:tc>
        <w:tc>
          <w:tcPr>
            <w:tcW w:w="247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Análise, deliberação e ação no mesmo espaço (SCS), com prazos e registro</w:t>
            </w:r>
          </w:p>
        </w:tc>
      </w:tr>
    </w:tbl>
    <w:p>
      <w:pPr>
        <w:spacing w:before="60" w:after="220" w:line="240" w:lineRule="auto"/>
        <w:jc w:val="left"/>
      </w:pPr>
      <w:r>
        <w:rPr>
          <w:rFonts w:ascii="Barlow SemiBold" w:hAnsi="Barlow SemiBold" w:cs="Barlow SemiBold" w:eastAsia="Barlow SemiBold"/>
          <w:color w:val="01366F"/>
          <w:sz w:val="15"/>
          <w:szCs w:val="15"/>
        </w:rPr>
        <w:t xml:space="preserve">Fonte:</w:t>
      </w:r>
      <w:r>
        <w:rPr>
          <w:rFonts w:ascii="Barlow" w:hAnsi="Barlow" w:cs="Barlow" w:eastAsia="Barlow"/>
          <w:color w:val="5F6B76"/>
          <w:sz w:val="15"/>
          <w:szCs w:val="15"/>
        </w:rPr>
        <w:t xml:space="preserve"> elaborado com base em Teixeira, Paim e Vilasbôas (1998), Machado et al. (2024) e Oliveira et al. (2024).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preponderância do território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não significa que o território decide sozinho nem que o conhecimento técnico é dispensável. Significa cinco coisas operacionais, que o protocolo traduz em regras:</w:t>
      </w:r>
    </w:p>
    <w:p>
      <w:pPr>
        <w:pStyle w:val="ListParagraph"/>
        <w:numPr>
          <w:ilvl w:val="0"/>
          <w:numId w:val="13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Agenda: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SCS define, a cada ciclo, que agravos, condições e eventos as duas vigilâncias acompanharão com prioridade no território.</w:t>
      </w:r>
    </w:p>
    <w:p>
      <w:pPr>
        <w:pStyle w:val="ListParagraph"/>
        <w:numPr>
          <w:ilvl w:val="0"/>
          <w:numId w:val="13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Validação: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SCS examina os dados oficiais e os populares e pode contestá-los; contestações fundamentadas são registradas e encaminhadas.</w:t>
      </w:r>
    </w:p>
    <w:p>
      <w:pPr>
        <w:pStyle w:val="ListParagraph"/>
        <w:numPr>
          <w:ilvl w:val="0"/>
          <w:numId w:val="13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Interpretação: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nenhum dado, índice ou painel aciona ação por si; aciona uma pergunta para a SCS.</w:t>
      </w:r>
    </w:p>
    <w:p>
      <w:pPr>
        <w:pStyle w:val="ListParagraph"/>
        <w:numPr>
          <w:ilvl w:val="0"/>
          <w:numId w:val="13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Exigibilidade: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encaminhamentos têm prazo e responsável, e toda resposta, ou ausência de resposta, dos serviços e da gestão é registrada e devolvida.</w:t>
      </w:r>
    </w:p>
    <w:p>
      <w:pPr>
        <w:pStyle w:val="ListParagraph"/>
        <w:numPr>
          <w:ilvl w:val="0"/>
          <w:numId w:val="13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Primazia da devolução: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 território conhece os resultados sobre si antes de qualquer outro destinatário.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Figura 6 resume esse arranjo: os dois fluxos de sinais são postos no mesmo mapa, a Sala decide e os serviços e a gestão respondem.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13" w:name="_f_metodo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6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Duas vigilâncias, um mapa, uma Sala que decide</w:t>
            </w:r>
            <w:bookmarkEnd w:id="13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3632862"/>
                  <wp:effectExtent l="0" t="0" r="0" b="0"/>
                  <wp:docPr id="15" name="img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g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36328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14" w:name="_h5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1.4 Visibilização social, empoderamento e governança participativa</w:t>
      </w:r>
      <w:bookmarkEnd w:id="14"/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Visibilização social.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sistemas oficiais registram o que chega aos serviços e o que cabe em suas categorias. O que não chega (o domicílio não cadastrado, a rua que alaga e não consta do mapa de risco, a família pobre fora do Cadastro Único, o foco de vetor em terreno abandonado) permanece invisível e, por isso, fora das decisões. A cartografia social é o instrumento pelo qual o território torna visível esse conhecimento: produz mapas e narrativas que funcionam como objetos-fronteira, isto é, artefatos estáveis o bastante para circular entre moradores, profissionais e gestores e flexíveis o bastante para serem interpretados por cada um segundo suas necessidades (STAR; GRIESEMER, 1989). Visibilizar, porém, não basta. O protocolo prevê que as invisibilidades identificadas sejam verificadas em conjunto com os serviços e incorporadas aos sistemas oficiais (seção 4.5, Fase 4). É assim que o conhecimento do território passa a constar dos registros que orientam a alocação e a resposta.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Empoderamento.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capacidade de participar preexiste a qualquer formação: os moradores participam da IT porque vivem as condições que ela acompanha. O que a PICAPS oferece são ferramentas que os próprios moradores podem escolher mobilizar para que seu conhecimento circule com mais força: protocolos de registro, cartografia, leitura crítica de dados, conhecimento dos fluxos dos serviços. Na perspectiva da educação popular (FREIRE, 1987), empoderar não é preparar os moradores para operar o sistema, mas fortalecer sua capacidade de questioná-lo, inclusive a própria PICAPS. O protocolo trata com o mesmo cuidado o risco inverso: participação não é sinônimo de emancipação, e espaços participativos podem reproduzir assimetrias de voz e sobrecarregar lideranças (TRAD; ESPERIDIÃO, 2009). Por isso, o Painel de Vigilância Integrada acompanha quem participa, e a Parte IV prevê contramedidas para a fadiga e a captura tecnocrática.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Governança participativa.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Entende-se por governança participativa a capacidade de um espaço coletivo de deliberar e de influenciar decisões que não controla diretamente (TRAD; ESPERIDIÃO, 2009). Nas SCS, essa capacidade expressa-se em duas funções: a vigilância popular, que produz e encaminha alertas, e a articulação do Plano Popular, que leva as prioridades do território às instâncias de decisão segundo a lógica do planejamento estratégico situacional (MATUS, 1987). O protocolo dá a essa influência a forma de exigibilidade: prazos, registro das respostas e escalonamento quando a resposta não vem.</w:t>
      </w:r>
    </w:p>
    <w:p>
      <w:pPr>
        <w:pStyle w:val="Heading2"/>
        <w:keepNext/>
        <w:spacing w:before="360" w:after="120" w:line="264" w:lineRule="auto"/>
        <w:jc w:val="left"/>
      </w:pPr>
      <w:bookmarkStart w:id="15" w:name="_h6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1.5 Compromisso com a transformação</w:t>
      </w:r>
      <w:bookmarkEnd w:id="15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compromisso com a transformação inscreve-se em uma tradição brasileira e latino-americana que, desde a epidemiologia crítica, afirma que o processo saúde-doença é socialmente determinado (LAURELL, 1982; BREILH, 2006; BUSS; PELLEGRINI FILHO, 2007). A Saúde Coletiva consolidou o princípio de que a produção de conhecimento em saúde é inseparável do desenvolvimento da consciência crítica e da capacidade de ação coletiva dos sujeitos sobre suas condições de vida (AROUCA, 2003). A Reforma Sanitária e a criação do SUS inscreveram formalmente esse princípio: saúde é bem público produzido com participação social e controle comunitário (PAIM, 2018).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PICAPS não inventa a Inteligência Territorial. Sistematiza, instrumentaliza e escala uma capacidade que as comunidades periféricas brasileiras historicamente exerceram: ler o próprio território, nomear suas vulnerabilidades e organizar respostas coletivas. O que a Plataforma oferece, por meio de protocolos, infraestrutura digital, formação e articulação institucional, não é legitimidade, que preexiste a qualquer certificação. É a possibilidade de que o conhecimento que os territórios já produzem se torne visível e disputável nas arenas onde as decisões sobre saúde são tomadas, nos termos que os próprios territórios definem e governam.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16" w:name="_f_papel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7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O papel da PICAPS</w:t>
            </w:r>
            <w:bookmarkEnd w:id="16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1738315"/>
                  <wp:effectExtent l="0" t="0" r="0" b="0"/>
                  <wp:docPr id="17" name="img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g1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1738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  <w:sectPr>
          <w:headerReference w:type="default" r:id="rId30"/>
          <w:headerReference w:type="even" r:id="rId31"/>
          <w:footerReference w:type="default" r:id="rId32"/>
          <w:footerReference w:type="even" r:id="rId33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</w:p>
    <w:p>
      <w:pPr>
        <w:spacing w:before="0" w:after="0" w:line="700" w:lineRule="exact"/>
        <w:jc w:val="both"/>
      </w:pPr>
    </w:p>
    <w:p>
      <w:pPr>
        <w:spacing w:before="0" w:after="420" w:line="28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FFFFFF"/>
          <w:sz w:val="17"/>
          <w:szCs w:val="17"/>
          <w:shd w:val="clear" w:color="auto" w:fill="007614"/>
        </w:rPr>
        <w:t xml:space="preserve">  PARTE II  </w:t>
      </w:r>
    </w:p>
    <w:p>
      <w:pPr>
        <w:pStyle w:val="Heading1"/>
        <w:spacing w:before="0" w:after="0" w:line="860" w:lineRule="exact"/>
        <w:jc w:val="left"/>
        <w:sectPr>
          <w:headerReference w:type="default" r:id="rId29"/>
          <w:headerReference w:type="even" r:id="rId29"/>
          <w:footerReference w:type="default" r:id="rId27"/>
          <w:footerReference w:type="even" r:id="rId27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bookmarkStart w:id="17" w:name="_h7"/>
      <w:r>
        <w:rPr>
          <w:rFonts w:ascii="Barlow Condensed" w:hAnsi="Barlow Condensed" w:cs="Barlow Condensed" w:eastAsia="Barlow Condensed"/>
          <w:b/>
          <w:bCs/>
          <w:color w:val="01366F"/>
          <w:sz w:val="80"/>
          <w:szCs w:val="80"/>
        </w:rPr>
        <w:t xml:space="preserve">A transversalidade da</w:t>
      </w:r>
      <w:r>
        <w:br/>
      </w:r>
      <w:r>
        <w:rPr>
          <w:rFonts w:ascii="Barlow Condensed" w:hAnsi="Barlow Condensed" w:cs="Barlow Condensed" w:eastAsia="Barlow Condensed"/>
          <w:b/>
          <w:bCs/>
          <w:color w:val="007614"/>
          <w:sz w:val="80"/>
          <w:szCs w:val="80"/>
        </w:rPr>
        <w:t xml:space="preserve">Inteligência Territorial</w:t>
      </w:r>
      <w:bookmarkEnd w:id="17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conceito de transversalidade tem origem na filosofia institucional de Guattari (1972), como alternativa tanto à verticalidade hierárquica, que organiza as relações de cima para baixo, quanto à horizontalidade homogeneizante, que as organiza como se todos fossem iguais. A transversalidade é uma diagonal que conecta elementos heterogêneos sem os subordinar nem os fundir. No campo da saúde brasileira, Campos (2000) operacionalizou o conceito no apoio matricial e no Método Paideia: a saúde emerge da intersecção de práticas, saberes e responsabilidades que precisam comunicar-se sem se fundir.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18" w:name="_f_transv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8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Inteligência Territorial como transversalidade</w:t>
            </w:r>
            <w:bookmarkEnd w:id="18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214196"/>
                  <wp:effectExtent l="0" t="0" r="0" b="0"/>
                  <wp:docPr id="21" name="img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g2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214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Na PICAPS, é a IT que opera essa transversalidade de forma ativa: não é uma especialidade, um setor, uma fase do projeto nem uma propriedade passiva que emerge quando os eixos se comunicam. Ela processa o que o Radar capta, orienta o que a Teleorientação forma, direciona o que a Inteligência Epidemiológica analisa e governa o que a Saúde Digital desenvolve. É, ao mesmo tempo, a diagonal que conecta os quatro eixos e o operador que, com base no que produz a partir deles, planeja e orienta o sistema como um todo.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19" w:name="_f_diagonal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9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A IT na PICAPS: diagonal que conecta os quatro eixos</w:t>
            </w:r>
            <w:bookmarkEnd w:id="19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339901"/>
                  <wp:effectExtent l="0" t="0" r="0" b="0"/>
                  <wp:docPr id="23" name="img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g2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33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Adicionar um quinto eixo seria metodologicamente equivocado. Um eixo tem domínio próprio, objetivo específico e fronteira identificável. A IT não tem nenhum desses atributos: seu domínio é o cruzamento dos outros quatro; seu objetivo não é um produto a entregar, mas a produção contínua de inteligência que orienta o sistema; sua fronteira é o sistema todo. Os quatro eixos são componentes operacionais: produzem dados, formam agentes, processam análises e mantêm a infraestrutura digital. A IT opera sobre esses insumos para produzir inteligência e, com base nela, orientar o sistema. Na ausência da IT, os eixos ficam sem direção comum, sem agenda integrada e sem capacidade de transformar dados em conhecimento acionável.</w:t>
      </w:r>
    </w:p>
    <w:p>
      <w:pPr>
        <w:keepNext/>
        <w:spacing w:before="200" w:after="100" w:line="264" w:lineRule="auto"/>
        <w:jc w:val="left"/>
      </w:pPr>
      <w:bookmarkStart w:id="20" w:name="_q_integracao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3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Mapa de integração da IT como eixo transversal</w:t>
      </w:r>
      <w:bookmarkEnd w:id="20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3"/>
        <w:gridCol w:w="2387"/>
        <w:gridCol w:w="2387"/>
        <w:gridCol w:w="2567"/>
      </w:tblGrid>
      <w:tr>
        <w:trPr>
          <w:tblHeader/>
          <w:cantSplit/>
        </w:trPr>
        <w:tc>
          <w:tcPr>
            <w:tcW w:w="1503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EIXO</w:t>
            </w:r>
          </w:p>
        </w:tc>
        <w:tc>
          <w:tcPr>
            <w:tcW w:w="238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FUNÇÃO NO SISTEMA</w:t>
            </w:r>
          </w:p>
        </w:tc>
        <w:tc>
          <w:tcPr>
            <w:tcW w:w="238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CONTRIBUIÇÃO PARA A IT</w:t>
            </w:r>
          </w:p>
        </w:tc>
        <w:tc>
          <w:tcPr>
            <w:tcW w:w="256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A IT PLANEJA, PRODUZ E ORIENTA NO EIXO</w:t>
            </w:r>
          </w:p>
        </w:tc>
      </w:tr>
      <w:tr>
        <w:trPr>
          <w:cantSplit/>
        </w:trPr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E1 – Radar de Territórios (inovação social)</w:t>
            </w:r>
          </w:p>
        </w:tc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Sensoriamento social: vigilância popular, cartografia social, alertas sentinela</w:t>
            </w:r>
          </w:p>
        </w:tc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matéria-prima que os sistemas oficiais não veem; sem o Radar, a IT opera apenas com dados secundários, cega às invisibilidades</w:t>
            </w:r>
          </w:p>
        </w:tc>
        <w:tc>
          <w:tcPr>
            <w:tcW w:w="256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 as categorias de alerta e os setores prioritários a partir do IVT e da agenda da SCS; revê as categorias com base no histórico de confirmação e nos eventos não previstos</w:t>
            </w:r>
          </w:p>
        </w:tc>
      </w:tr>
      <w:tr>
        <w:trPr>
          <w:cantSplit/>
        </w:trPr>
        <w:tc>
          <w:tcPr>
            <w:tcW w:w="150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E2 – Teleorientação (inovação educacional)</w:t>
            </w:r>
          </w:p>
        </w:tc>
        <w:tc>
          <w:tcPr>
            <w:tcW w:w="238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Formação dos pesquisadores populares e das equipes, em educação popular</w:t>
            </w:r>
          </w:p>
        </w:tc>
        <w:tc>
          <w:tcPr>
            <w:tcW w:w="238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capital humano: sem pesquisadores populares formados, a IT não tem agentes capazes de observar, registrar, interpretar e contestar</w:t>
            </w:r>
          </w:p>
        </w:tc>
        <w:tc>
          <w:tcPr>
            <w:tcW w:w="256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 o currículo a partir das lacunas identificadas no ciclo; forma também as equipes de APS e de vigilância para receber e responder à vigilância popular</w:t>
            </w:r>
          </w:p>
        </w:tc>
      </w:tr>
      <w:tr>
        <w:trPr>
          <w:cantSplit/>
        </w:trPr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E3 – Inteligência Epidemiológica (inovação em serviços)</w:t>
            </w:r>
          </w:p>
        </w:tc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Integração e análise dos dados oficiais e populares; cálculo do INS, do IVT e do Painel</w:t>
            </w:r>
          </w:p>
        </w:tc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rigor analítico: transforma dados em evidências defensáveis perante a gestão e a academia</w:t>
            </w:r>
          </w:p>
        </w:tc>
        <w:tc>
          <w:tcPr>
            <w:tcW w:w="256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 as prioridades analíticas; conduz as dimensões dos DPT; valida os achados com o território e devolve-os antes de publicá-los</w:t>
            </w:r>
          </w:p>
        </w:tc>
      </w:tr>
      <w:tr>
        <w:trPr>
          <w:cantSplit/>
        </w:trPr>
        <w:tc>
          <w:tcPr>
            <w:tcW w:w="150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E4 – Saúde Digital (inovação digital)</w:t>
            </w:r>
          </w:p>
        </w:tc>
        <w:tc>
          <w:tcPr>
            <w:tcW w:w="238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Plataforma Ágora, painéis, interoperabilidade com os sistemas do SUS</w:t>
            </w:r>
          </w:p>
        </w:tc>
        <w:tc>
          <w:tcPr>
            <w:tcW w:w="238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Escala e memória: sem infraestrutura digital, a IT seria local, manual e não cumulativa</w:t>
            </w:r>
          </w:p>
        </w:tc>
        <w:tc>
          <w:tcPr>
            <w:tcW w:w="256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Delibera sobre escopo, uso e publicização dos dados; define o desenho dos painéis para leitura na SCS; protege a soberania dos dados do território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21" w:name="_f_circular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10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A circularidade constitutiva</w:t>
            </w:r>
            <w:bookmarkEnd w:id="21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187260"/>
                  <wp:effectExtent l="0" t="0" r="0" b="0"/>
                  <wp:docPr id="25" name="img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g2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187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  <w:sectPr>
          <w:headerReference w:type="default" r:id="rId34"/>
          <w:headerReference w:type="even" r:id="rId35"/>
          <w:footerReference w:type="default" r:id="rId32"/>
          <w:footerReference w:type="even" r:id="rId33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IT, portanto, não é simplesmente o que os quatro eixos produzem juntos, mas o que os organiza e orienta com base na inteligência que produz a partir deles. Essa dupla circulação, insumos dos eixos para a IT e direção da IT para os eixos, é a circularidade constitutiva dos sistemas de inteligência cooperativa: o conhecimento que o território produz sobre si mesmo alimenta as decisões que transformam as condições que geraram esse conhecimento. Devolver ao território a inteligência que ele mesmo produziu, na forma de ação planejada, encaminhamento deliberado e poder sobre suas prioridades de saúde, é o que distingue a inteligência territorial do monitoramento tecnocrático.</w:t>
      </w:r>
    </w:p>
    <w:p>
      <w:pPr>
        <w:spacing w:before="0" w:after="0" w:line="700" w:lineRule="exact"/>
        <w:jc w:val="both"/>
      </w:pPr>
    </w:p>
    <w:p>
      <w:pPr>
        <w:spacing w:before="0" w:after="420" w:line="28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FFFFFF"/>
          <w:sz w:val="17"/>
          <w:szCs w:val="17"/>
          <w:shd w:val="clear" w:color="auto" w:fill="007614"/>
        </w:rPr>
        <w:t xml:space="preserve">  PARTE III  </w:t>
      </w:r>
    </w:p>
    <w:p>
      <w:pPr>
        <w:pStyle w:val="Heading1"/>
        <w:spacing w:before="0" w:after="0" w:line="860" w:lineRule="exact"/>
        <w:jc w:val="left"/>
        <w:sectPr>
          <w:headerReference w:type="default" r:id="rId29"/>
          <w:headerReference w:type="even" r:id="rId29"/>
          <w:footerReference w:type="default" r:id="rId27"/>
          <w:footerReference w:type="even" r:id="rId27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bookmarkStart w:id="22" w:name="_h8"/>
      <w:r>
        <w:rPr>
          <w:rFonts w:ascii="Barlow Condensed" w:hAnsi="Barlow Condensed" w:cs="Barlow Condensed" w:eastAsia="Barlow Condensed"/>
          <w:b/>
          <w:bCs/>
          <w:color w:val="01366F"/>
          <w:sz w:val="80"/>
          <w:szCs w:val="80"/>
        </w:rPr>
        <w:t xml:space="preserve">As interfaces da IT</w:t>
      </w:r>
      <w:r>
        <w:br/>
      </w:r>
      <w:r>
        <w:rPr>
          <w:rFonts w:ascii="Barlow Condensed" w:hAnsi="Barlow Condensed" w:cs="Barlow Condensed" w:eastAsia="Barlow Condensed"/>
          <w:b/>
          <w:bCs/>
          <w:color w:val="007614"/>
          <w:sz w:val="80"/>
          <w:szCs w:val="80"/>
        </w:rPr>
        <w:t xml:space="preserve">com os quatro eixos</w:t>
      </w:r>
      <w:bookmarkEnd w:id="22"/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23" w:name="_f_eixos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11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A Inteligência Territorial atravessa os quatro eixos da PICAPS</w:t>
            </w:r>
            <w:bookmarkEnd w:id="23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3444306"/>
                  <wp:effectExtent l="0" t="0" r="0" b="0"/>
                  <wp:docPr id="27" name="img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g2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3444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24" w:name="_h9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3.1 Eixo Radar de Territórios</w:t>
      </w:r>
      <w:bookmarkEnd w:id="24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Se a IT é a capacidade do território de conhecer a si mesmo, o Radar é o sistema sensorial que torna essa auto-observação possível. Ele capta sinais territoriais (alertas de eventos sanitários, ambientais e sociais, registros da cartografia social, dados primários da vigilância popular) que a IT processa e sobre os quais o território delibera. Haraway (1988) sustenta que o conhecimento não é produto de um observador neutro e desincorporado, mas emerge de perspectivas situadas e parciais. O Radar opera com perspectivas situadas por excelência: são os moradores que produzem os dados. Essa situacionalidade não é limitação, é a vantagem epistêmica do Radar sobre os sistemas oficiais, que operam com categorias externas ao território. Na articulação entre as vigilâncias, o Radar é o fluxo popular que o protocolo põe ao lado do fluxo tradicional.</w:t>
      </w:r>
    </w:p>
    <w:p>
      <w:pPr>
        <w:keepNext/>
        <w:spacing w:before="200" w:after="100" w:line="264" w:lineRule="auto"/>
        <w:jc w:val="left"/>
      </w:pPr>
      <w:bookmarkStart w:id="25" w:name="_q_radar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4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Interfaces operacionais entre a IT e o Eixo Radar de Territórios</w:t>
      </w:r>
      <w:bookmarkEnd w:id="25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768"/>
        <w:gridCol w:w="3537"/>
        <w:gridCol w:w="3539"/>
      </w:tblGrid>
      <w:tr>
        <w:trPr>
          <w:tblHeader/>
          <w:cantSplit/>
        </w:trPr>
        <w:tc>
          <w:tcPr>
            <w:tcW w:w="176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OPERAÇÃO</w:t>
            </w:r>
          </w:p>
        </w:tc>
        <w:tc>
          <w:tcPr>
            <w:tcW w:w="353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IT ORIENTA O RADAR</w:t>
            </w:r>
          </w:p>
        </w:tc>
        <w:tc>
          <w:tcPr>
            <w:tcW w:w="353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O RADAR ALIMENTA A IT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Definição das categorias de alerta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partir da agenda pactuada na SCS e do IVT, define quais categorias merecem acompanhamento prioritário em cada ciclo, evitando a coleta indiscriminada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sobre eventos não previstos forçam a ampliação do repertório de observação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Georreferenciamento e cartografia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Fornece o IVT por setor censitário como mapa-base sobre o qual os alertas e as notificações são localizados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cartografia social revela riscos que os dados oficiais não captam e, após verificação, corrige os mapas oficiais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Qualificação da vigilância popular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Analisa a confirmação dos alertas pelos serviços (PVI, indicador V3) e retroalimenta a formação sobre o que e como observar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não confirmados informam os limites da detecção e distinguem subnotificação real de alerta impreciso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Ativação da resposta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Delibera, na SCS, quais alertas acionam resposta imediata e quais alimentam o diagnóstico de médio prazo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críticos sem resposta são evidência de ruptura no fluxo alerta-resposta e insumo para advocacy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26" w:name="_h10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3.2 Eixo Teleorientação</w:t>
      </w:r>
      <w:bookmarkEnd w:id="26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Toda inteligência cooperativa pressupõe paridade epistêmica: a condição de que todos os participantes possam observar, interpretar, contestar e propor a partir de suas próprias categorias. Como discutido na seção 1.4, a Teleorientação não confere aos moradores a capacidade de participar, que preexiste à formação: oferece ferramentas. A tensão central é entre instrumentalização e emancipação: a Teleorientação só alimenta a IT de forma sustentável se operar na lógica da educação popular, fortalecendo a capacidade de questionar o próprio sistema, inclusive a PICAPS (FREIRE, 1987).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articulação entre as vigilâncias acrescenta uma tarefa formativa que a versão anterior não previa: formar também as equipes de APS e de Vigilância em Saúde para receber, traduzir e responder aos registros da vigilância popular. Sem essa formação, o fluxo popular chega aos serviços sem interlocutor.</w:t>
      </w:r>
    </w:p>
    <w:p>
      <w:pPr>
        <w:keepNext/>
        <w:spacing w:before="200" w:after="100" w:line="264" w:lineRule="auto"/>
        <w:jc w:val="left"/>
      </w:pPr>
      <w:bookmarkStart w:id="27" w:name="_q_tele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5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Interfaces operacionais entre a IT e o Eixo Teleorientação</w:t>
      </w:r>
      <w:bookmarkEnd w:id="27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768"/>
        <w:gridCol w:w="3537"/>
        <w:gridCol w:w="3539"/>
      </w:tblGrid>
      <w:tr>
        <w:trPr>
          <w:tblHeader/>
          <w:cantSplit/>
        </w:trPr>
        <w:tc>
          <w:tcPr>
            <w:tcW w:w="176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OPERAÇÃO</w:t>
            </w:r>
          </w:p>
        </w:tc>
        <w:tc>
          <w:tcPr>
            <w:tcW w:w="353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IT ORIENTA A TELEORIENTAÇÃO</w:t>
            </w:r>
          </w:p>
        </w:tc>
        <w:tc>
          <w:tcPr>
            <w:tcW w:w="353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TELEORIENTAÇÃO ALIMENTA A IT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Currículo dos pesquisadores populares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Identifica, a partir do PVI, das atas da SCS e do Relatório de Ciclo, as capacidades ausentes ou frágeis e retroalimenta o currículo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Forma pesquisadores populares com capacidade de leitura crítica de dados, cartografia e deliberação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Formação das equipes de APS e de vigilância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 os conteúdos necessários para que as equipes recebam e respondam aos alertas e às demandas da SCS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Profissionais que reconhecem a vigilância popular como fonte legítima e conhecem o fluxo de resposta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Uso da Plataforma Ágora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 as funcionalidades que os pesquisadores populares precisam dominar em cada fase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retorno sobre dificuldades de uso orienta o desenvolvimento da Plataforma (E4)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Formação de facilitadores (Franquia Social Metodológica)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Identifica os territórios com IT consolidada e os pesquisadores populares com perfil de facilitação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Facilitadores levam a IT a novos territórios sem expansão centralizada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Gestão do conhecimento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Produz documentos de aprendizado territorial que retornam à formação como conteúdo contextualizado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Os registros dos pesquisadores populares formam a memória viva do que o sistema aprende sobre si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28" w:name="_h11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3.3 Eixo Inteligência Epidemiológica</w:t>
      </w:r>
      <w:bookmarkEnd w:id="28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IT transforma dados em conhecimento mobilizando dois recursos de natureza distinta e complementar: os métodos do Eixo Inteligência Epidemiológica e o saber interpretativo dos pesquisadores populares, que situam os dados no contexto vivido. É nesse eixo que os dois fluxos de vigilância se cruzam tecnicamente. A cada mês, o técnico de dados compara os alertas populares com as notificações, os cadastros e os demais registros oficiais e identifica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convergências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(o alerta popular confirmado pelo registro oficial),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antecipações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(o alerta que precedeu a notificação),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divergências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(o que um vê e o outro não) e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invisibilidades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(o que só a vigilância popular ou a cartografia social registram). Esse cruzamento é o insumo central da reunião deliberativa.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Três instrumentos sustentam a leitura do território. O INS ordena os territórios pela necessidade de saúde e orienta a alocação e a escolha dos territórios de implantação (MACHINER et al., 2026). O IVT mede, dentro de cada território, a exposição do lugar e a sensibilidade da população e serve de mapa-base para as duas vigilâncias (FIOCRUZ BRASÍLIA, 2026a). O Painel de Vigilância Integrada acompanha mensalmente os sinais e a resposta (seções 4.3 e 4.8). As evidências produzidas são devolvidas ao território antes de serem comunicadas à gestão, à academia ou a financiadores, porque é o território que detém a autoridade primária sobre o que seus dados significam.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Nesse eixo emerge a tensão entre rigor e relevância. A epidemiologia convencional tende a maximizar o rigor à custa da relevância territorial; a pesquisa-ação produz ação relevante com evidências que os critérios convencionais frequentemente desqualificam, não por fragilidade, mas por operarem em outra epistemologia. A ciência pós-normal resolve a tensão ao ampliar o conceito de rigor: o conhecimento é robusto quando resiste também à comunidade de pares estendida (FUNTOWICZ; RAVETZ, 1993). Por isso, a validação territorial é parte constitutiva do rigor que a IT reivindica.</w:t>
      </w:r>
    </w:p>
    <w:p>
      <w:pPr>
        <w:keepNext/>
        <w:spacing w:before="200" w:after="100" w:line="264" w:lineRule="auto"/>
        <w:jc w:val="left"/>
      </w:pPr>
      <w:bookmarkStart w:id="29" w:name="_q_epi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6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Interfaces operacionais entre a IT e o Eixo Inteligência Epidemiológica</w:t>
      </w:r>
      <w:bookmarkEnd w:id="29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768"/>
        <w:gridCol w:w="3537"/>
        <w:gridCol w:w="3539"/>
      </w:tblGrid>
      <w:tr>
        <w:trPr>
          <w:tblHeader/>
          <w:cantSplit/>
        </w:trPr>
        <w:tc>
          <w:tcPr>
            <w:tcW w:w="176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OPERAÇÃO</w:t>
            </w:r>
          </w:p>
        </w:tc>
        <w:tc>
          <w:tcPr>
            <w:tcW w:w="353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IT ORIENTA A INTELIGÊNCIA EPIDEMIOLÓGICA</w:t>
            </w:r>
          </w:p>
        </w:tc>
        <w:tc>
          <w:tcPr>
            <w:tcW w:w="353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INTELIGÊNCIA EPIDEMIOLÓGICA ALIMENTA A IT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Cruzamento das duas vigilâncias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Define, com a SCS, os agravos e condições prioritários e as perguntas que o cruzamento deve responder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Identifica convergências, antecipações, divergências e invisibilidades a cada mês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INS e IVT como base de leitura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Delibera sobre o uso dos índices na agenda da SCS e na reivindicação de recursos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Fornece medidas comparáveis, auditáveis e com incerteza declarada de necessidade e de vulnerabilidade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Validação de conteúdo e verificação territorial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Conduz, com a SCS, a validação bienal do conteúdo do IVT e a verificação das invisibilidades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Incorpora as correções aos índices e aos sistemas oficiais, com registro de revisão de medida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Análise qualitativa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Orienta as perguntas: o que os números não explicam? Que mecanismos produzem o que se observa?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Revela os mecanismos que os indicadores quantificam, mas não explicam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Avaliação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Exige que critérios de avaliação sejam definidos antes da coleta e que a avaliação de efeito seja conduzida por equipe independente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Produz estimativas que distinguem o que mudou por causa da intervenção do que mudaria sem ela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Tradução para gestores e comunidade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 as linguagens de comunicação: relatório técnico para a gestão, artigo para a academia, oficina de devolução para o território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devolução gera novos dados sobre como o território interpreta e contesta os achados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produto operacional mais imediato dessa interface para os serviços é a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Atenção Primária de Precisão Territorial (APPT)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a adaptação trimestral das prioridades clínicas e de vigilância das equipes de Saúde da Família e de Vigilância em Saúde com base nas deliberações da SCS. A APPT fecha o ciclo entre a inteligência produzida nas SCS e a atuação dos serviços: as prioridades deliberadas na reunião orientam as agendas clínicas, a busca ativa, o roteiro dos agentes de combate às endemias e as ações de vigilância. Sem esse elo, a IT produz inteligência que não chega aos profissionais; sem a IT, as equipes atuam sem o contexto que só a vigilância popular capta. O PVI acompanha a APPT pelo indicador de incorporação à programação (V8).</w:t>
      </w:r>
    </w:p>
    <w:p>
      <w:pPr>
        <w:pStyle w:val="Heading2"/>
        <w:keepNext/>
        <w:spacing w:before="360" w:after="120" w:line="264" w:lineRule="auto"/>
        <w:jc w:val="left"/>
      </w:pPr>
      <w:bookmarkStart w:id="30" w:name="_h12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3.4 Eixo Saúde Digital</w:t>
      </w:r>
      <w:bookmarkEnd w:id="30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IT é uma prática sociotécnica: na perspectiva da teoria ator-rede, atores humanos e não humanos são igualmente constitutivos do sistema (CALLON, 1986; LATOUR, 2012). A Plataforma Ágora, os painéis e a interoperabilidade com os sistemas do SUS não são apenas ferramentas que a IT usa, são parte do que ela é. Sem essa infraestrutura, o saber territorial continuaria existindo, sistemático e cumulativo em seus próprios termos, mas permaneceria invisível para as arenas onde se decide sobre o território. O que a infraestrutura digital oferece é a possibilidade de que esse saber circule, dispute e force respostas onde o poder decide. É também ela que permite pôr os dois fluxos de vigilância no mesmo mapa.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tensão central é entre digitalização emancipatória e capitalismo de vigilância (ZUBOFF, 2020), entre a tecnologia como instrumento de soberania territorial e como meio de extração de dados comunitários em benefício de interesses externos (COULDRY; MEJIAS, 2019). Toda infraestrutura digital pode servir ao fortalecimento ou ao controle, dependendo de quem a governa, com que finalidade e com que transparência. A PICAPS responde com regras de governança dos dados ancoradas na SCS: nenhum uso ou publicação sem deliberação do território; finalidade definida antes da coleta; devolução antes da publicação; proteção dos dados pessoais nos termos da Lei Geral de Proteção de Dados (BRASIL, 2018); e transparência dos cálculos, com publicação das definições, do código e dos parâmetros do INS e do IVT. O cruzamento entre alertas populares e registros oficiais, que envolve dados pessoais sensíveis de saúde, é feito no ambiente seguro da secretaria de saúde, com base legal na execução de políticas públicas e na realização de estudos por órgão de pesquisa (BRASIL, 2018, art. 7º, incisos III e IV; art. 11, inciso II, alíneas "b" e "c"), precedido de relatório de impacto à proteção de dados pessoais; à Plataforma Ágora e ao CoLaboratório de Ciência, Tecnologia, Inovação e Sociedade (CTIS) chegam apenas contagens agregadas, com supressão de contagens inferiores a cinco.</w:t>
      </w:r>
    </w:p>
    <w:p>
      <w:pPr>
        <w:keepNext/>
        <w:spacing w:before="200" w:after="100" w:line="264" w:lineRule="auto"/>
        <w:jc w:val="left"/>
      </w:pPr>
      <w:bookmarkStart w:id="31" w:name="_q_digital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7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Interfaces operacionais entre a IT e o Eixo Saúde Digital</w:t>
      </w:r>
      <w:bookmarkEnd w:id="31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768"/>
        <w:gridCol w:w="3537"/>
        <w:gridCol w:w="3539"/>
      </w:tblGrid>
      <w:tr>
        <w:trPr>
          <w:tblHeader/>
          <w:cantSplit/>
        </w:trPr>
        <w:tc>
          <w:tcPr>
            <w:tcW w:w="176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OPERAÇÃO</w:t>
            </w:r>
          </w:p>
        </w:tc>
        <w:tc>
          <w:tcPr>
            <w:tcW w:w="353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IT GOVERNA A SAÚDE DIGITAL</w:t>
            </w:r>
          </w:p>
        </w:tc>
        <w:tc>
          <w:tcPr>
            <w:tcW w:w="353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COMO A SAÚDE DIGITAL FORTALECE A IT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Governança dos dados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SCS delibera sobre o escopo da coleta, o uso analítico e a publicização dos dados do território; nenhum dado é publicado sem essa deliberação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Plataforma Ágora armazena, integra e exibe os dados primários e secundários que alimentam o ciclo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Interoperabilidade com os sistemas do SUS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Define, em deliberação da SCS, quais dados externos (e-SUS APS, SINAN, SIM, SINASC, Defesa Civil, IBGE) são integrados e com que finalidade; dados nominais são cruzados apenas no ambiente seguro da secretaria de saúde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Permite ver no mesmo mapa, em contagens agregadas, os alertas populares e os registros oficiais, fechando o circuito entre as duas vigilâncias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Painel como dispositivo deliberativo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Orienta o desenho do painel para que seja legível pelos pesquisadores populares, e não só pelos técnicos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Em vez de deliberar sobre dados defasados, a SCS delibera sobre dados atualizados até a véspera da reunião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Registro da resposta</w:t>
            </w:r>
          </w:p>
        </w:tc>
        <w:tc>
          <w:tcPr>
            <w:tcW w:w="353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Exige que toda resposta, e toda ausência de resposta, aos encaminhamentos fique registrada</w:t>
            </w:r>
          </w:p>
        </w:tc>
        <w:tc>
          <w:tcPr>
            <w:tcW w:w="353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Gera a série histórica de respostas e silêncios que sustenta a exigibilidade e o advocacy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Centro de inteligência da gestão</w:t>
            </w:r>
          </w:p>
        </w:tc>
        <w:tc>
          <w:tcPr>
            <w:tcW w:w="353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Alimenta a gestão com os dados da vigilância popular que os sistemas oficiais não captam</w:t>
            </w:r>
          </w:p>
        </w:tc>
        <w:tc>
          <w:tcPr>
            <w:tcW w:w="353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gestão oferece dados que contextualizam os alertas populares</w:t>
            </w:r>
          </w:p>
        </w:tc>
      </w:tr>
    </w:tbl>
    <w:p>
      <w:pPr>
        <w:spacing w:before="0" w:after="120" w:line="200" w:lineRule="exact"/>
        <w:jc w:val="both"/>
        <w:sectPr>
          <w:headerReference w:type="default" r:id="rId36"/>
          <w:headerReference w:type="even" r:id="rId37"/>
          <w:footerReference w:type="default" r:id="rId32"/>
          <w:footerReference w:type="even" r:id="rId33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</w:p>
    <w:p>
      <w:pPr>
        <w:spacing w:before="0" w:after="0" w:line="700" w:lineRule="exact"/>
        <w:jc w:val="both"/>
      </w:pPr>
    </w:p>
    <w:p>
      <w:pPr>
        <w:spacing w:before="0" w:after="420" w:line="28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FFFFFF"/>
          <w:sz w:val="17"/>
          <w:szCs w:val="17"/>
          <w:shd w:val="clear" w:color="auto" w:fill="007614"/>
        </w:rPr>
        <w:t xml:space="preserve">  PARTE IV  </w:t>
      </w:r>
    </w:p>
    <w:p>
      <w:pPr>
        <w:pStyle w:val="Heading1"/>
        <w:spacing w:before="0" w:after="0" w:line="860" w:lineRule="exact"/>
        <w:jc w:val="left"/>
        <w:sectPr>
          <w:headerReference w:type="default" r:id="rId29"/>
          <w:headerReference w:type="even" r:id="rId29"/>
          <w:footerReference w:type="default" r:id="rId27"/>
          <w:footerReference w:type="even" r:id="rId27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bookmarkStart w:id="32" w:name="_h13"/>
      <w:r>
        <w:rPr>
          <w:rFonts w:ascii="Barlow Condensed" w:hAnsi="Barlow Condensed" w:cs="Barlow Condensed" w:eastAsia="Barlow Condensed"/>
          <w:b/>
          <w:bCs/>
          <w:color w:val="01366F"/>
          <w:sz w:val="80"/>
          <w:szCs w:val="80"/>
        </w:rPr>
        <w:t xml:space="preserve">Protocolo de atuação</w:t>
      </w:r>
      <w:r>
        <w:br/>
      </w:r>
      <w:r>
        <w:rPr>
          <w:rFonts w:ascii="Barlow Condensed" w:hAnsi="Barlow Condensed" w:cs="Barlow Condensed" w:eastAsia="Barlow Condensed"/>
          <w:b/>
          <w:bCs/>
          <w:color w:val="007614"/>
          <w:sz w:val="80"/>
          <w:szCs w:val="80"/>
        </w:rPr>
        <w:t xml:space="preserve">da Inteligência Territorial</w:t>
      </w:r>
      <w:bookmarkEnd w:id="32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Esta parte especifica o modo de operar da IT: como ela é implantada, com que instrumentos lê o território, em que ciclo opera, quem faz o quê, em que ritmo, como é acompanhada e governada. O detalhamento procedimento a procedimento, com roteiros, listas de verificação e parâmetros, está no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Protocolo Operacional da Inteligência Territorial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(FIOCRUZ BRASÍLIA, 2026d), que acompanha este documento, e na aplicação interativa associada a ele. Os dois documentos usam as mesmas regras, os mesmos instrumentos, as mesmas fases e os mesmos indicadores.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Todo procedimento do protocolo tem a mesma anatomia (Quadro 8). Ela foi pensada para orientar o pensamento antes da ação: cada procedimento começa por uma pergunta que o grupo precisa responder e termina em um produto que precisa existir.</w:t>
      </w:r>
    </w:p>
    <w:p>
      <w:pPr>
        <w:keepNext/>
        <w:spacing w:before="200" w:after="100" w:line="264" w:lineRule="auto"/>
        <w:jc w:val="left"/>
      </w:pPr>
      <w:bookmarkStart w:id="33" w:name="_q_anatomia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8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Anatomia de cada procedimento</w:t>
      </w:r>
      <w:bookmarkEnd w:id="33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2299"/>
        <w:gridCol w:w="6545"/>
      </w:tblGrid>
      <w:tr>
        <w:trPr>
          <w:tblHeader/>
          <w:cantSplit/>
        </w:trPr>
        <w:tc>
          <w:tcPr>
            <w:tcW w:w="229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ELEMENTO</w:t>
            </w:r>
          </w:p>
        </w:tc>
        <w:tc>
          <w:tcPr>
            <w:tcW w:w="65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RESPONDE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Pergunta-guia</w:t>
            </w:r>
          </w:p>
        </w:tc>
        <w:tc>
          <w:tcPr>
            <w:tcW w:w="65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 pergunta o grupo precisa responder neste momento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Passos</w:t>
            </w:r>
          </w:p>
        </w:tc>
        <w:tc>
          <w:tcPr>
            <w:tcW w:w="65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fazer, em ordem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Quem e quando</w:t>
            </w:r>
          </w:p>
        </w:tc>
        <w:tc>
          <w:tcPr>
            <w:tcW w:w="65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Responsável, apoio e prazo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Com o quê</w:t>
            </w:r>
          </w:p>
        </w:tc>
        <w:tc>
          <w:tcPr>
            <w:tcW w:w="65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Instrumentos e fontes de dados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Produto</w:t>
            </w:r>
          </w:p>
        </w:tc>
        <w:tc>
          <w:tcPr>
            <w:tcW w:w="65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precisa existir ao final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Sinal de alerta</w:t>
            </w:r>
          </w:p>
        </w:tc>
        <w:tc>
          <w:tcPr>
            <w:tcW w:w="65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Como perceber que o procedimento está falhando</w:t>
            </w:r>
          </w:p>
        </w:tc>
      </w:tr>
      <w:tr>
        <w:trPr>
          <w:cantSplit/>
        </w:trPr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Erros a evitar</w:t>
            </w:r>
          </w:p>
        </w:tc>
        <w:tc>
          <w:tcPr>
            <w:tcW w:w="65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Armadilhas recorrentes de raciocínio ou de prática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34" w:name="_h14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4.1 Regras de atuação</w:t>
      </w:r>
      <w:bookmarkEnd w:id="34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As regras a seguir valem em todas as fases e para todos os atores. Elas traduzem em operação a preponderância do território definida na seção 1.3.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Nada sem a SCS.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Nenhuma decisão sobre dados ou ações do território é tomada sem deliberação na Sala pela comunidade.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O dado informa; na Sala se decide.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Um valor alto no IVT ou um sinal no Painel gera uma pergunta para a SCS, nunca uma ação automática.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Dois fluxos, um mapa.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Alertas populares e registros oficiais são sempre lidos juntos, sobre o mapa do IVT e do INS.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Todo alerta crítico tem resposta registrada em até 72 horas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inclusive a ausência de resposta, que é evidência para a exigibilidade.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Toda invisibilidade verificada vira registro oficial.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 que o território revela e os serviços confirmam é incorporado aos sistemas.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Medir não é deliberar.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índices têm pesos fixos em cada versão; o território decide o que fazer com eles.</w:t>
      </w:r>
    </w:p>
    <w:p>
      <w:pPr>
        <w:pStyle w:val="ListParagraph"/>
        <w:numPr>
          <w:ilvl w:val="0"/>
          <w:numId w:val="14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Devolver antes de publicar.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resultados voltam ao território antes de seguir para a gestão, a academia ou financiadores.</w:t>
      </w:r>
    </w:p>
    <w:p>
      <w:pPr>
        <w:pStyle w:val="ListParagraph"/>
        <w:numPr>
          <w:ilvl w:val="0"/>
          <w:numId w:val="14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Resolver no nível mais próximo, e sempre com plano B.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Conflitos sobem de nível apenas quando não se resolvem no nível anterior; se a Plataforma Ágora estiver indisponível, o ciclo continua com formulários físicos e Painel impresso.</w:t>
      </w:r>
    </w:p>
    <w:p>
      <w:pPr>
        <w:pStyle w:val="Heading2"/>
        <w:keepNext/>
        <w:spacing w:before="360" w:after="120" w:line="264" w:lineRule="auto"/>
        <w:jc w:val="left"/>
      </w:pPr>
      <w:bookmarkStart w:id="35" w:name="_h15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4.2 Implantação: o ciclo inaugural</w:t>
      </w:r>
      <w:bookmarkEnd w:id="35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protocolo opera em territórios onde a metodologia de governança participativa territorial da PICAPS foi implantada. A implantação segue seis etapas encadeadas, descritas no projeto de avaliação da metodologia (FIOCRUZ BRASÍLIA, 2026c), e constitui o ciclo inaugural da IT no território. Cada etapa tem uma pergunta que precisa estar respondida antes de passar à seguinte (Quadro 9).</w:t>
      </w:r>
    </w:p>
    <w:p>
      <w:pPr>
        <w:keepNext/>
        <w:spacing w:before="200" w:after="100" w:line="264" w:lineRule="auto"/>
        <w:jc w:val="left"/>
      </w:pPr>
      <w:bookmarkStart w:id="36" w:name="_q_etapa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9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Etapas de implantação da metodologia PICAPS</w:t>
      </w:r>
      <w:bookmarkEnd w:id="36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768"/>
        <w:gridCol w:w="2653"/>
        <w:gridCol w:w="4423"/>
      </w:tblGrid>
      <w:tr>
        <w:trPr>
          <w:tblHeader/>
          <w:cantSplit/>
        </w:trPr>
        <w:tc>
          <w:tcPr>
            <w:tcW w:w="176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ETAPA</w:t>
            </w:r>
          </w:p>
        </w:tc>
        <w:tc>
          <w:tcPr>
            <w:tcW w:w="2653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PERGUNTA QUE PRECISA ESTAR RESPONDIDA</w:t>
            </w:r>
          </w:p>
        </w:tc>
        <w:tc>
          <w:tcPr>
            <w:tcW w:w="4423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PRODUZ PARA O PROTOCOLO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1. Ativação das redes sociotécnicas</w:t>
            </w:r>
          </w:p>
        </w:tc>
        <w:tc>
          <w:tcPr>
            <w:tcW w:w="265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Quem, no território, precisa estar na mesa, e quem costuma ficar de fora?</w:t>
            </w:r>
          </w:p>
        </w:tc>
        <w:tc>
          <w:tcPr>
            <w:tcW w:w="442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Mapeamento sociométrico de movimentos, lideranças e coletivos; pacto dialógico; base dos segmentos que comporão a SCS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2. Diagnóstico multidimensional (DPT)</w:t>
            </w:r>
          </w:p>
        </w:tc>
        <w:tc>
          <w:tcPr>
            <w:tcW w:w="265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os dados oficiais dizem deste território e o que não dizem?</w:t>
            </w:r>
          </w:p>
        </w:tc>
        <w:tc>
          <w:tcPr>
            <w:tcW w:w="442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Dimensões 1 a 4 dos DPT, com leitura do INS e do IVT do território; primeira lista de invisibilidades estatísticas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3. Cartografia social participativa</w:t>
            </w:r>
          </w:p>
        </w:tc>
        <w:tc>
          <w:tcPr>
            <w:tcW w:w="265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o território sabe que os mapas oficiais não mostram?</w:t>
            </w:r>
          </w:p>
        </w:tc>
        <w:tc>
          <w:tcPr>
            <w:tcW w:w="442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Dimensão 5 dos DPT (início); mapa do território vivido; áreas de risco, pontos críticos e domicílios fora dos cadastros a verificar; validação convergente com o IVT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4. Plano Popular</w:t>
            </w:r>
          </w:p>
        </w:tc>
        <w:tc>
          <w:tcPr>
            <w:tcW w:w="265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vamos vigiar, com que prioridade e o que exigiremos?</w:t>
            </w:r>
          </w:p>
        </w:tc>
        <w:tc>
          <w:tcPr>
            <w:tcW w:w="442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Dimensão 5 dos DPT (conclusão); agenda do que a SCS acompanhará, com que prioridade e com que exigências ao poder público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5. Formação</w:t>
            </w:r>
          </w:p>
        </w:tc>
        <w:tc>
          <w:tcPr>
            <w:tcW w:w="265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Quem vai observar, registrar e interpretar, e quem vai receber nos serviços?</w:t>
            </w:r>
          </w:p>
        </w:tc>
        <w:tc>
          <w:tcPr>
            <w:tcW w:w="442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Pesquisadores populares formados entre os participantes da cartografia; equipes de APS e de vigilância preparadas para receber a vigilância popular</w:t>
            </w:r>
          </w:p>
        </w:tc>
      </w:tr>
      <w:tr>
        <w:trPr>
          <w:cantSplit/>
        </w:trPr>
        <w:tc>
          <w:tcPr>
            <w:tcW w:w="176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6. Instalação da Sala de Cooperação Social</w:t>
            </w:r>
          </w:p>
        </w:tc>
        <w:tc>
          <w:tcPr>
            <w:tcW w:w="265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Por onde o alerta passa e quem responde?</w:t>
            </w:r>
          </w:p>
        </w:tc>
        <w:tc>
          <w:tcPr>
            <w:tcW w:w="442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Instância de vigilância popular e de articulação do Plano Popular em operação; fluxos pactuados com a Unidade Básica de Saúde (UBS) e com a vigilância de referência</w:t>
            </w:r>
          </w:p>
        </w:tc>
      </w:tr>
    </w:tbl>
    <w:p>
      <w:pPr>
        <w:spacing w:before="60" w:after="220" w:line="240" w:lineRule="auto"/>
        <w:jc w:val="left"/>
      </w:pPr>
      <w:r>
        <w:rPr>
          <w:rFonts w:ascii="Barlow SemiBold" w:hAnsi="Barlow SemiBold" w:cs="Barlow SemiBold" w:eastAsia="Barlow SemiBold"/>
          <w:color w:val="01366F"/>
          <w:sz w:val="15"/>
          <w:szCs w:val="15"/>
        </w:rPr>
        <w:t xml:space="preserve">Fonte:</w:t>
      </w:r>
      <w:r>
        <w:rPr>
          <w:rFonts w:ascii="Barlow" w:hAnsi="Barlow" w:cs="Barlow" w:eastAsia="Barlow"/>
          <w:color w:val="5F6B76"/>
          <w:sz w:val="15"/>
          <w:szCs w:val="15"/>
        </w:rPr>
        <w:t xml:space="preserve"> elaborado com base em Fiocruz Brasília (2026c).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pactuação com os serviços é condição de entrada no ciclo de operação. Antes da primeira reunião deliberativa, a SCS, a UBS de referência e a vigilância em saúde do território firmam o fluxo de comunicação dos alertas, nomeiam interlocutores e acordam os prazos de resposta. A prontidão é verificada por uma lista curta: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Agenda de vigilância do Plano Popular aprovada (agravos e condições prioritários)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Categorias de alerta da Plataforma Ágora ajustadas à agenda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Interlocutor nomeado na UBS de referência e na vigilância em saúde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Prazos de resposta pactuados por escrito (72 horas para alertas críticos)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Fluxo de cruzamento de dados definido no ambiente seguro da secretaria, com saída agregada por microárea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Mapa-base do IVT do território disponível, com quadrantes de exposição e sensibilidade</w:t>
      </w:r>
    </w:p>
    <w:p>
      <w:pPr>
        <w:pStyle w:val="ListParagraph"/>
        <w:numPr>
          <w:ilvl w:val="0"/>
          <w:numId w:val="15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Dupla de Facilitação definida e segmentos comunitários convidados</w:t>
      </w:r>
    </w:p>
    <w:p>
      <w:pPr>
        <w:pStyle w:val="ListParagraph"/>
        <w:numPr>
          <w:ilvl w:val="0"/>
          <w:numId w:val="15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Formulários físicos de contingência impressos</w:t>
      </w:r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1366F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8EEF5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30"/>
                <w:sz w:val="15"/>
                <w:szCs w:val="15"/>
              </w:rPr>
              <w:t xml:space="preserve">SINAL DE ALERTA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21"/>
                <w:szCs w:val="21"/>
              </w:rPr>
              <w:t xml:space="preserve">Sem interlocutor nomeado no serviço, a vigilância popular não tem para onde ir. O ciclo de operação não começa sem ele.</w:t>
            </w:r>
          </w:p>
        </w:tc>
      </w:tr>
    </w:tbl>
    <w:p>
      <w:pPr>
        <w:spacing w:before="0" w:after="0" w:line="16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37" w:name="_h16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4.3 Instrumentos de leitura do território</w:t>
      </w:r>
      <w:bookmarkEnd w:id="37"/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38" w:name="_f_instrumentos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12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Três instrumentos de leitura, três perguntas</w:t>
            </w:r>
            <w:bookmarkEnd w:id="38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3573602"/>
                  <wp:effectExtent l="0" t="0" r="0" b="0"/>
                  <wp:docPr id="29" name="img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g2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3573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responde onde a necessidade de saúde é maior, entre municípios e Regiões Administrativas. Tem atualização anual (no Distrito Federal, pelo INS-DF Dinâmico, com cinco indicadores; o INS-DF integral acompanha as edições da PDAD) e usado na escolha dos territórios de implantação, na alocação e na reivindicação de recursos (MACHINER et al., 2026). 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IVT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responde onde, dentro do território, o dano é mais provável. É calculado semestralmente por setor censitário, a partir de seis indicadores de exposição do lugar e de sensibilidade da população, e é o mapa-base sobre o qual as duas vigilâncias são lidas (FIOCRUZ BRASÍLIA, 2026a). 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Painel de Vigilância Integrada (PVI)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responde o que as duas vigilâncias estão sinalizando e o que foi feito. É mensal (dois de seus indicadores são trimestrais) e não é um índice: seus nove indicadores não são agregados.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leitura é aninhada: o INS-DF diz quais Regiões Administrativas têm maior necessidade; o IVT diz onde, dentro delas, o dano é mais provável. As definições comuns (baixa renda, saneamento, adensamento, faixas etárias) são idênticas nos dois índices.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Figura 12 resume as perguntas, as escalas e os usos de cada um. Os três instrumentos não são somados nem usados um no lugar do outro, e obedecem a duas regras de separação. A primeira: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dados produzidos pela própria intervenção (alertas, reuniões, respostas, participação) não entram no INS nem no IVT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apenas no PVI, porque sua variação reflete a atividade da SCS e, nos índices, seria confundida com mudança na necessidade ou na vulnerabilidade. A segunda: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os índices medem e a SCS delibera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Pesos e componentes do INS e do IVT são fixos em cada versão. A participação do território incide sobre o que medir (validação de conteúdo), sobre a correção do que os registros não veem (verificação territorial) e sobre o que fazer (deliberação). A Matriz UIC, que pondera urgência, impacto e capacidade de agência, aplica-se à priorização dos problemas, e não aos pesos dos indicadores. Morbimortalidade e oferta de serviços também ficam fora dos índices: doenças e óbitos servem para validá-los e aparecem como sinais no Painel; a cobertura de serviços é lida à parte, na análise de lacunas.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Os nove indicadores do PVI estão no Quadro 18 (seção 4.8). Eles foram escolhidos para responder às quatro perguntas da articulação: o que cada vigilância sinaliza (V1, V2); se as duas convergem e se a popular antecipa a tradicional (V3, V4); se o que era invisível passou a constar dos sistemas (V5); e se os serviços e a gestão respondem ao território (V6 a V8). O nono acompanha quem participa (V9).</w:t>
      </w:r>
    </w:p>
    <w:p>
      <w:pPr>
        <w:pStyle w:val="Heading2"/>
        <w:keepNext/>
        <w:spacing w:before="360" w:after="120" w:line="264" w:lineRule="auto"/>
        <w:jc w:val="left"/>
      </w:pPr>
      <w:bookmarkStart w:id="39" w:name="_h17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4.4 O Ciclo de Inteligência Territorial</w:t>
      </w:r>
      <w:bookmarkEnd w:id="39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Ciclo de Inteligência Territorial (CIT) integra os quatro eixos em um fluxo contínuo de captação, análise, deliberação, ação e aprendizado. Não é linear, é recursivo: cada passagem transforma os instrumentos, os atores e as perguntas do ciclo seguinte. A melhor imagem não é a de uma linha de produção, que começa, produz e termina, mas a de uma espiral, que volta ao mesmo ponto estrutural com maior coerência entre o que o território sabe, o que delibera e o que transforma.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40" w:name="_f_cit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13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Ciclo de Inteligência Territorial: cinco fases e sete ritmos</w:t>
            </w:r>
            <w:bookmarkEnd w:id="40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3130044"/>
                  <wp:effectExtent l="0" t="0" r="0" b="0"/>
                  <wp:docPr id="31" name="img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g3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3130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CIT opera em cinco fases e em sete ritmos encaixados (Figura 13): o contínuo (captação dos dois fluxos de sinais e fluxo de 72 horas); o semanal (revisão dos alertas e carga dos registros oficiais); o mensal (painel, reunião deliberativa, encaminhamentos); o trimestral (prioridades do ciclo, Relatório de Ciclo, programação das equipes); o semestral (IVT); o anual (INS, análise qualitativa integrada, revisão do Plano Popular e do currículo, relatório técnico após devolução); e o bienal (validação de conteúdo do IVT). Cada fase começa por uma pergunta-guia, e quem conduz a fase deve saber respondê-la ao final dela. A única exceção à ordem das fases é o alerta crítico, que salta da captação para a ação em 72 horas e volta à Sala na reunião seguinte, com a resposta registrada ou a falta dela. O Quadro 10 sintetiza o ciclo.</w:t>
      </w:r>
    </w:p>
    <w:p>
      <w:pPr>
        <w:keepNext/>
        <w:spacing w:before="200" w:after="100" w:line="264" w:lineRule="auto"/>
        <w:jc w:val="left"/>
      </w:pPr>
      <w:bookmarkStart w:id="41" w:name="_q_cit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10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Ciclo de Inteligência Territorial: visão sintética</w:t>
      </w:r>
      <w:bookmarkEnd w:id="41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530"/>
        <w:gridCol w:w="1326"/>
        <w:gridCol w:w="1680"/>
        <w:gridCol w:w="2653"/>
        <w:gridCol w:w="884"/>
        <w:gridCol w:w="1771"/>
      </w:tblGrid>
      <w:tr>
        <w:trPr>
          <w:tblHeader/>
          <w:cantSplit/>
        </w:trPr>
        <w:tc>
          <w:tcPr>
            <w:tcW w:w="53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FASE</w:t>
            </w:r>
          </w:p>
        </w:tc>
        <w:tc>
          <w:tcPr>
            <w:tcW w:w="132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NOME E RITMO</w:t>
            </w:r>
          </w:p>
        </w:tc>
        <w:tc>
          <w:tcPr>
            <w:tcW w:w="168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PERGUNTA-GUIA</w:t>
            </w:r>
          </w:p>
        </w:tc>
        <w:tc>
          <w:tcPr>
            <w:tcW w:w="2653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ACONTECE</w:t>
            </w:r>
          </w:p>
        </w:tc>
        <w:tc>
          <w:tcPr>
            <w:tcW w:w="884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EIXOS</w:t>
            </w:r>
          </w:p>
        </w:tc>
        <w:tc>
          <w:tcPr>
            <w:tcW w:w="1771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PRODUTOS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F1</w:t>
            </w:r>
          </w:p>
        </w:tc>
        <w:tc>
          <w:tcPr>
            <w:tcW w:w="132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Captação de sinais (contínua)</w:t>
            </w:r>
          </w:p>
        </w:tc>
        <w:tc>
          <w:tcPr>
            <w:tcW w:w="168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está acontecendo no território agora, segundo quem vive nele e segundo os registros oficiais?</w:t>
            </w:r>
          </w:p>
        </w:tc>
        <w:tc>
          <w:tcPr>
            <w:tcW w:w="265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Registro dos alertas da vigilância popular na Plataforma Ágora e recepção dos registros da vigilância tradicional; georreferenciamento dos dois fluxos sobre o IVT</w:t>
            </w:r>
          </w:p>
        </w:tc>
        <w:tc>
          <w:tcPr>
            <w:tcW w:w="88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E1, E4</w:t>
            </w:r>
          </w:p>
        </w:tc>
        <w:tc>
          <w:tcPr>
            <w:tcW w:w="177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e registros no mesmo mapa; alertas críticos encaminhados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F2</w:t>
            </w:r>
          </w:p>
        </w:tc>
        <w:tc>
          <w:tcPr>
            <w:tcW w:w="132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Integração e análise (mensal, semestral, anual)</w:t>
            </w:r>
          </w:p>
        </w:tc>
        <w:tc>
          <w:tcPr>
            <w:tcW w:w="168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Onde as duas vigilâncias convergem, onde divergem, o que nenhuma registra, e em que lugar do IVT isso acontece?</w:t>
            </w:r>
          </w:p>
        </w:tc>
        <w:tc>
          <w:tcPr>
            <w:tcW w:w="265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Cruzamento dos dois fluxos; PVI mensal; IVT semestral; INS anual; continuidade das dimensões dos DPT</w:t>
            </w:r>
          </w:p>
        </w:tc>
        <w:tc>
          <w:tcPr>
            <w:tcW w:w="88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E3, E4, com E1 e E2</w:t>
            </w:r>
          </w:p>
        </w:tc>
        <w:tc>
          <w:tcPr>
            <w:tcW w:w="177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Relatório de dados em perguntas; mapa atualizado; lista de convergências, antecipações, divergências e invisibilidades; lista de verificação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F3</w:t>
            </w:r>
          </w:p>
        </w:tc>
        <w:tc>
          <w:tcPr>
            <w:tcW w:w="132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Interpretação e deliberação (mensal)</w:t>
            </w:r>
          </w:p>
        </w:tc>
        <w:tc>
          <w:tcPr>
            <w:tcW w:w="168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esses sinais significam para nós, o que priorizamos e o que vamos exigir?</w:t>
            </w:r>
          </w:p>
        </w:tc>
        <w:tc>
          <w:tcPr>
            <w:tcW w:w="265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Reunião deliberativa da SCS: validação e contestação dos dados, interpretação e priorização</w:t>
            </w:r>
          </w:p>
        </w:tc>
        <w:tc>
          <w:tcPr>
            <w:tcW w:w="88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E1, E2 e SCS</w:t>
            </w:r>
          </w:p>
        </w:tc>
        <w:tc>
          <w:tcPr>
            <w:tcW w:w="177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Ata com prioridades, contestações e encaminhamentos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F4</w:t>
            </w:r>
          </w:p>
        </w:tc>
        <w:tc>
          <w:tcPr>
            <w:tcW w:w="132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Ação e exigibilidade (48 horas a 180 dias)</w:t>
            </w:r>
          </w:p>
        </w:tc>
        <w:tc>
          <w:tcPr>
            <w:tcW w:w="168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Quem responde, o quê, até quando, e o que fazemos se não responderem?</w:t>
            </w:r>
          </w:p>
        </w:tc>
        <w:tc>
          <w:tcPr>
            <w:tcW w:w="2653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Resposta imediata, ação planejada, advocacy e incorporação das invisibilidades aos sistemas oficiais</w:t>
            </w:r>
          </w:p>
        </w:tc>
        <w:tc>
          <w:tcPr>
            <w:tcW w:w="88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Todos</w:t>
            </w:r>
          </w:p>
        </w:tc>
        <w:tc>
          <w:tcPr>
            <w:tcW w:w="177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Respostas registradas; programação das equipes ajustada (APPT); incorporações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F5</w:t>
            </w:r>
          </w:p>
        </w:tc>
        <w:tc>
          <w:tcPr>
            <w:tcW w:w="132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Reflexividade (trimestral, anual e bienal)</w:t>
            </w:r>
          </w:p>
        </w:tc>
        <w:tc>
          <w:tcPr>
            <w:tcW w:w="168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as duas vigilâncias viram juntas, o que só uma viu e o que nenhuma viu?</w:t>
            </w:r>
          </w:p>
        </w:tc>
        <w:tc>
          <w:tcPr>
            <w:tcW w:w="2653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Avaliação da articulação entre as vigilâncias; Relatório de Ciclo; revisão de categorias, currículo e agenda</w:t>
            </w:r>
          </w:p>
        </w:tc>
        <w:tc>
          <w:tcPr>
            <w:tcW w:w="88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E3, E2</w:t>
            </w:r>
          </w:p>
        </w:tc>
        <w:tc>
          <w:tcPr>
            <w:tcW w:w="177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Relatório de Ciclo; categorias revistas; relatório técnico após devolução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42" w:name="_h18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4.5 As cinco fases em operação</w:t>
      </w:r>
      <w:bookmarkEnd w:id="42"/>
    </w:p>
    <w:p>
      <w:pPr>
        <w:pStyle w:val="Heading3"/>
        <w:keepNext/>
        <w:spacing w:before="280" w:after="100" w:line="264" w:lineRule="auto"/>
        <w:jc w:val="left"/>
      </w:pPr>
      <w:bookmarkStart w:id="43" w:name="_h19"/>
      <w:r>
        <w:rPr>
          <w:rFonts w:ascii="Barlow Condensed SemiBold" w:hAnsi="Barlow Condensed SemiBold" w:cs="Barlow Condensed SemiBold" w:eastAsia="Barlow Condensed SemiBold"/>
          <w:color w:val="01366F"/>
          <w:sz w:val="25"/>
          <w:szCs w:val="25"/>
        </w:rPr>
        <w:t xml:space="preserve">Fase 1 — Captação de sinais (contínua)</w:t>
      </w:r>
      <w:bookmarkEnd w:id="43"/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07614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9F2EB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07614"/>
                <w:spacing w:val="30"/>
                <w:sz w:val="15"/>
                <w:szCs w:val="15"/>
              </w:rPr>
              <w:t xml:space="preserve">PERGUNTA-GUIA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i/>
                <w:iCs/>
                <w:color w:val="0F2440"/>
                <w:sz w:val="21"/>
                <w:szCs w:val="21"/>
              </w:rPr>
              <w:t xml:space="preserve">O que está acontecendo no território agora, segundo quem vive nele e segundo os registros oficiais?</w:t>
            </w:r>
          </w:p>
        </w:tc>
      </w:tr>
    </w:tbl>
    <w:p>
      <w:pPr>
        <w:spacing w:before="0" w:after="0" w:line="16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captação reúne os dois fluxos. Não tem periodicidade fixa, porque os eventos do território não têm calendário.</w:t>
      </w:r>
    </w:p>
    <w:p>
      <w:pPr>
        <w:pStyle w:val="ListParagraph"/>
        <w:numPr>
          <w:ilvl w:val="0"/>
          <w:numId w:val="16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Fluxo popular.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pesquisadores populares registram alertas na Plataforma Ágora quando os observam, sem esperar a reunião, com categoria, local georreferenciado, data e hora, descrição e nível de urgência. Eventos que não cabem nas categorias vigentes são registrados como "não previstos", o que amplia o repertório de observação. A cartografia social é atualizada sempre que o território identifica nova área de risco, ponto crítico ou família fora dos cadastros; esses casos vão para a lista de verificação.</w:t>
      </w:r>
    </w:p>
    <w:p>
      <w:pPr>
        <w:pStyle w:val="ListParagraph"/>
        <w:numPr>
          <w:ilvl w:val="0"/>
          <w:numId w:val="16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Fluxo tradicional.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registros nominais das notificações de agravos prioritários (SINAN) e dos cadastros do e-SUS APS permanecem no ambiente seguro da secretaria de saúde, onde são georreferenciados e cruzados com os alertas populares. À Plataforma Ágora chegam apenas contagens agregadas por microárea e por semana, sem identificação de pessoas. Somam-se, como camada de contexto do mapa, os resultados do Levantamento Rápido de Índices para </w:t>
      </w:r>
      <w:r>
        <w:rPr>
          <w:rFonts w:ascii="Barlow" w:hAnsi="Barlow" w:cs="Barlow" w:eastAsia="Barlow"/>
          <w:i/>
          <w:iCs/>
          <w:color w:val="0F2440"/>
          <w:sz w:val="20"/>
          <w:szCs w:val="20"/>
        </w:rPr>
        <w:t xml:space="preserve">Aedes aegypti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(LIRAa), realizado em ciclos ao longo do ano e divulgado por estrato, e os alertas da Defesa Civil.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Responsabilidades: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os pesquisadores populares registram os alertas; o supervisor de campo do CTIS revisa semanalmente os alertas, devolve os incompletos e destaca os críticos para a Dupla de Facilitação; a equipe de Vigilância em Saúde e a equipe de APS mantêm os registros oficiais e o interlocutor nomeado; o técnico de dados assegura a carga dos dados oficiais. Um alerta de urgência máxima dispara imediatamente o fluxo de 72 horas da Fase 4.</w:t>
      </w:r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1366F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8EEF5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30"/>
                <w:sz w:val="15"/>
                <w:szCs w:val="15"/>
              </w:rPr>
              <w:t xml:space="preserve">SINAL DE ALERTA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21"/>
                <w:szCs w:val="21"/>
              </w:rPr>
              <w:t xml:space="preserve">Queda de alertas numa microárea do quintil superior do IVT, ou pesquisadores populares sem registro no mês (V9 baixo). Silêncio pode ser ausência de problema ou ausência de observação.</w:t>
            </w:r>
          </w:p>
        </w:tc>
      </w:tr>
    </w:tbl>
    <w:p>
      <w:pPr>
        <w:spacing w:before="0" w:after="0" w:line="160" w:lineRule="exact"/>
        <w:jc w:val="both"/>
      </w:pPr>
    </w:p>
    <w:p>
      <w:pPr>
        <w:pStyle w:val="Heading4"/>
        <w:keepNext/>
        <w:spacing w:before="200" w:after="80" w:line="264" w:lineRule="auto"/>
        <w:jc w:val="left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Erros a evitar</w:t>
      </w:r>
    </w:p>
    <w:p>
      <w:pPr>
        <w:pStyle w:val="ListParagraph"/>
        <w:numPr>
          <w:ilvl w:val="0"/>
          <w:numId w:val="17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Esperar a reunião para registrar um evento.</w:t>
      </w:r>
    </w:p>
    <w:p>
      <w:pPr>
        <w:pStyle w:val="ListParagraph"/>
        <w:numPr>
          <w:ilvl w:val="0"/>
          <w:numId w:val="17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Descartar o que não cabe nas categorias: o "não previsto" é o que ensina o sistema.</w:t>
      </w:r>
    </w:p>
    <w:p>
      <w:pPr>
        <w:pStyle w:val="ListParagraph"/>
        <w:numPr>
          <w:ilvl w:val="0"/>
          <w:numId w:val="17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Trazer dados nominais de saúde para a Ágora ou para a reunião.</w:t>
      </w:r>
    </w:p>
    <w:p>
      <w:pPr>
        <w:pStyle w:val="ListParagraph"/>
        <w:numPr>
          <w:ilvl w:val="0"/>
          <w:numId w:val="17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Ler o número de alertas como medida de gravidade: mais alertas podem significar mais problemas, mais observação ou ambos.</w:t>
      </w:r>
    </w:p>
    <w:p>
      <w:pPr>
        <w:pStyle w:val="Heading3"/>
        <w:keepNext/>
        <w:spacing w:before="280" w:after="100" w:line="264" w:lineRule="auto"/>
        <w:jc w:val="left"/>
      </w:pPr>
      <w:bookmarkStart w:id="44" w:name="_h20"/>
      <w:r>
        <w:rPr>
          <w:rFonts w:ascii="Barlow Condensed SemiBold" w:hAnsi="Barlow Condensed SemiBold" w:cs="Barlow Condensed SemiBold" w:eastAsia="Barlow Condensed SemiBold"/>
          <w:color w:val="01366F"/>
          <w:sz w:val="25"/>
          <w:szCs w:val="25"/>
        </w:rPr>
        <w:t xml:space="preserve">Fase 2 — Integração e análise (mensal, semestral e anual)</w:t>
      </w:r>
      <w:bookmarkEnd w:id="44"/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07614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9F2EB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07614"/>
                <w:spacing w:val="30"/>
                <w:sz w:val="15"/>
                <w:szCs w:val="15"/>
              </w:rPr>
              <w:t xml:space="preserve">PERGUNTA-GUIA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i/>
                <w:iCs/>
                <w:color w:val="0F2440"/>
                <w:sz w:val="21"/>
                <w:szCs w:val="21"/>
              </w:rPr>
              <w:t xml:space="preserve">Onde as duas vigilâncias convergem, onde divergem, o que nenhuma registra, e em que lugar do IVT isso acontece?</w:t>
            </w:r>
          </w:p>
        </w:tc>
      </w:tr>
    </w:tbl>
    <w:p>
      <w:pPr>
        <w:spacing w:before="0" w:after="0" w:line="16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É a fase em que a IT produz sua inteligência mais substantiva e em que as duas vigilâncias se encontram tecnicamente. No ciclo inaugural, as dimensões dos DPT são executadas nas etapas de implantação (Quadro 9): as Dimensões 1 a 4, no diagnóstico multidimensional (Etapa 2); a Dimensão 5, na cartografia social e no Plano Popular (Etapas 3 e 4). Nos ciclos de operação, são atualizadas pela SCS já instalada. As cinco dimensões analíticas dos DPT não são estudos independentes, mas movimentos encadeados de um mesmo ato de conhecimento:</w:t>
      </w:r>
    </w:p>
    <w:p>
      <w:pPr>
        <w:pStyle w:val="ListParagraph"/>
        <w:numPr>
          <w:ilvl w:val="0"/>
          <w:numId w:val="18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Dimensão 1 (geográfica e socioambiental):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produz o mapa-base do território, com a leitura do IVT por setor, sobre o qual alertas e notificações serão georreferenciados.</w:t>
      </w:r>
    </w:p>
    <w:p>
      <w:pPr>
        <w:pStyle w:val="ListParagraph"/>
        <w:numPr>
          <w:ilvl w:val="0"/>
          <w:numId w:val="18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Dimensão 2 (socioeconômica e demográfica):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analisa os determinantes estruturais da desigualdade, desagregados por raça/cor, gênero e território, e situa o território no INS.</w:t>
      </w:r>
    </w:p>
    <w:p>
      <w:pPr>
        <w:pStyle w:val="ListParagraph"/>
        <w:numPr>
          <w:ilvl w:val="0"/>
          <w:numId w:val="18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Dimensão 3 (epidemiológica):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integra os dados dos sistemas nacionais (SIH/SUS, SINAN, SIM, SINASC, e-SUS APS) com os relatos sistematizados dos pesquisadores populares; é nessa integração que emergem as invisibilidades estatísticas que a SCS passará a acompanhar.</w:t>
      </w:r>
    </w:p>
    <w:p>
      <w:pPr>
        <w:pStyle w:val="ListParagraph"/>
        <w:numPr>
          <w:ilvl w:val="0"/>
          <w:numId w:val="18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Dimensão 4 (político-estratégica e prospectiva):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mapeia atores, redes de poder e capacidades institucionais por sociometria, orientada pelo planejamento estratégico situacional (MATUS, 1987), e identifica os interlocutores dos serviços e da gestão.</w:t>
      </w:r>
    </w:p>
    <w:p>
      <w:pPr>
        <w:pStyle w:val="ListParagraph"/>
        <w:numPr>
          <w:ilvl w:val="0"/>
          <w:numId w:val="18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Dimensão 5 (cartografia social e Plano Popular):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opera a Matriz de Tradução Epistêmica Intercultural, das narrativas locais à classificação multicritério pela Matriz UIC e aos cenários dos Três Horizontes, até o Plano Popular, documento fundador da agenda de vigilância e ação da SCS.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Nos ciclos seguintes, as dimensões não recomeçam do zero: partem do ciclo anterior e são atualizadas conforme o ritmo de cada fenômeno. A Dimensão 1 é revista quando eventos relevantes alteram o mapa de risco; as Dimensões 2 e 3, trimestralmente; a Dimensão 4, semestralmente ou após mudanças institucionais; a Dimensão 5, anualmente, em oficina da SCS.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processamento técnico opera em três velocidades.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Mensalmente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o técnico de dados cruza os dois fluxos no ambiente seguro, por microárea, categoria compatível e janela de tempo; classifica cada sinal na matriz de leitura (Figura 14); anota, para cada sinal, o quintil do setor e seu perfil de exposição e sensibilidade; calcula o PVI, sempre com o valor esperado ao acaso ao lado de V4; e monta a lista de verificação, com o serviço responsável por cada antecipação ou invisibilidade a confirmar em campo.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Semestralmente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calcula o IVT, com intervalos de incerteza e metaindicadores de cobertura.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Anualmente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atualiza o INS. Quando uma incorporação altera o IVT, a série é reprocessada como revisão de medida.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45" w:name="_f_matriz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14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Matriz de leitura de sinais</w:t>
            </w:r>
            <w:bookmarkEnd w:id="45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761909"/>
                  <wp:effectExtent l="0" t="0" r="0" b="0"/>
                  <wp:docPr id="33" name="img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img3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761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célula da antecipação ou invisibilidade é onde nasce a visibilização social: o que o território vê e o sistema ainda não registra não é descartado nem aceito sem exame; vai para verificação conjunta e, confirmado, para o registro oficial. A divergência entre as vigilâncias é, portanto, uma pergunta a investigar, e não um erro de uma delas. O número único do IVT, por sua vez, esconde a combinação que orienta a ação; antes de levar um setor à SCS, lê-se em que quadrante de exposição e sensibilidade ele está (Quadro 11). Setores em que as versões aditiva e geométrica do IVT mais divergem têm perfil desbalanceado e são justamente os que pedem essa leitura.</w:t>
      </w:r>
    </w:p>
    <w:p>
      <w:pPr>
        <w:keepNext/>
        <w:spacing w:before="200" w:after="100" w:line="264" w:lineRule="auto"/>
        <w:jc w:val="left"/>
      </w:pPr>
      <w:bookmarkStart w:id="46" w:name="_q_quadrante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11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Leitura exposição × sensibilidade</w:t>
      </w:r>
      <w:bookmarkEnd w:id="46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945"/>
        <w:gridCol w:w="1945"/>
        <w:gridCol w:w="2122"/>
        <w:gridCol w:w="2832"/>
      </w:tblGrid>
      <w:tr>
        <w:trPr>
          <w:tblHeader/>
          <w:cantSplit/>
        </w:trPr>
        <w:tc>
          <w:tcPr>
            <w:tcW w:w="19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PERFIL DO SETOR</w:t>
            </w:r>
          </w:p>
        </w:tc>
        <w:tc>
          <w:tcPr>
            <w:tcW w:w="19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INDICA</w:t>
            </w:r>
          </w:p>
        </w:tc>
        <w:tc>
          <w:tcPr>
            <w:tcW w:w="2122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QUEM AGE PRIMEIRO</w:t>
            </w:r>
          </w:p>
        </w:tc>
        <w:tc>
          <w:tcPr>
            <w:tcW w:w="2832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TIPO DE AÇÃO A DISCUTIR NA SCS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Exposição alta, sensibilidade alta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Dano mais provável: o lugar e as pessoas</w:t>
            </w:r>
          </w:p>
        </w:tc>
        <w:tc>
          <w:tcPr>
            <w:tcW w:w="212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APS, vigilância e Defesa Civil, juntas</w:t>
            </w:r>
          </w:p>
        </w:tc>
        <w:tc>
          <w:tcPr>
            <w:tcW w:w="283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Prioridade do ciclo; busca ativa e advocacy de infraestrutura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Exposição alta, sensibilidade baixa</w:t>
            </w:r>
          </w:p>
        </w:tc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Risco do lugar</w:t>
            </w:r>
          </w:p>
        </w:tc>
        <w:tc>
          <w:tcPr>
            <w:tcW w:w="212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Defesa Civil, vigilância ambiental, saneamento</w:t>
            </w:r>
          </w:p>
        </w:tc>
        <w:tc>
          <w:tcPr>
            <w:tcW w:w="283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Intervenção sobre o lugar (drenagem, contenção de encosta, saneamento); advocacy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Exposição baixa, sensibilidade alta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Risco das pessoas</w:t>
            </w:r>
          </w:p>
        </w:tc>
        <w:tc>
          <w:tcPr>
            <w:tcW w:w="212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Equipe de APS e Centro de Referência de Assistência Social (CRAS)</w:t>
            </w:r>
          </w:p>
        </w:tc>
        <w:tc>
          <w:tcPr>
            <w:tcW w:w="283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Proteção às pessoas: busca ativa de crianças de 0 a 4 anos e idosos de 75 anos ou mais; Cadastro Único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Ambas baixas</w:t>
            </w:r>
          </w:p>
        </w:tc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Menor probabilidade de dano medida</w:t>
            </w:r>
          </w:p>
        </w:tc>
        <w:tc>
          <w:tcPr>
            <w:tcW w:w="212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—</w:t>
            </w:r>
          </w:p>
        </w:tc>
        <w:tc>
          <w:tcPr>
            <w:tcW w:w="283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Acompanhar e perguntar se há invisibilidades que a medida não capta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relatório de dados é entregue à Dupla de Facilitação antes da reunião, em linguagem legível pelos pesquisadores populares, e é escrito como perguntas para a SCS, e não como conclusões: "nesta microárea do quintil superior, três alertas de alagamento sem registro da Defesa Civil: o que sabemos?".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Responsabilidades: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 técnico de dados do CTIS executa o processamento; a equipe de Vigilância em Saúde valida a leitura epidemiológica dos registros oficiais; o supervisor de campo acompanha as dimensões dos DPT; os pesquisadores populares contribuem com os relatos sistematizados.</w:t>
      </w:r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1366F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8EEF5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30"/>
                <w:sz w:val="15"/>
                <w:szCs w:val="15"/>
              </w:rPr>
              <w:t xml:space="preserve">SINAL DE ALERTA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21"/>
                <w:szCs w:val="21"/>
              </w:rPr>
              <w:t xml:space="preserve">Relatório entregue no dia da reunião; lista de invisibilidades vazia por vários meses; V4 apresentado sem o valor esperado ao acaso.</w:t>
            </w:r>
          </w:p>
        </w:tc>
      </w:tr>
    </w:tbl>
    <w:p>
      <w:pPr>
        <w:spacing w:before="0" w:after="0" w:line="160" w:lineRule="exact"/>
        <w:jc w:val="both"/>
      </w:pPr>
    </w:p>
    <w:p>
      <w:pPr>
        <w:pStyle w:val="Heading4"/>
        <w:keepNext/>
        <w:spacing w:before="200" w:after="80" w:line="264" w:lineRule="auto"/>
        <w:jc w:val="left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Erros a evitar</w:t>
      </w:r>
    </w:p>
    <w:p>
      <w:pPr>
        <w:pStyle w:val="ListParagraph"/>
        <w:numPr>
          <w:ilvl w:val="0"/>
          <w:numId w:val="19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Tratar divergência como erro de uma das vigilâncias, em vez de pergunta a investigar.</w:t>
      </w:r>
    </w:p>
    <w:p>
      <w:pPr>
        <w:pStyle w:val="ListParagraph"/>
        <w:numPr>
          <w:ilvl w:val="0"/>
          <w:numId w:val="19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Usar o INS para comparar setores, ou o IVT para comparar municípios.</w:t>
      </w:r>
    </w:p>
    <w:p>
      <w:pPr>
        <w:pStyle w:val="ListParagraph"/>
        <w:numPr>
          <w:ilvl w:val="0"/>
          <w:numId w:val="19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Somar o PVI ao IVT, ou levar alertas e respostas para dentro do índice.</w:t>
      </w:r>
    </w:p>
    <w:p>
      <w:pPr>
        <w:pStyle w:val="ListParagraph"/>
        <w:numPr>
          <w:ilvl w:val="0"/>
          <w:numId w:val="19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Ler queda do IVT depois de incorporações como melhora do território: é revisão de medida.</w:t>
      </w:r>
    </w:p>
    <w:p>
      <w:pPr>
        <w:pStyle w:val="ListParagraph"/>
        <w:numPr>
          <w:ilvl w:val="0"/>
          <w:numId w:val="19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Levar à SCS conclusões prontas: o relatório prepara a deliberação, não a substitui.</w:t>
      </w:r>
    </w:p>
    <w:p>
      <w:pPr>
        <w:pStyle w:val="Heading3"/>
        <w:keepNext/>
        <w:spacing w:before="280" w:after="100" w:line="264" w:lineRule="auto"/>
        <w:jc w:val="left"/>
      </w:pPr>
      <w:bookmarkStart w:id="47" w:name="_h21"/>
      <w:r>
        <w:rPr>
          <w:rFonts w:ascii="Barlow Condensed SemiBold" w:hAnsi="Barlow Condensed SemiBold" w:cs="Barlow Condensed SemiBold" w:eastAsia="Barlow Condensed SemiBold"/>
          <w:color w:val="01366F"/>
          <w:sz w:val="25"/>
          <w:szCs w:val="25"/>
        </w:rPr>
        <w:t xml:space="preserve">Fase 3 — Interpretação e deliberação (mensal, na SCS)</w:t>
      </w:r>
      <w:bookmarkEnd w:id="47"/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07614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9F2EB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07614"/>
                <w:spacing w:val="30"/>
                <w:sz w:val="15"/>
                <w:szCs w:val="15"/>
              </w:rPr>
              <w:t xml:space="preserve">PERGUNTA-GUIA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i/>
                <w:iCs/>
                <w:color w:val="0F2440"/>
                <w:sz w:val="21"/>
                <w:szCs w:val="21"/>
              </w:rPr>
              <w:t xml:space="preserve">O que esses sinais significam para nós, o que priorizamos e o que vamos exigir?</w:t>
            </w:r>
          </w:p>
        </w:tc>
      </w:tr>
    </w:tbl>
    <w:p>
      <w:pPr>
        <w:spacing w:before="0" w:after="0" w:line="16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É a fase central do protocolo: onde os dados encontram o saber do território e onde se exerce a preponderância do território. Ocorre na reunião deliberativa mensal da SCS. A Dupla de Facilitação apresenta o Painel e o mapa; os pesquisadores populares comentam antes dos técnicos; na Sala, a comunidade valida ou contesta os dados oficiais e os populares, interpreta o que significam, examina as divergências entre as duas vigilâncias e delibera as prioridades do mês.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contribuição específica dessa fase é evitar a tecnocracia de dados, isto é, a tendência de deixar que os números decidam pelo grupo, esvaziando a deliberação (FUNTOWICZ; RAVETZ, 1993). Um valor alto no IVT ou um aumento de notificações não aciona automaticamente uma ação: aciona uma pergunta para a SCS. A reunião segue um roteiro de cerca de duas horas, em sete blocos, cada um respondendo a uma pergunta (Quadro 12); os tempos são sugestões a ajustar ao manual de facilitação da SCS.</w:t>
      </w:r>
    </w:p>
    <w:p>
      <w:pPr>
        <w:keepNext/>
        <w:spacing w:before="200" w:after="100" w:line="264" w:lineRule="auto"/>
        <w:jc w:val="left"/>
      </w:pPr>
      <w:bookmarkStart w:id="48" w:name="_q_roteiro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12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Roteiro da reunião deliberativa da SCS</w:t>
      </w:r>
      <w:bookmarkEnd w:id="48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2211"/>
        <w:gridCol w:w="795"/>
        <w:gridCol w:w="3891"/>
        <w:gridCol w:w="1947"/>
      </w:tblGrid>
      <w:tr>
        <w:trPr>
          <w:tblHeader/>
          <w:cantSplit/>
        </w:trPr>
        <w:tc>
          <w:tcPr>
            <w:tcW w:w="2211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BLOCO</w:t>
            </w:r>
          </w:p>
        </w:tc>
        <w:tc>
          <w:tcPr>
            <w:tcW w:w="79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TEMPO</w:t>
            </w:r>
          </w:p>
        </w:tc>
        <w:tc>
          <w:tcPr>
            <w:tcW w:w="3891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PERGUNTA QUE O BLOCO RESPONDE</w:t>
            </w:r>
          </w:p>
        </w:tc>
        <w:tc>
          <w:tcPr>
            <w:tcW w:w="194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PRODUTO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1. Abertura</w:t>
            </w:r>
          </w:p>
        </w:tc>
        <w:tc>
          <w:tcPr>
            <w:tcW w:w="7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10 min</w:t>
            </w:r>
          </w:p>
        </w:tc>
        <w:tc>
          <w:tcPr>
            <w:tcW w:w="389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Quem está aqui e quem falta?</w:t>
            </w:r>
          </w:p>
        </w:tc>
        <w:tc>
          <w:tcPr>
            <w:tcW w:w="194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Presença por segmento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2. Retorno</w:t>
            </w:r>
          </w:p>
        </w:tc>
        <w:tc>
          <w:tcPr>
            <w:tcW w:w="79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15 min</w:t>
            </w:r>
          </w:p>
        </w:tc>
        <w:tc>
          <w:tcPr>
            <w:tcW w:w="389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aconteceu com cada encaminhamento anterior, inclusive os sem resposta?</w:t>
            </w:r>
          </w:p>
        </w:tc>
        <w:tc>
          <w:tcPr>
            <w:tcW w:w="194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Situação de cada encaminhamento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3. Leitura do mapa</w:t>
            </w:r>
          </w:p>
        </w:tc>
        <w:tc>
          <w:tcPr>
            <w:tcW w:w="7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20 min</w:t>
            </w:r>
          </w:p>
        </w:tc>
        <w:tc>
          <w:tcPr>
            <w:tcW w:w="389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Onde estão os sinais das duas vigilâncias, e em que quintil do IVT?</w:t>
            </w:r>
          </w:p>
        </w:tc>
        <w:tc>
          <w:tcPr>
            <w:tcW w:w="194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Leitura do território, começando pelos pesquisadores populares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4. Convergências e divergências</w:t>
            </w:r>
          </w:p>
        </w:tc>
        <w:tc>
          <w:tcPr>
            <w:tcW w:w="79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20 min</w:t>
            </w:r>
          </w:p>
        </w:tc>
        <w:tc>
          <w:tcPr>
            <w:tcW w:w="389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as duas vigilâncias viram juntas, o que só uma viu, que dado oficial contestamos?</w:t>
            </w:r>
          </w:p>
        </w:tc>
        <w:tc>
          <w:tcPr>
            <w:tcW w:w="194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Contestações e invisibilidades registradas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5. Priorização (Matriz UIC)</w:t>
            </w:r>
          </w:p>
        </w:tc>
        <w:tc>
          <w:tcPr>
            <w:tcW w:w="7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30 min</w:t>
            </w:r>
          </w:p>
        </w:tc>
        <w:tc>
          <w:tcPr>
            <w:tcW w:w="389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é mais urgente, de maior impacto e sobre o que temos mais capacidade de agir?</w:t>
            </w:r>
          </w:p>
        </w:tc>
        <w:tc>
          <w:tcPr>
            <w:tcW w:w="194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Prioridades do mês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6. Encaminhamentos</w:t>
            </w:r>
          </w:p>
        </w:tc>
        <w:tc>
          <w:tcPr>
            <w:tcW w:w="79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15 min</w:t>
            </w:r>
          </w:p>
        </w:tc>
        <w:tc>
          <w:tcPr>
            <w:tcW w:w="389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Quem faz o quê, até quando, por qual registro de ação?</w:t>
            </w:r>
          </w:p>
        </w:tc>
        <w:tc>
          <w:tcPr>
            <w:tcW w:w="194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Encaminhamentos com responsável e prazo</w:t>
            </w:r>
          </w:p>
        </w:tc>
      </w:tr>
      <w:tr>
        <w:trPr>
          <w:cantSplit/>
        </w:trPr>
        <w:tc>
          <w:tcPr>
            <w:tcW w:w="221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7. Ata</w:t>
            </w:r>
          </w:p>
        </w:tc>
        <w:tc>
          <w:tcPr>
            <w:tcW w:w="7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10 min</w:t>
            </w:r>
          </w:p>
        </w:tc>
        <w:tc>
          <w:tcPr>
            <w:tcW w:w="389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Todos reconhecem o que foi decidido?</w:t>
            </w:r>
          </w:p>
        </w:tc>
        <w:tc>
          <w:tcPr>
            <w:tcW w:w="194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Ata lida e assinada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Matriz UIC.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Cada problema, e não cada indicador, recebe nota de 1 a 5 em três critérios: urgência (quanto tempo podemos esperar?), impacto (quanto afeta a vida e a saúde das famílias?) e capacidade de agência (quanto o território e os serviços locais conseguem agir sobre isso?). A soma ordena a discussão, mas não a substitui: a plenária pode reordenar, desde que registre o motivo em ata. Problema de alto impacto e baixa capacidade de agência é candidato a advocacy, e não a ser descartado.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Responsabilidades: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Dupla de Facilitação conduz a reunião e documenta as deliberações; os pesquisadores populares são os protagonistas da interpretação; os profissionais de APS e de Vigilância em Saúde trazem a perspectiva clínica, epidemiológica e de gestão e levam as prioridades às suas equipes; o supervisor do CTIS, quando presente, oferece perspectiva metodológica.</w:t>
      </w:r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1366F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8EEF5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30"/>
                <w:sz w:val="15"/>
                <w:szCs w:val="15"/>
              </w:rPr>
              <w:t xml:space="preserve">SINAL DE ALERTA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21"/>
                <w:szCs w:val="21"/>
              </w:rPr>
              <w:t xml:space="preserve">Técnicos falam mais que pesquisadores populares; nenhuma contestação registrada por vários meses; encaminhamentos sem responsável ou sem prazo.</w:t>
            </w:r>
          </w:p>
        </w:tc>
      </w:tr>
    </w:tbl>
    <w:p>
      <w:pPr>
        <w:spacing w:before="0" w:after="0" w:line="160" w:lineRule="exact"/>
        <w:jc w:val="both"/>
      </w:pPr>
    </w:p>
    <w:p>
      <w:pPr>
        <w:pStyle w:val="Heading4"/>
        <w:keepNext/>
        <w:spacing w:before="200" w:after="80" w:line="264" w:lineRule="auto"/>
        <w:jc w:val="left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Erros a evitar</w:t>
      </w:r>
    </w:p>
    <w:p>
      <w:pPr>
        <w:pStyle w:val="ListParagraph"/>
        <w:numPr>
          <w:ilvl w:val="0"/>
          <w:numId w:val="20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Deixar o número decidir: um IVT alto ou um aumento de notificações gera uma pergunta, não uma ação automática.</w:t>
      </w:r>
    </w:p>
    <w:p>
      <w:pPr>
        <w:pStyle w:val="ListParagraph"/>
        <w:numPr>
          <w:ilvl w:val="0"/>
          <w:numId w:val="20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Pular o retorno dos encaminhamentos: sem ele, o território deixa de acreditar que alertar adianta.</w:t>
      </w:r>
    </w:p>
    <w:p>
      <w:pPr>
        <w:pStyle w:val="ListParagraph"/>
        <w:numPr>
          <w:ilvl w:val="0"/>
          <w:numId w:val="20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Usar a Matriz UIC para mudar pesos de índices.</w:t>
      </w:r>
    </w:p>
    <w:p>
      <w:pPr>
        <w:pStyle w:val="ListParagraph"/>
        <w:numPr>
          <w:ilvl w:val="0"/>
          <w:numId w:val="20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Tratar divergência como erro de um dos lados, em vez de pergunta a investigar.</w:t>
      </w:r>
    </w:p>
    <w:p>
      <w:pPr>
        <w:pStyle w:val="Heading3"/>
        <w:keepNext/>
        <w:spacing w:before="280" w:after="100" w:line="264" w:lineRule="auto"/>
        <w:jc w:val="left"/>
      </w:pPr>
      <w:bookmarkStart w:id="49" w:name="_h22"/>
      <w:r>
        <w:rPr>
          <w:rFonts w:ascii="Barlow Condensed SemiBold" w:hAnsi="Barlow Condensed SemiBold" w:cs="Barlow Condensed SemiBold" w:eastAsia="Barlow Condensed SemiBold"/>
          <w:color w:val="01366F"/>
          <w:sz w:val="25"/>
          <w:szCs w:val="25"/>
        </w:rPr>
        <w:t xml:space="preserve">Fase 4 — Ação e exigibilidade (48 horas a 180 dias)</w:t>
      </w:r>
      <w:bookmarkEnd w:id="49"/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07614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9F2EB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07614"/>
                <w:spacing w:val="30"/>
                <w:sz w:val="15"/>
                <w:szCs w:val="15"/>
              </w:rPr>
              <w:t xml:space="preserve">PERGUNTA-GUIA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i/>
                <w:iCs/>
                <w:color w:val="0F2440"/>
                <w:sz w:val="21"/>
                <w:szCs w:val="21"/>
              </w:rPr>
              <w:t xml:space="preserve">Quem responde, o quê, até quando, e o que fazemos se não responderem?</w:t>
            </w:r>
          </w:p>
        </w:tc>
      </w:tr>
    </w:tbl>
    <w:p>
      <w:pPr>
        <w:spacing w:before="0" w:after="0" w:line="16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É a fase em que a IT se materializa como transformação. Os encaminhamentos são executados pelos responsáveis designados, nos prazos da ata, em quatro registros de ação (Quadro 13). Para cada encaminhamento, a SCS responde a quatro perguntas, na ordem; a primeira resposta afirmativa define o registro:</w:t>
      </w:r>
    </w:p>
    <w:p>
      <w:pPr>
        <w:pStyle w:val="ListParagraph"/>
        <w:numPr>
          <w:ilvl w:val="0"/>
          <w:numId w:val="2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Há risco à vida ou à saúde nas próximas horas? </w:t>
      </w:r>
      <w:r>
        <w:rPr>
          <w:rFonts w:ascii="Segoe UI Symbol" w:hAnsi="Segoe UI Symbol" w:cs="Segoe UI Symbol" w:eastAsia="Segoe UI Symbol"/>
          <w:color w:val="0F2440"/>
          <w:sz w:val="20"/>
          <w:szCs w:val="20"/>
        </w:rPr>
        <w:t xml:space="preserve">→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resposta imediata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É algo que o território viu, o sistema não registra, e a verificação conjunta confirmou? </w:t>
      </w:r>
      <w:r>
        <w:rPr>
          <w:rFonts w:ascii="Segoe UI Symbol" w:hAnsi="Segoe UI Symbol" w:cs="Segoe UI Symbol" w:eastAsia="Segoe UI Symbol"/>
          <w:color w:val="0F2440"/>
          <w:sz w:val="20"/>
          <w:szCs w:val="20"/>
        </w:rPr>
        <w:t xml:space="preserve">→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incorporação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1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Os serviços locais conseguem agir com o que têm? </w:t>
      </w:r>
      <w:r>
        <w:rPr>
          <w:rFonts w:ascii="Segoe UI Symbol" w:hAnsi="Segoe UI Symbol" w:cs="Segoe UI Symbol" w:eastAsia="Segoe UI Symbol"/>
          <w:color w:val="0F2440"/>
          <w:sz w:val="20"/>
          <w:szCs w:val="20"/>
        </w:rPr>
        <w:t xml:space="preserve">→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ação planejada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1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Exige decisão, recurso ou política fora do alcance local? </w:t>
      </w:r>
      <w:r>
        <w:rPr>
          <w:rFonts w:ascii="Segoe UI Symbol" w:hAnsi="Segoe UI Symbol" w:cs="Segoe UI Symbol" w:eastAsia="Segoe UI Symbol"/>
          <w:color w:val="0F2440"/>
          <w:sz w:val="20"/>
          <w:szCs w:val="20"/>
        </w:rPr>
        <w:t xml:space="preserve">→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advocacy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</w:t>
      </w:r>
    </w:p>
    <w:p>
      <w:pPr>
        <w:keepNext/>
        <w:spacing w:before="200" w:after="100" w:line="264" w:lineRule="auto"/>
        <w:jc w:val="left"/>
      </w:pPr>
      <w:bookmarkStart w:id="50" w:name="_q_registro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13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Registros de ação</w:t>
      </w:r>
      <w:bookmarkEnd w:id="50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415"/>
        <w:gridCol w:w="1238"/>
        <w:gridCol w:w="1945"/>
        <w:gridCol w:w="3006"/>
        <w:gridCol w:w="1240"/>
      </w:tblGrid>
      <w:tr>
        <w:trPr>
          <w:tblHeader/>
          <w:cantSplit/>
        </w:trPr>
        <w:tc>
          <w:tcPr>
            <w:tcW w:w="141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REGISTRO</w:t>
            </w:r>
          </w:p>
        </w:tc>
        <w:tc>
          <w:tcPr>
            <w:tcW w:w="123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PRAZO</w:t>
            </w:r>
          </w:p>
        </w:tc>
        <w:tc>
          <w:tcPr>
            <w:tcW w:w="19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INCLUI</w:t>
            </w:r>
          </w:p>
        </w:tc>
        <w:tc>
          <w:tcPr>
            <w:tcW w:w="300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ACIONA</w:t>
            </w:r>
          </w:p>
        </w:tc>
        <w:tc>
          <w:tcPr>
            <w:tcW w:w="124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CONTA NO PVI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Resposta imediata</w:t>
            </w:r>
          </w:p>
        </w:tc>
        <w:tc>
          <w:tcPr>
            <w:tcW w:w="123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48 a 72 horas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críticos</w:t>
            </w:r>
          </w:p>
        </w:tc>
        <w:tc>
          <w:tcPr>
            <w:tcW w:w="300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UBS de referência e vigilância em saúde, diretamente</w:t>
            </w:r>
          </w:p>
        </w:tc>
        <w:tc>
          <w:tcPr>
            <w:tcW w:w="124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V6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Incorporação</w:t>
            </w:r>
          </w:p>
        </w:tc>
        <w:tc>
          <w:tcPr>
            <w:tcW w:w="123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Até a reunião seguinte</w:t>
            </w:r>
          </w:p>
        </w:tc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Invisibilidades verificadas</w:t>
            </w:r>
          </w:p>
        </w:tc>
        <w:tc>
          <w:tcPr>
            <w:tcW w:w="300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Serviço responsável pelo registro oficial (Quadro 14)</w:t>
            </w:r>
          </w:p>
        </w:tc>
        <w:tc>
          <w:tcPr>
            <w:tcW w:w="124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V5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Ação planejada</w:t>
            </w:r>
          </w:p>
        </w:tc>
        <w:tc>
          <w:tcPr>
            <w:tcW w:w="123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30 a 90 dias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Itens do Plano Popular e prioridades do ciclo</w:t>
            </w:r>
          </w:p>
        </w:tc>
        <w:tc>
          <w:tcPr>
            <w:tcW w:w="300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Responsáveis da ata; programação das equipes (APPT)</w:t>
            </w:r>
          </w:p>
        </w:tc>
        <w:tc>
          <w:tcPr>
            <w:tcW w:w="124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V7, V8</w:t>
            </w:r>
          </w:p>
        </w:tc>
      </w:tr>
      <w:tr>
        <w:trPr>
          <w:cantSplit/>
        </w:trPr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Advocacy</w:t>
            </w:r>
          </w:p>
        </w:tc>
        <w:tc>
          <w:tcPr>
            <w:tcW w:w="123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90 a 180 dias</w:t>
            </w:r>
          </w:p>
        </w:tc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Encaminhamentos que exigem decisão institucional</w:t>
            </w:r>
          </w:p>
        </w:tc>
        <w:tc>
          <w:tcPr>
            <w:tcW w:w="300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Gestão pública, pelos Níveis 2 e 3 de governança, com INS, IVT e histórico de respostas</w:t>
            </w:r>
          </w:p>
        </w:tc>
        <w:tc>
          <w:tcPr>
            <w:tcW w:w="124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V7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Todo encaminhamento sai da ata com responsável, prazo e registro. A falta de resposta também é registrada: é o principal insumo do advocacy.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Fluxo do alerta crítico.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 pesquisador popular registra o alerta com urgência máxima na Plataforma Ágora (hora zero). A Plataforma notifica automaticamente a Dupla de Facilitação e o supervisor de campo do CTIS. A Dupla comunica formalmente o alerta ao interlocutor da UBS de referência e da vigilância em saúde, com registro na Plataforma. O serviço registra na Plataforma, em até 72 horas, a ação tomada ou a justificativa de impossibilidade. Sem registro nesse prazo, o Nível 2 de governança (CTIS) notifica a coordenação regional de saúde competente (Figura 15). O prazo corre a partir da hora zero, e não da reunião; o escalonamento não substitui a resposta, mas torna visível, na instância seguinte, que ela não veio. O registro sistemático das respostas, inclusive de sua ausência, alimenta a reflexividade como evidência sobre a capacidade de resposta do sistema.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51" w:name="_f_f72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15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Fluxo do alerta crítico em 72 horas</w:t>
            </w:r>
            <w:bookmarkEnd w:id="51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366838"/>
                  <wp:effectExtent l="0" t="0" r="0" b="0"/>
                  <wp:docPr id="35" name="img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g3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366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Incorporação das invisibilidades.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É a forma operacional da visibilização social. O que o território revela e os serviços confirmam em verificação conjunta passa a constar dos sistemas oficiais, conforme o Quadro 14. Cada incorporação recebe marca de origem, é contada no PVI (V5) e é devolvida à SCS na reunião seguinte. Quando a incorporação altera o IVT, é registrada como revisão de medida: a área de risco reconhecida em determinado ano existia antes de ser reconhecida, e a série é reprocessada para que a correção não apareça como piora do território. Pela mesma razão, domicílios cadastrados e famílias inscritas a partir da verificação são tratados como correção da base, e não como mudança da vulnerabilidade (FIOCRUZ BRASÍLIA, 2026a).</w:t>
      </w:r>
    </w:p>
    <w:p>
      <w:pPr>
        <w:keepNext/>
        <w:spacing w:before="200" w:after="100" w:line="264" w:lineRule="auto"/>
        <w:jc w:val="left"/>
      </w:pPr>
      <w:bookmarkStart w:id="52" w:name="_q_incorporacao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14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Incorporação das invisibilidades aos sistemas oficiais</w:t>
      </w:r>
      <w:bookmarkEnd w:id="52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2387"/>
        <w:gridCol w:w="2476"/>
        <w:gridCol w:w="1945"/>
        <w:gridCol w:w="2036"/>
      </w:tblGrid>
      <w:tr>
        <w:trPr>
          <w:tblHeader/>
          <w:cantSplit/>
        </w:trPr>
        <w:tc>
          <w:tcPr>
            <w:tcW w:w="2387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TERRITÓRIO IDENTIFICA</w:t>
            </w:r>
          </w:p>
        </w:tc>
        <w:tc>
          <w:tcPr>
            <w:tcW w:w="247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VERIFICAÇÃO CONJUNTA</w:t>
            </w:r>
          </w:p>
        </w:tc>
        <w:tc>
          <w:tcPr>
            <w:tcW w:w="19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QUEM INCORPORA</w:t>
            </w:r>
          </w:p>
        </w:tc>
        <w:tc>
          <w:tcPr>
            <w:tcW w:w="203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ONDE PASSA A CONSTAR</w:t>
            </w:r>
          </w:p>
        </w:tc>
      </w:tr>
      <w:tr>
        <w:trPr>
          <w:cantSplit/>
        </w:trPr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Domicílios ou famílias não cadastrados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Visita do agente comunitário de saúde (ACS) com o pesquisador popular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Equipe de APS</w:t>
            </w:r>
          </w:p>
        </w:tc>
        <w:tc>
          <w:tcPr>
            <w:tcW w:w="203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Cadastro do e-SUS APS</w:t>
            </w:r>
          </w:p>
        </w:tc>
      </w:tr>
      <w:tr>
        <w:trPr>
          <w:cantSplit/>
        </w:trPr>
        <w:tc>
          <w:tcPr>
            <w:tcW w:w="238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Área de alagamento, enxurrada ou deslizamento fora do mapa oficial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Vistoria da Defesa Civil com a SCS</w:t>
            </w:r>
          </w:p>
        </w:tc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Defesa Civil</w:t>
            </w:r>
          </w:p>
        </w:tc>
        <w:tc>
          <w:tcPr>
            <w:tcW w:w="203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Camada de áreas de risco; IVT (E3)</w:t>
            </w:r>
          </w:p>
        </w:tc>
      </w:tr>
      <w:tr>
        <w:trPr>
          <w:cantSplit/>
        </w:trPr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Criadouros, depósitos e pontos críticos de vetores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Inspeção do agente de combate às endemias (ACE)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Vigilância ambiental</w:t>
            </w:r>
          </w:p>
        </w:tc>
        <w:tc>
          <w:tcPr>
            <w:tcW w:w="203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Roteiro de pontos estratégicos e de visitas</w:t>
            </w:r>
          </w:p>
        </w:tc>
      </w:tr>
      <w:tr>
        <w:trPr>
          <w:cantSplit/>
        </w:trPr>
        <w:tc>
          <w:tcPr>
            <w:tcW w:w="2387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Evento compatível com agravo de notificação compulsória</w:t>
            </w:r>
          </w:p>
        </w:tc>
        <w:tc>
          <w:tcPr>
            <w:tcW w:w="247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Avaliação clínica ou epidemiológica</w:t>
            </w:r>
          </w:p>
        </w:tc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Equipe de APS ou de vigilância</w:t>
            </w:r>
          </w:p>
        </w:tc>
        <w:tc>
          <w:tcPr>
            <w:tcW w:w="203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SINAN</w:t>
            </w:r>
          </w:p>
        </w:tc>
      </w:tr>
      <w:tr>
        <w:trPr>
          <w:cantSplit/>
        </w:trPr>
        <w:tc>
          <w:tcPr>
            <w:tcW w:w="2387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Famílias de baixa renda fora do Cadastro Único</w:t>
            </w:r>
          </w:p>
        </w:tc>
        <w:tc>
          <w:tcPr>
            <w:tcW w:w="247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Encaminhamento ao CRAS</w:t>
            </w:r>
          </w:p>
        </w:tc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Gestão do Cadastro Único</w:t>
            </w:r>
          </w:p>
        </w:tc>
        <w:tc>
          <w:tcPr>
            <w:tcW w:w="203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Cadastro Único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contribuição desta fase para a IT é mostrar que ação e conhecimento são inseparáveis. Para Fals Borda (1985), o conhecimento válido é o que transforma, e não o que apenas descreve. Uma IT que apenas diagnostica, sem agir e sem exigir resposta, reproduz o padrão dos observatórios acadêmicos que a PICAPS critica.</w:t>
      </w:r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1366F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8EEF5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30"/>
                <w:sz w:val="15"/>
                <w:szCs w:val="15"/>
              </w:rPr>
              <w:t xml:space="preserve">SINAL DE ALERTA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21"/>
                <w:szCs w:val="21"/>
              </w:rPr>
              <w:t xml:space="preserve">V6 abaixo de 80%; encaminhamentos que voltam à pauta sem retorno por duas reuniões; lista de verificação parada.</w:t>
            </w:r>
          </w:p>
        </w:tc>
      </w:tr>
    </w:tbl>
    <w:p>
      <w:pPr>
        <w:spacing w:before="0" w:after="0" w:line="160" w:lineRule="exact"/>
        <w:jc w:val="both"/>
      </w:pPr>
    </w:p>
    <w:p>
      <w:pPr>
        <w:pStyle w:val="Heading4"/>
        <w:keepNext/>
        <w:spacing w:before="200" w:after="80" w:line="264" w:lineRule="auto"/>
        <w:jc w:val="left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Erros a evitar</w:t>
      </w:r>
    </w:p>
    <w:p>
      <w:pPr>
        <w:pStyle w:val="ListParagraph"/>
        <w:numPr>
          <w:ilvl w:val="0"/>
          <w:numId w:val="22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Descartar problema de alto impacto e baixa capacidade de agência: ele é candidato a advocacy.</w:t>
      </w:r>
    </w:p>
    <w:p>
      <w:pPr>
        <w:pStyle w:val="ListParagraph"/>
        <w:numPr>
          <w:ilvl w:val="0"/>
          <w:numId w:val="22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Executar ação planejada fora da programação das equipes: sem APPT, ela não se sustenta.</w:t>
      </w:r>
    </w:p>
    <w:p>
      <w:pPr>
        <w:pStyle w:val="ListParagraph"/>
        <w:numPr>
          <w:ilvl w:val="0"/>
          <w:numId w:val="22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Registrar só as respostas recebidas e apagar as que não vieram.</w:t>
      </w:r>
    </w:p>
    <w:p>
      <w:pPr>
        <w:pStyle w:val="ListParagraph"/>
        <w:numPr>
          <w:ilvl w:val="0"/>
          <w:numId w:val="22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Incorporar sem verificação conjunta, ou verificar e não devolver à SCS.</w:t>
      </w:r>
    </w:p>
    <w:p>
      <w:pPr>
        <w:pStyle w:val="Heading3"/>
        <w:keepNext/>
        <w:spacing w:before="280" w:after="100" w:line="264" w:lineRule="auto"/>
        <w:jc w:val="left"/>
      </w:pPr>
      <w:bookmarkStart w:id="53" w:name="_h23"/>
      <w:r>
        <w:rPr>
          <w:rFonts w:ascii="Barlow Condensed SemiBold" w:hAnsi="Barlow Condensed SemiBold" w:cs="Barlow Condensed SemiBold" w:eastAsia="Barlow Condensed SemiBold"/>
          <w:color w:val="01366F"/>
          <w:sz w:val="25"/>
          <w:szCs w:val="25"/>
        </w:rPr>
        <w:t xml:space="preserve">Fase 5 — Reflexividade (trimestral, anual e bienal)</w:t>
      </w:r>
      <w:bookmarkEnd w:id="53"/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07614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9F2EB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07614"/>
                <w:spacing w:val="30"/>
                <w:sz w:val="15"/>
                <w:szCs w:val="15"/>
              </w:rPr>
              <w:t xml:space="preserve">PERGUNTA-GUIA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i/>
                <w:iCs/>
                <w:color w:val="0F2440"/>
                <w:sz w:val="21"/>
                <w:szCs w:val="21"/>
              </w:rPr>
              <w:t xml:space="preserve">O que as duas vigilâncias viram juntas, o que só uma viu e o que nenhuma viu?</w:t>
            </w:r>
          </w:p>
        </w:tc>
      </w:tr>
    </w:tbl>
    <w:p>
      <w:pPr>
        <w:spacing w:before="0" w:after="0" w:line="16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É a fase de aprendizado sistêmico, a mais ignorada nos sistemas de monitoramento e a mais crítica para a sustentabilidade da IT. Sem ela, o sistema aprende a executar melhor o que já faz, mas não aprende a fazer diferente quando o contexto muda.</w:t>
      </w:r>
    </w:p>
    <w:p>
      <w:pPr>
        <w:pStyle w:val="ListParagraph"/>
        <w:numPr>
          <w:ilvl w:val="0"/>
          <w:numId w:val="23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Trimestralmente: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SCS examina o PVI acumulado do trimestre e responde a quatro perguntas: onde a articulação funcionou (convergências, antecipações, respostas no prazo e prioridades incorporadas pelas equipes)? Onde falhou (alertas sem verificação, alertas críticos sem resposta, divergências que ninguém investigou)? O que nenhuma das vigilâncias viu (eventos que chegaram ao serviço sem alerta prévio, ou que o território conhecia e não registrou)? O que muda no próximo ciclo (categorias de alerta, agenda, formação e fluxos com os serviços)? Apura-se, por sociometria nas oficinas da SCS, o Índice de Resiliência Sociotécnica (IRS), que descreve a coesão, a diversidade e a atividade da rede de pesquisadores populares e de serviços que integram a SCS. O IRS é instrumento de reflexão sobre a capacidade coletiva do território e fica fora do PVI e dos índices, porque mede a rede da própria intervenção. Os pesquisadores populares escrevem o Relatório de Ciclo.</w:t>
      </w:r>
    </w:p>
    <w:p>
      <w:pPr>
        <w:pStyle w:val="ListParagraph"/>
        <w:numPr>
          <w:ilvl w:val="0"/>
          <w:numId w:val="23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Anualmente: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análise qualitativa integrada; revisão do Plano Popular (Dimensão 5 dos DPT); atualização do currículo de formação; relatório técnico à gestão, apenas após a devolução à SCS.</w:t>
      </w:r>
    </w:p>
    <w:p>
      <w:pPr>
        <w:pStyle w:val="ListParagraph"/>
        <w:numPr>
          <w:ilvl w:val="0"/>
          <w:numId w:val="23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 cada dois anos: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SCS participa da validação de conteúdo do IVT, que decide, com os técnicos, se os indicadores representam o que torna o dano mais provável no território (FIOCRUZ BRASÍLIA, 2026a). Mudanças geram nova versão do índice, nunca ajuste silencioso.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Relatório de Ciclo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é uma síntese narrativa, escrita pelos pesquisadores populares ao final de cada trimestre, do que o território aprendeu sobre si mesmo. É, ao mesmo tempo, produto científico (insumo para publicações), produto de governança (insumo para o relatório técnico à gestão) e produto pedagógico (insumo para o currículo).</w:t>
      </w:r>
    </w:p>
    <w:p>
      <w:pPr>
        <w:keepNext/>
        <w:spacing w:before="0" w:after="0" w:line="120" w:lineRule="exact"/>
        <w:jc w:val="both"/>
      </w:pPr>
    </w:p>
    <w:tbl>
      <w:tblPr>
        <w:tblW w:w="8844" w:type="dxa"/>
        <w:tblInd w:w="0" w:type="dxa"/>
        <w:tblBorders>
          <w:top w:val="nil"/>
          <w:left w:val="single" w:sz="36" w:space="0" w:color="01366F"/>
          <w:bottom w:val="nil"/>
          <w:right w:val="nil"/>
          <w:insideH w:val="nil"/>
          <w:insideV w:val="nil"/>
        </w:tblBorders>
        <w:tblLayout w:type="fixed"/>
        <w:tblCellMar>
          <w:top w:w="120" w:type="dxa"/>
          <w:left w:w="220" w:type="dxa"/>
          <w:bottom w:w="140" w:type="dxa"/>
          <w:right w:w="22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E8EEF5"/>
          </w:tcPr>
          <w:p>
            <w:pPr>
              <w:spacing w:before="0" w:after="4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30"/>
                <w:sz w:val="15"/>
                <w:szCs w:val="15"/>
              </w:rPr>
              <w:t xml:space="preserve">SINAL DE ALERTA</w:t>
            </w:r>
          </w:p>
          <w:p>
            <w:pPr>
              <w:spacing w:before="0" w:after="0" w:line="288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21"/>
                <w:szCs w:val="21"/>
              </w:rPr>
              <w:t xml:space="preserve">Relatório de Ciclo escrito pela equipe técnica, e não pelos pesquisadores populares; trimestre sem nenhuma revisão de categorias ou de fluxos.</w:t>
            </w:r>
          </w:p>
        </w:tc>
      </w:tr>
    </w:tbl>
    <w:p>
      <w:pPr>
        <w:spacing w:before="0" w:after="0" w:line="160" w:lineRule="exact"/>
        <w:jc w:val="both"/>
      </w:pPr>
    </w:p>
    <w:p>
      <w:pPr>
        <w:pStyle w:val="Heading4"/>
        <w:keepNext/>
        <w:spacing w:before="200" w:after="80" w:line="264" w:lineRule="auto"/>
        <w:jc w:val="left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Erros a evitar</w:t>
      </w:r>
    </w:p>
    <w:p>
      <w:pPr>
        <w:pStyle w:val="ListParagraph"/>
        <w:numPr>
          <w:ilvl w:val="0"/>
          <w:numId w:val="24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Avaliar só o volume de atividade (quantos alertas, quantas reuniões) e não a articulação.</w:t>
      </w:r>
    </w:p>
    <w:p>
      <w:pPr>
        <w:pStyle w:val="ListParagraph"/>
        <w:numPr>
          <w:ilvl w:val="0"/>
          <w:numId w:val="24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Ler queda do IVT após incorporações como melhora do território: é revisão de medida.</w:t>
      </w:r>
    </w:p>
    <w:p>
      <w:pPr>
        <w:pStyle w:val="Heading2"/>
        <w:keepNext/>
        <w:spacing w:before="360" w:after="120" w:line="264" w:lineRule="auto"/>
        <w:jc w:val="left"/>
      </w:pPr>
      <w:bookmarkStart w:id="54" w:name="_h24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4.6 Papéis e responsabilidades</w:t>
      </w:r>
      <w:bookmarkEnd w:id="54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Sete atores operam o ciclo (Quadro 15). Cada um é dono de pelo menos uma entrega; a equipe de Vigilância em Saúde está no ciclo porque, sem ela, a vigilância popular não encontra a tradicional.</w:t>
      </w:r>
    </w:p>
    <w:p>
      <w:pPr>
        <w:keepNext/>
        <w:spacing w:before="200" w:after="100" w:line="264" w:lineRule="auto"/>
        <w:jc w:val="left"/>
      </w:pPr>
      <w:bookmarkStart w:id="55" w:name="_q_papei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15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Papéis e responsabilidades no Ciclo de Inteligência Territorial</w:t>
      </w:r>
      <w:bookmarkEnd w:id="55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945"/>
        <w:gridCol w:w="619"/>
        <w:gridCol w:w="619"/>
        <w:gridCol w:w="619"/>
        <w:gridCol w:w="619"/>
        <w:gridCol w:w="619"/>
        <w:gridCol w:w="3804"/>
      </w:tblGrid>
      <w:tr>
        <w:trPr>
          <w:tblHeader/>
          <w:cantSplit/>
        </w:trPr>
        <w:tc>
          <w:tcPr>
            <w:tcW w:w="19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ATOR</w:t>
            </w:r>
          </w:p>
        </w:tc>
        <w:tc>
          <w:tcPr>
            <w:tcW w:w="61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F1</w:t>
            </w:r>
          </w:p>
        </w:tc>
        <w:tc>
          <w:tcPr>
            <w:tcW w:w="61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F2</w:t>
            </w:r>
          </w:p>
        </w:tc>
        <w:tc>
          <w:tcPr>
            <w:tcW w:w="61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F3</w:t>
            </w:r>
          </w:p>
        </w:tc>
        <w:tc>
          <w:tcPr>
            <w:tcW w:w="61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F4</w:t>
            </w:r>
          </w:p>
        </w:tc>
        <w:tc>
          <w:tcPr>
            <w:tcW w:w="61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F5</w:t>
            </w:r>
          </w:p>
        </w:tc>
        <w:tc>
          <w:tcPr>
            <w:tcW w:w="3804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RESPONSABILIDADE CENTRAL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Pesquisadores populares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Registrar alertas e atualizar a cartografia social; protagonizar a deliberação; participar da verificação conjunta; escrever o Relatório de Ciclo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Dupla de Facilitação da SCS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Organizar e conduzir as reuniões e o protocolo MTEI; assinar as atas; comunicar os serviços; acompanhar prazos; ser o ponto de contato com o CTIS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Equipes de APS (ESF e ACS)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Manter o cadastro territorial; validar alertas clínicos; responder aos encaminhamentos; cadastrar domicílios não registrados; incorporar as prioridades à programação (APPT)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Equipe de Vigilância em Saúde (epidemiológica e ambiental, ACE)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Manter as notificações e o LIRAa; investigar alertas compatíveis com agravos; incorporar pontos críticos ao roteiro dos ACE; responder em até 72 horas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Técnico de dados do CTIS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—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Carregar os dados oficiais; cruzar os dois fluxos no ambiente seguro; calcular PVI, IVT e INS; preparar o relatório de dados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Supervisor de campo do CTIS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Revisar semanalmente os alertas; acompanhar os alertas críticos; supervisionar a formação; coordenar a reflexividade e o IRS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Coordenação do CTIS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—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—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—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61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  <w:r>
              <w:rPr>
                <w:rFonts w:ascii="Segoe UI Symbol" w:hAnsi="Segoe UI Symbol" w:cs="Segoe UI Symbol" w:eastAsia="Segoe UI Symbol"/>
                <w:color w:val="0F2440"/>
                <w:sz w:val="12"/>
                <w:szCs w:val="12"/>
              </w:rPr>
              <w:t xml:space="preserve">●</w:t>
            </w:r>
          </w:p>
        </w:tc>
        <w:tc>
          <w:tcPr>
            <w:tcW w:w="380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Conduzir o Nível 2 de governança e o escalonamento; garantir as publicações após devolução; interface com a gestão e o Ministério da Saúde</w:t>
            </w:r>
          </w:p>
        </w:tc>
      </w:tr>
    </w:tbl>
    <w:p>
      <w:pPr>
        <w:spacing w:before="60" w:after="220" w:line="240" w:lineRule="auto"/>
        <w:jc w:val="left"/>
      </w:pPr>
      <w:r>
        <w:rPr>
          <w:rFonts w:ascii="Segoe UI Symbol" w:hAnsi="Segoe UI Symbol" w:cs="Segoe UI Symbol" w:eastAsia="Segoe UI Symbol"/>
          <w:color w:val="5F6B76"/>
          <w:sz w:val="12"/>
          <w:szCs w:val="12"/>
        </w:rPr>
        <w:t xml:space="preserve">●</w:t>
      </w:r>
      <w:r>
        <w:rPr>
          <w:rFonts w:ascii="Segoe UI Symbol" w:hAnsi="Segoe UI Symbol" w:cs="Segoe UI Symbol" w:eastAsia="Segoe UI Symbol"/>
          <w:color w:val="5F6B76"/>
          <w:sz w:val="12"/>
          <w:szCs w:val="12"/>
        </w:rPr>
        <w:t xml:space="preserve">●</w:t>
      </w:r>
      <w:r>
        <w:rPr>
          <w:rFonts w:ascii="Segoe UI Symbol" w:hAnsi="Segoe UI Symbol" w:cs="Segoe UI Symbol" w:eastAsia="Segoe UI Symbol"/>
          <w:color w:val="5F6B76"/>
          <w:sz w:val="12"/>
          <w:szCs w:val="12"/>
        </w:rPr>
        <w:t xml:space="preserve">●</w:t>
      </w:r>
      <w:r>
        <w:rPr>
          <w:rFonts w:ascii="Barlow" w:hAnsi="Barlow" w:cs="Barlow" w:eastAsia="Barlow"/>
          <w:color w:val="5F6B76"/>
          <w:sz w:val="15"/>
          <w:szCs w:val="15"/>
        </w:rPr>
        <w:t xml:space="preserve"> responsabilidade primária; </w:t>
      </w:r>
      <w:r>
        <w:rPr>
          <w:rFonts w:ascii="Segoe UI Symbol" w:hAnsi="Segoe UI Symbol" w:cs="Segoe UI Symbol" w:eastAsia="Segoe UI Symbol"/>
          <w:color w:val="5F6B76"/>
          <w:sz w:val="12"/>
          <w:szCs w:val="12"/>
        </w:rPr>
        <w:t xml:space="preserve">●</w:t>
      </w:r>
      <w:r>
        <w:rPr>
          <w:rFonts w:ascii="Segoe UI Symbol" w:hAnsi="Segoe UI Symbol" w:cs="Segoe UI Symbol" w:eastAsia="Segoe UI Symbol"/>
          <w:color w:val="5F6B76"/>
          <w:sz w:val="12"/>
          <w:szCs w:val="12"/>
        </w:rPr>
        <w:t xml:space="preserve">●</w:t>
      </w:r>
      <w:r>
        <w:rPr>
          <w:rFonts w:ascii="Barlow" w:hAnsi="Barlow" w:cs="Barlow" w:eastAsia="Barlow"/>
          <w:color w:val="5F6B76"/>
          <w:sz w:val="15"/>
          <w:szCs w:val="15"/>
        </w:rPr>
        <w:t xml:space="preserve"> compartilhada; </w:t>
      </w:r>
      <w:r>
        <w:rPr>
          <w:rFonts w:ascii="Segoe UI Symbol" w:hAnsi="Segoe UI Symbol" w:cs="Segoe UI Symbol" w:eastAsia="Segoe UI Symbol"/>
          <w:color w:val="5F6B76"/>
          <w:sz w:val="12"/>
          <w:szCs w:val="12"/>
        </w:rPr>
        <w:t xml:space="preserve">●</w:t>
      </w:r>
      <w:r>
        <w:rPr>
          <w:rFonts w:ascii="Barlow" w:hAnsi="Barlow" w:cs="Barlow" w:eastAsia="Barlow"/>
          <w:color w:val="5F6B76"/>
          <w:sz w:val="15"/>
          <w:szCs w:val="15"/>
        </w:rPr>
        <w:t xml:space="preserve"> participação de apoio; — não atua.</w:t>
      </w:r>
    </w:p>
    <w:p>
      <w:pPr>
        <w:pStyle w:val="Heading2"/>
        <w:keepNext/>
        <w:spacing w:before="360" w:after="120" w:line="264" w:lineRule="auto"/>
        <w:jc w:val="left"/>
      </w:pPr>
      <w:bookmarkStart w:id="56" w:name="_h25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4.7 Calendário operacional</w:t>
      </w:r>
      <w:bookmarkEnd w:id="56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Os sete ritmos se encaixam: o contínuo alimenta o semanal, que alimenta o mensal, e assim por diante (Quadro 16). A semana-tipo (Quadro 17) é uma sugestão; cada SCS fixa a sua.</w:t>
      </w:r>
    </w:p>
    <w:p>
      <w:pPr>
        <w:keepNext/>
        <w:spacing w:before="200" w:after="100" w:line="264" w:lineRule="auto"/>
        <w:jc w:val="left"/>
      </w:pPr>
      <w:bookmarkStart w:id="57" w:name="_q_calendario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16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Calendário operacional do Ciclo de Inteligência Territorial</w:t>
      </w:r>
      <w:bookmarkEnd w:id="57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149"/>
        <w:gridCol w:w="3802"/>
        <w:gridCol w:w="2299"/>
        <w:gridCol w:w="1594"/>
      </w:tblGrid>
      <w:tr>
        <w:trPr>
          <w:tblHeader/>
          <w:cantSplit/>
        </w:trPr>
        <w:tc>
          <w:tcPr>
            <w:tcW w:w="114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RITMO</w:t>
            </w:r>
          </w:p>
        </w:tc>
        <w:tc>
          <w:tcPr>
            <w:tcW w:w="3802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ATIVIDADES (FASE)</w:t>
            </w:r>
          </w:p>
        </w:tc>
        <w:tc>
          <w:tcPr>
            <w:tcW w:w="229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PRODUTO</w:t>
            </w:r>
          </w:p>
        </w:tc>
        <w:tc>
          <w:tcPr>
            <w:tcW w:w="1594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RESPONSÁVEL PRINCIPAL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Contínuo</w:t>
            </w:r>
          </w:p>
        </w:tc>
        <w:tc>
          <w:tcPr>
            <w:tcW w:w="380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Registro de alertas e atualização da cartografia (F1); fluxo de 72 horas (F4)</w:t>
            </w:r>
          </w:p>
        </w:tc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no mapa; respostas registradas</w:t>
            </w:r>
          </w:p>
        </w:tc>
        <w:tc>
          <w:tcPr>
            <w:tcW w:w="159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Pesquisadores populares; serviços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Semanal</w:t>
            </w:r>
          </w:p>
        </w:tc>
        <w:tc>
          <w:tcPr>
            <w:tcW w:w="380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Revisão dos alertas e destaque dos críticos (F1); carga dos registros oficiais (F1); conferência de prazos (F4)</w:t>
            </w:r>
          </w:p>
        </w:tc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Lista de críticos; contagens por microárea</w:t>
            </w:r>
          </w:p>
        </w:tc>
        <w:tc>
          <w:tcPr>
            <w:tcW w:w="159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Supervisor; técnico de dados; Dupla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Mensal</w:t>
            </w:r>
          </w:p>
        </w:tc>
        <w:tc>
          <w:tcPr>
            <w:tcW w:w="380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Cruzamento dos fluxos e PVI (F2); reunião deliberativa (F3); encaminhamentos e incorporações (F4)</w:t>
            </w:r>
          </w:p>
        </w:tc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Relatório de dados; ata; respostas e incorporações registradas</w:t>
            </w:r>
          </w:p>
        </w:tc>
        <w:tc>
          <w:tcPr>
            <w:tcW w:w="159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Técnico de dados; Dupla; serviços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Trimestral</w:t>
            </w:r>
          </w:p>
        </w:tc>
        <w:tc>
          <w:tcPr>
            <w:tcW w:w="380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Prioridades do ciclo e programação das equipes (F3, F4); avaliação da articulação, IRS e Relatório de Ciclo (F5); atualização das Dimensões 2 e 3 dos DPT (F2)</w:t>
            </w:r>
          </w:p>
        </w:tc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Relatório de Ciclo; programação trimestral ajustada (APPT); categorias revistas</w:t>
            </w:r>
          </w:p>
        </w:tc>
        <w:tc>
          <w:tcPr>
            <w:tcW w:w="159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SCS; equipes de APS e vigilância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Semestral</w:t>
            </w:r>
          </w:p>
        </w:tc>
        <w:tc>
          <w:tcPr>
            <w:tcW w:w="380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Cálculo do IVT (F2); seminário de rede com as SCS ativas (F5); revisão da Dimensão 4 dos DPT (F2)</w:t>
            </w:r>
          </w:p>
        </w:tc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IVT por setor com incerteza; ata do seminário</w:t>
            </w:r>
          </w:p>
        </w:tc>
        <w:tc>
          <w:tcPr>
            <w:tcW w:w="159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Técnico de dados; Coordenação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Anual</w:t>
            </w:r>
          </w:p>
        </w:tc>
        <w:tc>
          <w:tcPr>
            <w:tcW w:w="380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Atualização do INS (F2); análise qualitativa integrada; revisão do Plano Popular; atualização do currículo; relatório técnico após devolução (F5)</w:t>
            </w:r>
          </w:p>
        </w:tc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INS; Plano Popular revisto; currículo atualizado; relatório técnico</w:t>
            </w:r>
          </w:p>
        </w:tc>
        <w:tc>
          <w:tcPr>
            <w:tcW w:w="159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Coordenação; SCS</w:t>
            </w:r>
          </w:p>
        </w:tc>
      </w:tr>
      <w:tr>
        <w:trPr>
          <w:cantSplit/>
        </w:trPr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Bienal</w:t>
            </w:r>
          </w:p>
        </w:tc>
        <w:tc>
          <w:tcPr>
            <w:tcW w:w="380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Validação de conteúdo do IVT com a SCS (F5)</w:t>
            </w:r>
          </w:p>
        </w:tc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Nova versão do IVT, se houver alteração</w:t>
            </w:r>
          </w:p>
        </w:tc>
        <w:tc>
          <w:tcPr>
            <w:tcW w:w="159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 e equipe técnica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keepNext/>
        <w:spacing w:before="200" w:after="100" w:line="264" w:lineRule="auto"/>
        <w:jc w:val="left"/>
      </w:pPr>
      <w:bookmarkStart w:id="58" w:name="_q_semana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17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Semana-tipo da SCS (sugestão)</w:t>
      </w:r>
      <w:bookmarkEnd w:id="58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945"/>
        <w:gridCol w:w="6899"/>
      </w:tblGrid>
      <w:tr>
        <w:trPr>
          <w:tblHeader/>
          <w:cantSplit/>
        </w:trPr>
        <w:tc>
          <w:tcPr>
            <w:tcW w:w="194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DIA</w:t>
            </w:r>
          </w:p>
        </w:tc>
        <w:tc>
          <w:tcPr>
            <w:tcW w:w="689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ROTINA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Todos os dias</w:t>
            </w:r>
          </w:p>
        </w:tc>
        <w:tc>
          <w:tcPr>
            <w:tcW w:w="68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Registro de alertas; alertas críticos disparam o fluxo de 72 horas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Segunda-feira</w:t>
            </w:r>
          </w:p>
        </w:tc>
        <w:tc>
          <w:tcPr>
            <w:tcW w:w="68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supervisor de campo revisa os alertas da semana anterior e destaca os críticos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Quarta-feira</w:t>
            </w:r>
          </w:p>
        </w:tc>
        <w:tc>
          <w:tcPr>
            <w:tcW w:w="68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Dupla de Facilitação confere os prazos dos encaminhamentos abertos</w:t>
            </w:r>
          </w:p>
        </w:tc>
      </w:tr>
      <w:tr>
        <w:trPr>
          <w:cantSplit/>
        </w:trPr>
        <w:tc>
          <w:tcPr>
            <w:tcW w:w="194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Sexta-feira</w:t>
            </w:r>
          </w:p>
        </w:tc>
        <w:tc>
          <w:tcPr>
            <w:tcW w:w="68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técnico de dados carrega as contagens oficiais e atualiza o mapa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59" w:name="_h26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4.8 Indicadores: o Painel de Vigilância Integrada</w:t>
      </w:r>
      <w:bookmarkEnd w:id="59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funcionamento do ciclo é acompanhado por nove indicadores, escolhidos segundo os mesmos critérios de qualidade adotados para o INS e o IVT (JANNUZZI, 2005; OECD, 2003): poucos, de coleta regular e mensal sempre que possível, com definição operacional explícita e fonte que já existe na rotina do ciclo. Diferentemente dos índices, os indicadores do PVI medem a atividade da própria intervenção e não são agregados entre si. Cada um responde a uma pergunta (Quadro 18).</w:t>
      </w:r>
    </w:p>
    <w:p>
      <w:pPr>
        <w:keepNext/>
        <w:spacing w:before="200" w:after="100" w:line="264" w:lineRule="auto"/>
        <w:jc w:val="left"/>
      </w:pPr>
      <w:bookmarkStart w:id="60" w:name="_q_pvi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18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Painel de Vigilância Integrada: indicadores e metas</w:t>
      </w:r>
      <w:bookmarkEnd w:id="60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530"/>
        <w:gridCol w:w="1503"/>
        <w:gridCol w:w="3095"/>
        <w:gridCol w:w="1415"/>
        <w:gridCol w:w="1149"/>
        <w:gridCol w:w="1152"/>
      </w:tblGrid>
      <w:tr>
        <w:trPr>
          <w:tblHeader/>
          <w:cantSplit/>
        </w:trPr>
        <w:tc>
          <w:tcPr>
            <w:tcW w:w="53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CÓD.</w:t>
            </w:r>
          </w:p>
        </w:tc>
        <w:tc>
          <w:tcPr>
            <w:tcW w:w="1503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INDICADOR E PERGUNTA</w:t>
            </w:r>
          </w:p>
        </w:tc>
        <w:tc>
          <w:tcPr>
            <w:tcW w:w="309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DEFINIÇÃO OPERACIONAL</w:t>
            </w:r>
          </w:p>
        </w:tc>
        <w:tc>
          <w:tcPr>
            <w:tcW w:w="1415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FONTE E PERIODICIDADE</w:t>
            </w:r>
          </w:p>
        </w:tc>
        <w:tc>
          <w:tcPr>
            <w:tcW w:w="114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META MÍNIMA</w:t>
            </w:r>
          </w:p>
        </w:tc>
        <w:tc>
          <w:tcPr>
            <w:tcW w:w="1152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META RECOMENDADA</w:t>
            </w:r>
          </w:p>
        </w:tc>
      </w:tr>
      <w:tr>
        <w:trPr>
          <w:cantSplit/>
        </w:trPr>
        <w:tc>
          <w:tcPr>
            <w:tcW w:w="8844" w:type="dxa"/>
            <w:gridSpan w:val="6"/>
            <w:shd w:val="clear" w:color="auto"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20"/>
                <w:sz w:val="15"/>
                <w:szCs w:val="15"/>
              </w:rPr>
              <w:t xml:space="preserve">SINAIS DAS DUAS VIGILÂNCIAS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V1</w:t>
            </w:r>
          </w:p>
        </w:tc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Sinal popular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o território sinaliza?</w:t>
            </w:r>
          </w:p>
        </w:tc>
        <w:tc>
          <w:tcPr>
            <w:tcW w:w="30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Alertas registrados por 1.000 habitantes, por categoria e microárea</w:t>
            </w:r>
          </w:p>
        </w:tc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Plataforma Ágora; mensal</w:t>
            </w:r>
          </w:p>
        </w:tc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Acompanhamento, sem meta</w:t>
            </w:r>
          </w:p>
        </w:tc>
        <w:tc>
          <w:tcPr>
            <w:tcW w:w="115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Acompanhamento, sem meta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V2</w:t>
            </w:r>
          </w:p>
        </w:tc>
        <w:tc>
          <w:tcPr>
            <w:tcW w:w="1503" w:type="dxa"/>
            <w:shd w:val="clear" w:color="auto" w:fill="E9F2EB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Sinal tradicional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que os serviços registram?</w:t>
            </w:r>
          </w:p>
        </w:tc>
        <w:tc>
          <w:tcPr>
            <w:tcW w:w="309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Casos notificados dos agravos prioritários pactuados na SCS, exibidos por microárea; canal endêmico calculado por área da UBS ou Região Administrativa</w:t>
            </w:r>
          </w:p>
        </w:tc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SINAN; mensal</w:t>
            </w:r>
          </w:p>
        </w:tc>
        <w:tc>
          <w:tcPr>
            <w:tcW w:w="114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Acompanhamento, sem meta</w:t>
            </w:r>
          </w:p>
        </w:tc>
        <w:tc>
          <w:tcPr>
            <w:tcW w:w="115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Acompanhamento, sem meta</w:t>
            </w:r>
          </w:p>
        </w:tc>
      </w:tr>
      <w:tr>
        <w:trPr>
          <w:cantSplit/>
        </w:trPr>
        <w:tc>
          <w:tcPr>
            <w:tcW w:w="8844" w:type="dxa"/>
            <w:gridSpan w:val="6"/>
            <w:shd w:val="clear" w:color="auto"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20"/>
                <w:sz w:val="15"/>
                <w:szCs w:val="15"/>
              </w:rPr>
              <w:t xml:space="preserve">ARTICULAÇÃO ENTRE AS VIGILÂNCIAS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V3</w:t>
            </w:r>
          </w:p>
        </w:tc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Confirmação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alerta se confirma?</w:t>
            </w:r>
          </w:p>
        </w:tc>
        <w:tc>
          <w:tcPr>
            <w:tcW w:w="30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Coorte dos alertas registrados três meses antes, classificados em confirmados, descartados e não verificados pelo serviço; metas: proporção verificada e proporção confirmada entre os verificados</w:t>
            </w:r>
          </w:p>
        </w:tc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Ágora × SINAN e e-SUS APS, no ambiente seguro; mensal</w:t>
            </w:r>
          </w:p>
        </w:tc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80% verificados; ≥ 40% confirmados</w:t>
            </w:r>
          </w:p>
        </w:tc>
        <w:tc>
          <w:tcPr>
            <w:tcW w:w="115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95% verificados; ≥ 60% confirmados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V4</w:t>
            </w:r>
          </w:p>
        </w:tc>
        <w:tc>
          <w:tcPr>
            <w:tcW w:w="1503" w:type="dxa"/>
            <w:shd w:val="clear" w:color="auto" w:fill="E9F2EB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Antecipação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território antecipa?</w:t>
            </w:r>
          </w:p>
        </w:tc>
        <w:tc>
          <w:tcPr>
            <w:tcW w:w="309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Para agravos agudos prioritários (por exemplo, arboviroses), proporção dos casos notificados precedidos, nos 30 dias anteriores e na mesma microárea, por alerta popular de categoria compatível; reporta-se ao lado o valor esperado ao acaso, dada a frequência de alertas</w:t>
            </w:r>
          </w:p>
        </w:tc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SINAN × Ágora, no ambiente seguro; mensal</w:t>
            </w:r>
          </w:p>
        </w:tc>
        <w:tc>
          <w:tcPr>
            <w:tcW w:w="114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30% e acima do esperado ao acaso</w:t>
            </w:r>
          </w:p>
        </w:tc>
        <w:tc>
          <w:tcPr>
            <w:tcW w:w="115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50%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V5</w:t>
            </w:r>
          </w:p>
        </w:tc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Visibilização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invisível passou a constar?</w:t>
            </w:r>
          </w:p>
        </w:tc>
        <w:tc>
          <w:tcPr>
            <w:tcW w:w="30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Número de invisibilidades verificadas e incorporadas aos sistemas oficiais, por tipo (Quadro 14)</w:t>
            </w:r>
          </w:p>
        </w:tc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Atas e registros de incorporação; trimestral</w:t>
            </w:r>
          </w:p>
        </w:tc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Ao menos 1 incorporação por trimestre</w:t>
            </w:r>
          </w:p>
        </w:tc>
        <w:tc>
          <w:tcPr>
            <w:tcW w:w="115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Tendência crescente nos primeiros quatro trimestres</w:t>
            </w:r>
          </w:p>
        </w:tc>
      </w:tr>
      <w:tr>
        <w:trPr>
          <w:cantSplit/>
        </w:trPr>
        <w:tc>
          <w:tcPr>
            <w:tcW w:w="8844" w:type="dxa"/>
            <w:gridSpan w:val="6"/>
            <w:shd w:val="clear" w:color="auto"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20"/>
                <w:sz w:val="15"/>
                <w:szCs w:val="15"/>
              </w:rPr>
              <w:t xml:space="preserve">RESPOSTA E GOVERNANÇA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V6</w:t>
            </w:r>
          </w:p>
        </w:tc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Resposta a alertas críticos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 serviço responde ao alerta crítico?</w:t>
            </w:r>
          </w:p>
        </w:tc>
        <w:tc>
          <w:tcPr>
            <w:tcW w:w="30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Proporção dos alertas críticos com resposta registrada pelo serviço em até 72 horas; tempo mediano até a resposta</w:t>
            </w:r>
          </w:p>
        </w:tc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Ágora; mensal</w:t>
            </w:r>
          </w:p>
        </w:tc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80%</w:t>
            </w:r>
          </w:p>
        </w:tc>
        <w:tc>
          <w:tcPr>
            <w:tcW w:w="115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95%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V7</w:t>
            </w:r>
          </w:p>
        </w:tc>
        <w:tc>
          <w:tcPr>
            <w:tcW w:w="1503" w:type="dxa"/>
            <w:shd w:val="clear" w:color="auto" w:fill="E9F2EB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Resposta a encaminhamentos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gestão responde à Sala?</w:t>
            </w:r>
          </w:p>
        </w:tc>
        <w:tc>
          <w:tcPr>
            <w:tcW w:w="309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Proporção dos encaminhamentos da SCS com resposta institucional registrada dentro do prazo do seu registro de ação</w:t>
            </w:r>
          </w:p>
        </w:tc>
        <w:tc>
          <w:tcPr>
            <w:tcW w:w="1415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Atas e Ágora; mensal</w:t>
            </w:r>
          </w:p>
        </w:tc>
        <w:tc>
          <w:tcPr>
            <w:tcW w:w="114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60%</w:t>
            </w:r>
          </w:p>
        </w:tc>
        <w:tc>
          <w:tcPr>
            <w:tcW w:w="1152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80%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V8</w:t>
            </w:r>
          </w:p>
        </w:tc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Incorporação à programação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 Sala muda a rotina dos serviços?</w:t>
            </w:r>
          </w:p>
        </w:tc>
        <w:tc>
          <w:tcPr>
            <w:tcW w:w="30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Proporção das prioridades pactuadas na SCS incluídas na programação trimestral das equipes de APS e de vigilância (APPT)</w:t>
            </w:r>
          </w:p>
        </w:tc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Atas e programação das equipes; trimestral</w:t>
            </w:r>
          </w:p>
        </w:tc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50%</w:t>
            </w:r>
          </w:p>
        </w:tc>
        <w:tc>
          <w:tcPr>
            <w:tcW w:w="115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75%</w:t>
            </w:r>
          </w:p>
        </w:tc>
      </w:tr>
      <w:tr>
        <w:trPr>
          <w:cantSplit/>
        </w:trPr>
        <w:tc>
          <w:tcPr>
            <w:tcW w:w="8844" w:type="dxa"/>
            <w:gridSpan w:val="6"/>
            <w:shd w:val="clear" w:color="auto"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01366F"/>
                <w:spacing w:val="20"/>
                <w:sz w:val="15"/>
                <w:szCs w:val="15"/>
              </w:rPr>
              <w:t xml:space="preserve">PARTICIPAÇÃO</w:t>
            </w:r>
          </w:p>
        </w:tc>
      </w:tr>
      <w:tr>
        <w:trPr>
          <w:cantSplit/>
        </w:trPr>
        <w:tc>
          <w:tcPr>
            <w:tcW w:w="5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V9</w:t>
            </w:r>
          </w:p>
        </w:tc>
        <w:tc>
          <w:tcPr>
            <w:tcW w:w="1503" w:type="dxa"/>
            <w:shd w:val="clear" w:color="auto" w:fill="FFFFFF"/>
            <w:vAlign w:val="top"/>
          </w:tcPr>
          <w:p>
            <w:pPr>
              <w:spacing w:before="0" w:after="3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Participação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Quem participa?</w:t>
            </w:r>
          </w:p>
        </w:tc>
        <w:tc>
          <w:tcPr>
            <w:tcW w:w="309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Proporção dos pesquisadores populares formados com ao menos um registro no mês; número de segmentos comunitários presentes na reunião</w:t>
            </w:r>
          </w:p>
        </w:tc>
        <w:tc>
          <w:tcPr>
            <w:tcW w:w="1415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Ágora e lista de presença; mensal</w:t>
            </w:r>
          </w:p>
        </w:tc>
        <w:tc>
          <w:tcPr>
            <w:tcW w:w="114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50% e ≥ 2 segmentos</w:t>
            </w:r>
          </w:p>
        </w:tc>
        <w:tc>
          <w:tcPr>
            <w:tcW w:w="1152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≥ 70% e ≥ 4 segmentos</w:t>
            </w:r>
          </w:p>
        </w:tc>
      </w:tr>
    </w:tbl>
    <w:p>
      <w:pPr>
        <w:spacing w:before="60" w:after="220" w:line="240" w:lineRule="auto"/>
        <w:jc w:val="left"/>
      </w:pPr>
      <w:r>
        <w:rPr>
          <w:rFonts w:ascii="Barlow" w:hAnsi="Barlow" w:cs="Barlow" w:eastAsia="Barlow"/>
          <w:color w:val="5F6B76"/>
          <w:sz w:val="15"/>
          <w:szCs w:val="15"/>
        </w:rPr>
        <w:t xml:space="preserve">Metas propostas, a pactuar na SCS e com a gestão no ciclo inaugural.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Como ler o painel.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V1 e V2 não têm meta, porque mais sinais podem indicar mais problemas, mais observação ou ambos: são lidos juntos, sobre o mapa do IVT, com a matriz de leitura de sinais (Figura 14), e é a SCS quem decide o que significam. V3 e V4 medem se as duas vigilâncias se reforçam: confirmação baixa entre os alertas verificados pede revisão das categorias e da formação, enquanto muitos alertas não verificados indicam falha do serviço, e não da vigilância popular; antecipação baixa pede revisão das categorias de alerta, da formação e da participação na microárea, e do fluxo entre a SCS e os serviços. V6 a V8 medem a exigibilidade, ou seja, se o território é ouvido. Sem esses indicadores, a vigilância popular pode registrar muito e não mudar nada.</w:t>
      </w:r>
    </w:p>
    <w:p>
      <w:pPr>
        <w:spacing w:before="0" w:after="140" w:line="300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Gatilhos de intervenção.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Um indicador (de V3 a V9) abaixo da meta mínima por dois períodos de apuração consecutivos é examinado pelo supervisor de campo e levado à SCS com proposta de correção. V6 abaixo da meta mínima por dois meses consecutivos aciona o Nível 2 de governança, com o histórico de alertas sem resposta. Dois ou mais indicadores do mesmo bloco abaixo da meta mínima tornam o bloco pauta prioritária do Relatório de Ciclo.</w:t>
      </w:r>
    </w:p>
    <w:p>
      <w:pPr>
        <w:pStyle w:val="Heading2"/>
        <w:keepNext/>
        <w:spacing w:before="360" w:after="120" w:line="264" w:lineRule="auto"/>
        <w:jc w:val="left"/>
      </w:pPr>
      <w:bookmarkStart w:id="61" w:name="_h27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4.9 Governança e escalonamento</w:t>
      </w:r>
      <w:bookmarkEnd w:id="61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preponderância do território tem forma institucional. A governança da IT opera em três níveis, com competências distintas e não sobrepostas (Figura 16). Os níveis de cima existem para sustentar e cobrar, não para decidir no lugar do território.</w:t>
      </w:r>
    </w:p>
    <w:p>
      <w:pPr>
        <w:keepNext/>
        <w:spacing w:before="0" w:after="0" w:line="200" w:lineRule="exact"/>
        <w:jc w:val="both"/>
      </w:pPr>
    </w:p>
    <w:tbl>
      <w:tblPr>
        <w:tblW w:w="8844" w:type="dxa"/>
        <w:jc w:val="center"/>
        <w:tblBorders>
          <w:top w:val="single" w:sz="6" w:space="0" w:color="D9DEE3"/>
          <w:left w:val="single" w:sz="6" w:space="0" w:color="D9DEE3"/>
          <w:bottom w:val="single" w:sz="6" w:space="0" w:color="D9DEE3"/>
          <w:right w:val="single" w:sz="6" w:space="0" w:color="D9DEE3"/>
          <w:insideH w:val="nil"/>
          <w:insideV w:val="nil"/>
        </w:tblBorders>
        <w:tblLayout w:type="fixed"/>
        <w:tblCellMar>
          <w:top w:w="180" w:type="dxa"/>
          <w:left w:w="180" w:type="dxa"/>
          <w:bottom w:w="160" w:type="dxa"/>
          <w:right w:w="180" w:type="dxa"/>
        </w:tblCellMar>
        <w:tblLook w:val="0000"/>
      </w:tblPr>
      <w:tblGrid>
        <w:gridCol w:w="8844"/>
      </w:tblGrid>
      <w:tr>
        <w:trPr>
          <w:cantSplit/>
        </w:trPr>
        <w:tc>
          <w:tcPr>
            <w:tcW w:w="8844" w:type="dxa"/>
            <w:shd w:val="clear" w:color="auto" w:fill="FFFFFF"/>
          </w:tcPr>
          <w:p>
            <w:pPr>
              <w:keepNext/>
              <w:spacing w:before="0" w:after="120" w:line="264" w:lineRule="auto"/>
              <w:jc w:val="left"/>
            </w:pPr>
            <w:bookmarkStart w:id="62" w:name="_f_gov"/>
            <w:r>
              <w:rPr>
                <w:rFonts w:ascii="Barlow Condensed SemiBold" w:hAnsi="Barlow Condensed SemiBold" w:cs="Barlow Condensed SemiBold" w:eastAsia="Barlow Condensed SemiBold"/>
                <w:color w:val="007614"/>
                <w:sz w:val="21"/>
                <w:szCs w:val="21"/>
              </w:rPr>
              <w:t xml:space="preserve">Figura 16 – </w:t>
            </w:r>
            <w:r>
              <w:rPr>
                <w:rFonts w:ascii="Barlow Condensed SemiBold" w:hAnsi="Barlow Condensed SemiBold" w:cs="Barlow Condensed SemiBold" w:eastAsia="Barlow Condensed SemiBold"/>
                <w:color w:val="01366F"/>
                <w:sz w:val="21"/>
                <w:szCs w:val="21"/>
              </w:rPr>
              <w:t xml:space="preserve">Governança em três níveis e subsidiariedade ascendente</w:t>
            </w:r>
            <w:bookmarkEnd w:id="62"/>
          </w:p>
          <w:p>
            <w:pPr>
              <w:spacing w:before="0" w:after="0" w:line="240" w:lineRule="auto"/>
              <w:jc w:val="center"/>
            </w:pPr>
            <w:r>
              <w:drawing>
                <wp:inline distT="0" distB="0" distL="0" distR="0">
                  <wp:extent cx="5387340" cy="2187260"/>
                  <wp:effectExtent l="0" t="0" r="0" b="0"/>
                  <wp:docPr id="37" name="img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img3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7340" cy="2187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exact"/>
        <w:jc w:val="both"/>
      </w:pPr>
    </w:p>
    <w:p>
      <w:pPr>
        <w:pStyle w:val="ListParagraph"/>
        <w:numPr>
          <w:ilvl w:val="0"/>
          <w:numId w:val="25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Nível 1 – Governança territorial (SCS).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As Salas de Cooperação Social são a instância primária. Têm competência para definir a agenda das duas vigilâncias no território; validar ou contestar os dados oficiais e populares e os sinais do Painel; aprovar o Plano Popular e os encaminhamentos; e autorizar o uso dos dados do território em publicações. Nenhuma decisão sobre dados ou ações territoriais é tomada sem a SCS.</w:t>
      </w:r>
    </w:p>
    <w:p>
      <w:pPr>
        <w:pStyle w:val="ListParagraph"/>
        <w:numPr>
          <w:ilvl w:val="0"/>
          <w:numId w:val="25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Nível 2 – Governança metodológica (CTIS).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 CoLaboratório CTIS mantém a Plataforma Ágora; assegura a conformidade com a Lei Geral de Proteção de Dados; calcula o INS, o IVT e o PVI; produz os relatórios técnicos; conduz o escalonamento de alertas sem resposta; e coordena a Franquia Social Metodológica. Não pode decidir sobre dados ou ações territoriais sem deliberação da SCS.</w:t>
      </w:r>
    </w:p>
    <w:p>
      <w:pPr>
        <w:pStyle w:val="ListParagraph"/>
        <w:numPr>
          <w:ilvl w:val="0"/>
          <w:numId w:val="25"/>
        </w:numPr>
        <w:spacing w:before="0" w:after="16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Nível 3 – Governança institucional.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O acordo de parceria entre a Fiocruz Brasília e os parceiros da gestão pública garante o financiamento e a sustentabilidade da PICAPS, articula a IT com as políticas do SUS e da vigilância em saúde, representa a PICAPS junto ao Ministério da Saúde e trabalha pela incorporação da IT ao arcabouço normativo da APS e da vigilância.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Conflitos seguem o princípio da subsidiariedade ascendente: o que pode ser resolvido no Nível 1 não sobe ao Nível 2; apenas o que não se resolve no Nível 2 sobe ao Nível 3. Toda decisão tomada em nível superior volta à SCS para conhecimento e registro. O Quadro 19 indica quem resolve cada situação típica e o que precisa ser levado.</w:t>
      </w:r>
    </w:p>
    <w:p>
      <w:pPr>
        <w:keepNext/>
        <w:spacing w:before="200" w:after="100" w:line="264" w:lineRule="auto"/>
        <w:jc w:val="left"/>
      </w:pPr>
      <w:bookmarkStart w:id="63" w:name="_q_escalonamento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19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Situações de escalonamento</w:t>
      </w:r>
      <w:bookmarkEnd w:id="63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3360"/>
        <w:gridCol w:w="2830"/>
        <w:gridCol w:w="2654"/>
      </w:tblGrid>
      <w:tr>
        <w:trPr>
          <w:tblHeader/>
          <w:cantSplit/>
        </w:trPr>
        <w:tc>
          <w:tcPr>
            <w:tcW w:w="336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SITUAÇÃO</w:t>
            </w:r>
          </w:p>
        </w:tc>
        <w:tc>
          <w:tcPr>
            <w:tcW w:w="283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QUEM RESOLVE</w:t>
            </w:r>
          </w:p>
        </w:tc>
        <w:tc>
          <w:tcPr>
            <w:tcW w:w="2654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O QUE LEVA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Divergência sobre a prioridade de um alerta</w:t>
            </w:r>
          </w:p>
        </w:tc>
        <w:tc>
          <w:tcPr>
            <w:tcW w:w="28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Nível 1, na reunião</w:t>
            </w:r>
          </w:p>
        </w:tc>
        <w:tc>
          <w:tcPr>
            <w:tcW w:w="265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Matriz UIC e motivo registrado em ata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Alerta crítico sem resposta em 72 horas</w:t>
            </w:r>
          </w:p>
        </w:tc>
        <w:tc>
          <w:tcPr>
            <w:tcW w:w="28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Nível 2 notifica a coordenação regional de saúde</w:t>
            </w:r>
          </w:p>
        </w:tc>
        <w:tc>
          <w:tcPr>
            <w:tcW w:w="265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Registro do alerta e da comunicação formal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V6 abaixo da meta mínima por dois meses consecutivos</w:t>
            </w:r>
          </w:p>
        </w:tc>
        <w:tc>
          <w:tcPr>
            <w:tcW w:w="28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Nível 2</w:t>
            </w:r>
          </w:p>
        </w:tc>
        <w:tc>
          <w:tcPr>
            <w:tcW w:w="265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Histórico de alertas sem resposta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Indicador de V3 a V9 abaixo da meta mínima por dois períodos consecutivos</w:t>
            </w:r>
          </w:p>
        </w:tc>
        <w:tc>
          <w:tcPr>
            <w:tcW w:w="28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Supervisor de campo leva à SCS</w:t>
            </w:r>
          </w:p>
        </w:tc>
        <w:tc>
          <w:tcPr>
            <w:tcW w:w="265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Proposta de correção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Dois ou mais indicadores do mesmo bloco abaixo da meta mínima</w:t>
            </w:r>
          </w:p>
        </w:tc>
        <w:tc>
          <w:tcPr>
            <w:tcW w:w="28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SCS, no Relatório de Ciclo</w:t>
            </w:r>
          </w:p>
        </w:tc>
        <w:tc>
          <w:tcPr>
            <w:tcW w:w="265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Pauta prioritária do trimestre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Discordância sobre o método de cálculo de um indicador</w:t>
            </w:r>
          </w:p>
        </w:tc>
        <w:tc>
          <w:tcPr>
            <w:tcW w:w="28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Nível 2; para o IVT, na validação de conteúdo bienal com a SCS</w:t>
            </w:r>
          </w:p>
        </w:tc>
        <w:tc>
          <w:tcPr>
            <w:tcW w:w="265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Ficha técnica e metaindicadores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Encaminhamento que exige decisão institucional</w:t>
            </w:r>
          </w:p>
        </w:tc>
        <w:tc>
          <w:tcPr>
            <w:tcW w:w="283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Níveis 2 e 3, por advocacy (90 a 180 dias)</w:t>
            </w:r>
          </w:p>
        </w:tc>
        <w:tc>
          <w:tcPr>
            <w:tcW w:w="265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INS, IVT e histórico de respostas</w:t>
            </w:r>
          </w:p>
        </w:tc>
      </w:tr>
      <w:tr>
        <w:trPr>
          <w:cantSplit/>
        </w:trPr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Disputa sobre o uso institucional dos dados do território</w:t>
            </w:r>
          </w:p>
        </w:tc>
        <w:tc>
          <w:tcPr>
            <w:tcW w:w="283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Nível 3</w:t>
            </w:r>
          </w:p>
        </w:tc>
        <w:tc>
          <w:tcPr>
            <w:tcW w:w="265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Autorização da SCS e termos de uso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Uma regra não se escalona: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devolver antes de publicar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Nenhum resultado chega à gestão, à academia ou a financiadores antes de ter sido apresentado e discutido na SCS.</w:t>
      </w:r>
    </w:p>
    <w:p>
      <w:pPr>
        <w:pStyle w:val="Heading2"/>
        <w:keepNext/>
        <w:spacing w:before="360" w:after="120" w:line="264" w:lineRule="auto"/>
        <w:jc w:val="left"/>
      </w:pPr>
      <w:bookmarkStart w:id="64" w:name="_h28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4.10 Ameaças à sustentabilidade e contingência</w:t>
      </w:r>
      <w:bookmarkEnd w:id="64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experiência acumulada da PICAPS entre 2020 e 2026 identificou quatro ameaças recorrentes à IT. Cada uma tem um sinal de alerta, em geral lido no PVI, que aparece antes do colapso, e uma contramedida definida (Quadro 20).</w:t>
      </w:r>
    </w:p>
    <w:p>
      <w:pPr>
        <w:keepNext/>
        <w:spacing w:before="200" w:after="100" w:line="264" w:lineRule="auto"/>
        <w:jc w:val="left"/>
      </w:pPr>
      <w:bookmarkStart w:id="65" w:name="_q_ameaca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20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Ameaças, sinais de alerta e contramedidas</w:t>
      </w:r>
      <w:bookmarkEnd w:id="65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91"/>
        <w:gridCol w:w="2299"/>
        <w:gridCol w:w="3360"/>
        <w:gridCol w:w="1594"/>
      </w:tblGrid>
      <w:tr>
        <w:trPr>
          <w:tblHeader/>
          <w:cantSplit/>
        </w:trPr>
        <w:tc>
          <w:tcPr>
            <w:tcW w:w="1591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AMEAÇA</w:t>
            </w:r>
          </w:p>
        </w:tc>
        <w:tc>
          <w:tcPr>
            <w:tcW w:w="2299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SINAL DE ALERTA</w:t>
            </w:r>
          </w:p>
        </w:tc>
        <w:tc>
          <w:tcPr>
            <w:tcW w:w="336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CONTRAMEDIDA</w:t>
            </w:r>
          </w:p>
        </w:tc>
        <w:tc>
          <w:tcPr>
            <w:tcW w:w="1594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QUEM ACIONA</w:t>
            </w:r>
          </w:p>
        </w:tc>
      </w:tr>
      <w:tr>
        <w:trPr>
          <w:cantSplit/>
        </w:trPr>
        <w:tc>
          <w:tcPr>
            <w:tcW w:w="159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Fadiga participativa</w:t>
            </w:r>
          </w:p>
        </w:tc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Queda de V9; as mesmas pessoas em todas as tarefas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Incentivos formais (ajuda de custo); distribuição da carga entre mais pesquisadores populares; autonomia progressiva</w:t>
            </w:r>
          </w:p>
        </w:tc>
        <w:tc>
          <w:tcPr>
            <w:tcW w:w="159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Supervisor de campo e Coordenação do CTIS</w:t>
            </w:r>
          </w:p>
        </w:tc>
      </w:tr>
      <w:tr>
        <w:trPr>
          <w:cantSplit/>
        </w:trPr>
        <w:tc>
          <w:tcPr>
            <w:tcW w:w="159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Captura tecnocrática</w:t>
            </w:r>
          </w:p>
        </w:tc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Técnicos falam mais que pesquisadores populares; poucas contestações registradas em ata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Roteiro de condução da reunião (pesquisadores populares falam primeiro); nenhum dado técnico vira ação sem deliberação</w:t>
            </w:r>
          </w:p>
        </w:tc>
        <w:tc>
          <w:tcPr>
            <w:tcW w:w="159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Dupla de Facilitação</w:t>
            </w:r>
          </w:p>
        </w:tc>
      </w:tr>
      <w:tr>
        <w:trPr>
          <w:cantSplit/>
        </w:trPr>
        <w:tc>
          <w:tcPr>
            <w:tcW w:w="1591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Desconexão entre IT e ação</w:t>
            </w:r>
          </w:p>
        </w:tc>
        <w:tc>
          <w:tcPr>
            <w:tcW w:w="2299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Queda de V6, V7 ou V8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Escalonamento ao Nível 2; devolução transparente à SCS do destino de cada encaminhamento; advocacy com o histórico de respostas</w:t>
            </w:r>
          </w:p>
        </w:tc>
        <w:tc>
          <w:tcPr>
            <w:tcW w:w="1594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Dupla de Facilitação e Nível 2</w:t>
            </w:r>
          </w:p>
        </w:tc>
      </w:tr>
      <w:tr>
        <w:trPr>
          <w:cantSplit/>
        </w:trPr>
        <w:tc>
          <w:tcPr>
            <w:tcW w:w="1591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Dependência tecnológica</w:t>
            </w:r>
          </w:p>
        </w:tc>
        <w:tc>
          <w:tcPr>
            <w:tcW w:w="2299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Plataforma Ágora indisponível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Modo contingência (a seguir)</w:t>
            </w:r>
          </w:p>
        </w:tc>
        <w:tc>
          <w:tcPr>
            <w:tcW w:w="1594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Técnico de dados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No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modo contingência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enquanto a Plataforma Ágora estiver indisponível:</w:t>
      </w:r>
    </w:p>
    <w:p>
      <w:pPr>
        <w:pStyle w:val="ListParagraph"/>
        <w:numPr>
          <w:ilvl w:val="0"/>
          <w:numId w:val="26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SCS e os pesquisadores populares são avisados de que o modo contingência está ativo</w:t>
      </w:r>
    </w:p>
    <w:p>
      <w:pPr>
        <w:pStyle w:val="ListParagraph"/>
        <w:numPr>
          <w:ilvl w:val="0"/>
          <w:numId w:val="26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Usam-se formulários físicos equivalentes (local, data e hora, categoria, urgência)</w:t>
      </w:r>
    </w:p>
    <w:p>
      <w:pPr>
        <w:pStyle w:val="ListParagraph"/>
        <w:numPr>
          <w:ilvl w:val="0"/>
          <w:numId w:val="26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Nos alertas críticos, a Dupla comunica a UBS e a vigilância diretamente, mantendo as 72 horas</w:t>
      </w:r>
    </w:p>
    <w:p>
      <w:pPr>
        <w:pStyle w:val="ListParagraph"/>
        <w:numPr>
          <w:ilvl w:val="0"/>
          <w:numId w:val="26"/>
        </w:numPr>
        <w:spacing w:before="0" w:after="7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reunião usa o mapa e o Painel impressos do último mês disponível</w:t>
      </w:r>
    </w:p>
    <w:p>
      <w:pPr>
        <w:pStyle w:val="ListParagraph"/>
        <w:numPr>
          <w:ilvl w:val="0"/>
          <w:numId w:val="26"/>
        </w:numPr>
        <w:spacing w:before="0" w:after="160" w:line="288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Ao voltar o sistema, os formulários são digitados e o período é marcado como "contingência"</w:t>
      </w:r>
    </w:p>
    <w:p>
      <w:pPr>
        <w:pStyle w:val="Heading2"/>
        <w:keepNext/>
        <w:spacing w:before="360" w:after="120" w:line="264" w:lineRule="auto"/>
        <w:jc w:val="left"/>
      </w:pPr>
      <w:bookmarkStart w:id="66" w:name="_h29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4.11 Parâmetros a pactuar no ciclo inaugural</w:t>
      </w:r>
      <w:bookmarkEnd w:id="66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Alguns parâmetros do protocolo são propostas que precisam ser pactuadas no ciclo inaugural, com a SCS, os serviços e a gestão (Quadro 21). A pactuação é registrada em ata e revista na reflexividade anual.</w:t>
      </w:r>
    </w:p>
    <w:p>
      <w:pPr>
        <w:keepNext/>
        <w:spacing w:before="200" w:after="100" w:line="264" w:lineRule="auto"/>
        <w:jc w:val="left"/>
      </w:pPr>
      <w:bookmarkStart w:id="67" w:name="_q_parametros"/>
      <w:r>
        <w:rPr>
          <w:rFonts w:ascii="Barlow Condensed SemiBold" w:hAnsi="Barlow Condensed SemiBold" w:cs="Barlow Condensed SemiBold" w:eastAsia="Barlow Condensed SemiBold"/>
          <w:color w:val="007614"/>
          <w:sz w:val="21"/>
          <w:szCs w:val="21"/>
        </w:rPr>
        <w:t xml:space="preserve">Quadro 21 – </w:t>
      </w:r>
      <w:r>
        <w:rPr>
          <w:rFonts w:ascii="Barlow Condensed SemiBold" w:hAnsi="Barlow Condensed SemiBold" w:cs="Barlow Condensed SemiBold" w:eastAsia="Barlow Condensed SemiBold"/>
          <w:color w:val="01366F"/>
          <w:sz w:val="21"/>
          <w:szCs w:val="21"/>
        </w:rPr>
        <w:t xml:space="preserve">Parâmetros a pactuar no ciclo inaugural</w:t>
      </w:r>
      <w:bookmarkEnd w:id="67"/>
    </w:p>
    <w:tbl>
      <w:tblPr>
        <w:tblW w:w="8844" w:type="dxa"/>
        <w:jc w:val="center"/>
        <w:tblBorders>
          <w:top w:val="nil"/>
          <w:left w:val="nil"/>
          <w:bottom w:val="single" w:sz="6" w:space="0" w:color="01366F"/>
          <w:right w:val="nil"/>
          <w:insideH w:val="single" w:sz="4" w:space="0" w:color="D9DEE3"/>
          <w:insideV w:val="nil"/>
        </w:tblBorders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3006"/>
        <w:gridCol w:w="3360"/>
        <w:gridCol w:w="2478"/>
      </w:tblGrid>
      <w:tr>
        <w:trPr>
          <w:tblHeader/>
          <w:cantSplit/>
        </w:trPr>
        <w:tc>
          <w:tcPr>
            <w:tcW w:w="3006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PARÂMETRO</w:t>
            </w:r>
          </w:p>
        </w:tc>
        <w:tc>
          <w:tcPr>
            <w:tcW w:w="3360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PROPOSTA DO PROTOCOLO</w:t>
            </w:r>
          </w:p>
        </w:tc>
        <w:tc>
          <w:tcPr>
            <w:tcW w:w="2478" w:type="dxa"/>
            <w:shd w:val="clear" w:color="auto" w:fill="01366F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Barlow Condensed SemiBold" w:hAnsi="Barlow Condensed SemiBold" w:cs="Barlow Condensed SemiBold" w:eastAsia="Barlow Condensed SemiBold"/>
                <w:color w:val="FFFFFF"/>
                <w:spacing w:val="15"/>
                <w:sz w:val="15"/>
                <w:szCs w:val="15"/>
              </w:rPr>
              <w:t xml:space="preserve">QUEM PACTUA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Metas do PVI (V3 a V9)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Mínima e recomendada conforme o Quadro 18</w:t>
            </w:r>
          </w:p>
        </w:tc>
        <w:tc>
          <w:tcPr>
            <w:tcW w:w="247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 e gestão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Agravos prioritários e categorias de alerta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Definidos pelo Plano Popular</w:t>
            </w:r>
          </w:p>
        </w:tc>
        <w:tc>
          <w:tcPr>
            <w:tcW w:w="247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SCS, com APS e vigilância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Janela de antecipação (V4)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30 dias, mesma microárea, categoria compatível</w:t>
            </w:r>
          </w:p>
        </w:tc>
        <w:tc>
          <w:tcPr>
            <w:tcW w:w="247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Vigilância em Saúde e CTIS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Prazo de resposta a alertas críticos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72 horas a partir da hora zero</w:t>
            </w:r>
          </w:p>
        </w:tc>
        <w:tc>
          <w:tcPr>
            <w:tcW w:w="247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SCS, UBS e vigilância, por escrito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Entrega do relatório de dados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Antes da reunião, em linguagem legível</w:t>
            </w:r>
          </w:p>
        </w:tc>
        <w:tc>
          <w:tcPr>
            <w:tcW w:w="247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Dupla e técnico de dados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Dia fixo da reunião e semana-tipo</w:t>
            </w:r>
          </w:p>
        </w:tc>
        <w:tc>
          <w:tcPr>
            <w:tcW w:w="3360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Cada SCS fixa os seus</w:t>
            </w:r>
          </w:p>
        </w:tc>
        <w:tc>
          <w:tcPr>
            <w:tcW w:w="2478" w:type="dxa"/>
            <w:shd w:val="clear" w:color="auto" w:fill="E9F2EB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</w:t>
            </w:r>
          </w:p>
        </w:tc>
      </w:tr>
      <w:tr>
        <w:trPr>
          <w:cantSplit/>
        </w:trPr>
        <w:tc>
          <w:tcPr>
            <w:tcW w:w="3006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 SemiBold" w:hAnsi="Barlow SemiBold" w:cs="Barlow SemiBold" w:eastAsia="Barlow SemiBold"/>
                <w:color w:val="01366F"/>
                <w:sz w:val="17"/>
                <w:szCs w:val="17"/>
              </w:rPr>
              <w:t xml:space="preserve">Segmentos comunitários acompanhados em V9</w:t>
            </w:r>
          </w:p>
        </w:tc>
        <w:tc>
          <w:tcPr>
            <w:tcW w:w="3360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Os do mapa sociométrico da Etapa 1</w:t>
            </w:r>
          </w:p>
        </w:tc>
        <w:tc>
          <w:tcPr>
            <w:tcW w:w="2478" w:type="dxa"/>
            <w:shd w:val="clear" w:color="auto" w:fill="FFFFFF"/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Barlow" w:hAnsi="Barlow" w:cs="Barlow" w:eastAsia="Barlow"/>
                <w:color w:val="0F2440"/>
                <w:sz w:val="17"/>
                <w:szCs w:val="17"/>
              </w:rPr>
              <w:t xml:space="preserve">SCS</w:t>
            </w:r>
          </w:p>
        </w:tc>
      </w:tr>
    </w:tbl>
    <w:p>
      <w:pPr>
        <w:spacing w:before="0" w:after="120" w:line="200" w:lineRule="exact"/>
        <w:jc w:val="both"/>
      </w:pPr>
    </w:p>
    <w:p>
      <w:pPr>
        <w:pStyle w:val="Heading2"/>
        <w:keepNext/>
        <w:spacing w:before="360" w:after="120" w:line="264" w:lineRule="auto"/>
        <w:jc w:val="left"/>
      </w:pPr>
      <w:bookmarkStart w:id="68" w:name="_h30"/>
      <w:r>
        <w:rPr>
          <w:rFonts w:ascii="Barlow Condensed SemiBold" w:hAnsi="Barlow Condensed SemiBold" w:cs="Barlow Condensed SemiBold" w:eastAsia="Barlow Condensed SemiBold"/>
          <w:color w:val="007614"/>
          <w:sz w:val="32"/>
          <w:szCs w:val="32"/>
        </w:rPr>
        <w:t xml:space="preserve">4.12 Condições de sustentabilidade</w:t>
      </w:r>
      <w:bookmarkEnd w:id="68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sustentabilidade de longo prazo da IT requer quatro condições estruturais que transcendem o projeto de pesquisa e entram na esfera das políticas públicas:</w:t>
      </w:r>
    </w:p>
    <w:p>
      <w:pPr>
        <w:pStyle w:val="ListParagraph"/>
        <w:numPr>
          <w:ilvl w:val="0"/>
          <w:numId w:val="27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Institucionalização normativa: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incorporação da metodologia ao arcabouço normativo da APS e da vigilância em saúde, formalizando as SCS como dispositivos permanentes da rede de saúde, com linha de custeio.</w:t>
      </w:r>
    </w:p>
    <w:p>
      <w:pPr>
        <w:pStyle w:val="ListParagraph"/>
        <w:numPr>
          <w:ilvl w:val="0"/>
          <w:numId w:val="27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Financiamento recorrente: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migração do custeio da IT (pesquisadores populares, supervisão de campo, manutenção da Plataforma) da lógica de projeto para a de política pública.</w:t>
      </w:r>
    </w:p>
    <w:p>
      <w:pPr>
        <w:pStyle w:val="ListParagraph"/>
        <w:numPr>
          <w:ilvl w:val="0"/>
          <w:numId w:val="27"/>
        </w:numPr>
        <w:spacing w:before="0" w:after="70" w:line="288" w:lineRule="auto"/>
        <w:jc w:val="both"/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Autonomia progressiva das SCS: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as Salas devem aprender a produzir, interpretar e agir sobre o conhecimento territorial sem depender permanentemente do CTIS. A Franquia Social Metodológica codifica essa autonomia, que só se realiza se o desenho do sistema incentivar a independência.</w:t>
      </w:r>
    </w:p>
    <w:p>
      <w:pPr>
        <w:pStyle w:val="ListParagraph"/>
        <w:numPr>
          <w:ilvl w:val="0"/>
          <w:numId w:val="27"/>
        </w:numPr>
        <w:spacing w:before="0" w:after="160" w:line="288" w:lineRule="auto"/>
        <w:jc w:val="both"/>
        <w:sectPr>
          <w:headerReference w:type="default" r:id="rId38"/>
          <w:headerReference w:type="even" r:id="rId39"/>
          <w:footerReference w:type="default" r:id="rId32"/>
          <w:footerReference w:type="even" r:id="rId33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Ecossistema de IT: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 a IT de um território se fortalece quando territórios vizinhos também a praticam, porque os problemas de saúde não respeitam fronteiras administrativas, a troca de experiências acelera o aprendizado e uma rede de SCS tem mais força de advocacy. A Rede Distrital e Regional de CoLaboratórios é o instrumento para construir esse ecossistema.</w:t>
      </w:r>
    </w:p>
    <w:p>
      <w:pPr>
        <w:spacing w:before="0" w:after="0" w:line="700" w:lineRule="exact"/>
        <w:jc w:val="both"/>
      </w:pPr>
    </w:p>
    <w:p>
      <w:pPr>
        <w:spacing w:before="0" w:after="420" w:line="280" w:lineRule="auto"/>
        <w:jc w:val="left"/>
      </w:pPr>
      <w:r>
        <w:rPr>
          <w:rFonts w:ascii="Barlow Condensed SemiBold" w:hAnsi="Barlow Condensed SemiBold" w:cs="Barlow Condensed SemiBold" w:eastAsia="Barlow Condensed SemiBold"/>
          <w:color w:val="FFFFFF"/>
          <w:sz w:val="17"/>
          <w:szCs w:val="17"/>
          <w:shd w:val="clear" w:color="auto" w:fill="007614"/>
        </w:rPr>
        <w:t xml:space="preserve">  CONCLUSÃO  </w:t>
      </w:r>
    </w:p>
    <w:p>
      <w:pPr>
        <w:pStyle w:val="Heading1"/>
        <w:spacing w:before="0" w:after="0" w:line="860" w:lineRule="exact"/>
        <w:jc w:val="left"/>
        <w:sectPr>
          <w:headerReference w:type="default" r:id="rId29"/>
          <w:headerReference w:type="even" r:id="rId29"/>
          <w:footerReference w:type="default" r:id="rId27"/>
          <w:footerReference w:type="even" r:id="rId27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bookmarkStart w:id="69" w:name="_h31"/>
      <w:r>
        <w:rPr>
          <w:rFonts w:ascii="Barlow Condensed" w:hAnsi="Barlow Condensed" w:cs="Barlow Condensed" w:eastAsia="Barlow Condensed"/>
          <w:b/>
          <w:bCs/>
          <w:color w:val="01366F"/>
          <w:sz w:val="80"/>
          <w:szCs w:val="80"/>
        </w:rPr>
        <w:t xml:space="preserve">Conclusão</w:t>
      </w:r>
      <w:bookmarkEnd w:id="69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Inteligência Territorial parte de uma premissa: territórios vulnerabilizados possuem uma inteligência sobre si mesmos que os sistemas oficiais de saúde sistematicamente não captam, não reconhecem e não mobilizam. Este protocolo afirma que é possível transformar essa inteligência dispersa em capacidade organizada de produzir conhecimento, deliberar prioridades e exigir respostas, com o rigor que a ciência e a gestão pública demandam e com a legitimidade que apenas a participação do território pode conferir.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 protocolo não opõe a vigilância popular à vigilância epidemiológica tradicional, nem dissolve uma na outra. Põe as duas no mesmo mapa, traduz suas categorias sem subordiná-las e dá ao território a primeira e a última palavra sobre o que se vigia, o que os dados significam e o que se exige dos serviços. A preponderância do território não é declaração: está codificada em regras (nada sem a SCS; o dado informa e na Sala se decide; resposta registrada em 72 horas; devolução antes da publicação), em instrumentos (INS, IVT e Painel de Vigilância Integrada, com dados da intervenção separados das medidas de necessidade e de vulnerabilidade) e em fluxos (a incorporação das invisibilidades aos sistemas oficiais).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Este documento é técnico e político ao mesmo tempo. É técnico porque especifica instrumentos, papéis, prazos e indicadores que permitem que a IT funcione e seja avaliada. É político porque afirma que o conhecimento produzido pelos pesquisadores populares é tão legítimo quanto o produzido pelos especialistas, que as deliberações das SCS têm primazia na definição de prioridades e que a soberania do território sobre seus dados não é negociável diante da conveniência técnica ou institucional.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 contribuição mais duradoura da IT ao campo da saúde coletiva talvez esteja no que ela torna visível como ausência: a inexistência, até aqui, de uma infraestrutura cognitiva e política que permita ao SUS produzir vigilância de baixo para cima, com os territórios como sujeitos e não como objetos de intervenção. A IT não compete com os sistemas oficiais de vigilância: complementa-os, qualifica-os e os desafia a responder ao que os territórios produzem. É esse desafio, a obrigação de responder, que confere à IT sua dimensão mais propriamente política: ela cria exigibilidade de resposta onde antes havia silêncio administrativo.</w:t>
      </w:r>
    </w:p>
    <w:p>
      <w:pPr>
        <w:spacing w:before="0" w:after="140" w:line="300" w:lineRule="auto"/>
        <w:jc w:val="both"/>
        <w:sectPr>
          <w:headerReference w:type="default" r:id="rId40"/>
          <w:headerReference w:type="even" r:id="rId41"/>
          <w:footerReference w:type="default" r:id="rId32"/>
          <w:footerReference w:type="even" r:id="rId33"/>
          <w:type w:val="nextPage"/>
          <w:pgSz w:w="11906" w:h="16838"/>
          <w:pgMar w:top="1474" w:right="1531" w:bottom="1814" w:left="1531" w:header="850" w:footer="330" w:gutter="0"/>
          <w:cols w:space="720"/>
          <w:docGrid w:linePitch="360"/>
        </w:sectPr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Por ser uma espiral, o ciclo não se mede pela perfeição técnica de uma volta, mas pela progressiva autonomia dos territórios sobre a produção, a interpretação e o uso do conhecimento sobre si mesmos. Quando as SCS operarem de modo autônomo, quando os pesquisadores populares formarem outros pesquisadores em novos territórios e quando a inteligência produzida nas Salas orientar a programação dos serviços e as políticas públicas, a PICAPS terá cumprido sua finalidade.</w:t>
      </w:r>
    </w:p>
    <w:p>
      <w:pPr>
        <w:pStyle w:val="Heading1"/>
        <w:pBdr>
          <w:bottom w:val="single" w:sz="12" w:space="8" w:color="007614"/>
        </w:pBdr>
        <w:spacing w:before="200" w:after="360" w:line="640" w:lineRule="exact"/>
        <w:jc w:val="left"/>
      </w:pPr>
      <w:bookmarkStart w:id="70" w:name="_h32"/>
      <w:r>
        <w:rPr>
          <w:rFonts w:ascii="Barlow Condensed" w:hAnsi="Barlow Condensed" w:cs="Barlow Condensed" w:eastAsia="Barlow Condensed"/>
          <w:b/>
          <w:bCs/>
          <w:color w:val="01366F"/>
          <w:sz w:val="56"/>
          <w:szCs w:val="56"/>
        </w:rPr>
        <w:t xml:space="preserve">Referências</w:t>
      </w:r>
      <w:bookmarkEnd w:id="70"/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AROUCA, 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O dilema preventivista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contribuição para a compreensão e crítica da medicina preventiva. São Paulo: Editora Unesp; Rio de Janeiro: Editora Fiocruz, 2003.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BRASIL. Lei nº 13.709, de 14 de agosto de 2018. Lei Geral de Proteção de Dados Pessoais (LGPD).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Diário Oficial da União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seção 1, Brasília, DF, 15 ago. 2018.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BREILH, J.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Epidemiologia crítica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ciência emancipadora e interculturalidade. Rio de Janeiro: Editora Fiocruz, 2006.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BUSS, P. M.; PELLEGRINI FILHO, A. A saúde e seus determinantes sociais.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Physis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Revista de Saúde Coletiva, Rio de Janeiro, v. 17, n. 1, p. 77-93, 2007.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CALLON, M. Some elements of a sociology of translation: domestication of the scallops and the fishermen of St Brieuc Bay. In: LAW, J. (ed.).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Power, action and belief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a new sociology of knowledge? London: Routledge, 1986. p. 196-223.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CAMPOS, G. W. 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Um método para análise e co-gestão de coletivos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São Paulo: Hucitec, 2000.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CONSELHO NACIONAL DE SAÚDE (Brasil). Resolução nº 588, de 12 de julho de 2018. Institui a Política Nacional de Vigilância em Saúde (PNVS).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Diário Oficial da União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seção 1, Brasília, DF, 13 ago. 2018.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COULDRY, N.; MEJIAS, U. A.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The costs of connection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how data is colonizing human life and appropriating it for capitalism. Stanford: Stanford University Press, 2019.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DAGNINO, R. A tecnologia social e seus desafios. In: DAGNINO, R. (org.).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Tecnologia social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ferramenta para construir outra sociedade. Campinas: IG/UNICAMP, 2014.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FALS BORDA, O.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Conocimiento y poder popular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lecciones con campesinos de Nicaragua, México y Colombia. Bogotá: Punta de Lanza; Siglo XXI, 1985.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FIOCRUZ BRASÍLIA.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Guia metodológico do Índice de Vulnerabilidade Territorial (IVT)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Versão 2.0. Brasília: Fiocruz Brasília/CTIS/PICAPS, 2026a.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FIOCRUZ BRASÍLIA.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Vigilância popular e governança participativa territorial em saúde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estudo qualitativo longitudinal da implementação da metodologia PICAPS no Sol Nascente/Pôr do Sol, Distrito Federal. Projeto de pesquisa. Brasília: Fiocruz Brasília/CTIS, 2026c.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FIOCRUZ BRASÍLIA.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Protocolo Operacional da Inteligência Territorial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guia metodológico de atuação. Versão 2.0. Brasília: Fiocruz Brasília/CoLaboratório CTIS/PICAPS, 2026d.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FREIRE, P.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Pedagogia do oprimido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17. ed. Rio de Janeiro: Paz e Terra, 1987.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FUNTOWICZ, S. O.; RAVETZ, J. R. Science for the post-normal age.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Futures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25, n. 7, p. 739-755, 1993.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GALLO, E.; NASCIMENTO, V. B. Saúde e ecologia: práticas colaborativas para a saúde em territórios sustentáveis e saudáveis. In: GALLO, E. (org.).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Saúde socioambiental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Rio de Janeiro: Fiocruz, 2019.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GUATTARI, F.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Psychanalyse et transversalité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essais d'analyse institutionnelle. Paris: Maspero, 1972.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HARAWAY, D. Situated knowledges: the science question in feminism and the privilege of partial perspective.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Feminist Studies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14, n. 3, p. 575-599, 1988.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JANNUZZI, P. M. Indicadores para diagnóstico, monitoramento e avaliação de programas sociais no Brasil.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Revista do Serviço Público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56, n. 2, p. 137-160, 2005.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LATOUR, B.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Reagregando o social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uma introdução à teoria do ator-rede. Salvador: EDUFBA; Bauru: EDUSC, 2012.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LAURELL, A. C. La salud-enfermedad como proceso social.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Revista Latinoamericana de Salud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México, v. 2, p. 7-25, 1982.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LEFEBVRE, H.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The production of space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Oxford: Blackwell, 1991.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LÉVY, P.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L'intelligence collective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pour une anthropologie du cyberespace. Paris: La Découverte, 1994.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MACHADO, J. M. H. et al. Vigilância popular em saúde: conceitos, experiências e desafios no contexto brasileiro.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Interface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Comunicação, Saúde, Educação, v. 28, e240304, 2024.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MACHINER, F.; CIRENO, F.; SILVA, M. E.; CASTRO, J.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Índice de Necessidade de Saúde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recorte municipal (INS-M) e distrital (INS-DF). Versão 2.0. Brasília: Fiocruz Brasília/CTIS, 2026.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MARTINS, W. J. et al. Plataforma de Inteligência Cooperativa com a Atenção Primária à Saúde (PICAPS): soluções tecnocientíficas em saúde digital no enfrentamento da COVID-19 e outras crises.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Ciência &amp; Saúde Coletiva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29, n. 10, e01622023, 2024.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MATUS, C.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Política, planificación y gobierno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Washington, DC: OPS/OMS, 1987.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OECD – ORGANISATION FOR ECONOMIC CO-OPERATION AND DEVELOPMENT.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Environmental indicators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development, measurement and use. Paris: OECD, 2003.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OLIVEIRA, S. S. et al. Vigilância popular em saúde: conceitos, experiências e potencialidades.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Ciência &amp; Saúde Coletiva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29, n. 5, 2024.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PAIM, J. S. Sistema Único de Saúde (SUS) aos 30 anos.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Ciência &amp; Saúde Coletiva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23, n. 6, p. 1723-1728, 2018.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RAFFESTIN, C.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Por uma geografia do poder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São Paulo: Ática, 1993.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SANTOS, B. 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O fim do império cognitivo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a afirmação das epistemologias do Sul. Belo Horizonte: Autêntica, 2019.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SANTOS, M.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 natureza do espaço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técnica e tempo, razão e emoção. 3. ed. São Paulo: Edusp, 2002.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SHARPE, B.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Three horizons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the patterning of hope. Axminster: Triarchy Press, 2013.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STAR, S. L.; GRIESEMER, J. R. Institutional ecology, 'translations' and boundary objects: amateurs and professionals in Berkeley's Museum of Vertebrate Zoology, 1907-39.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Social Studies of Science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19, n. 3, p. 387-420, 1989.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TEIXEIRA, C. F.; PAIM, J. S.; VILASBÔAS, A. L. SUS, modelos assistenciais e vigilância da saúde.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Informe Epidemiológico do SUS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, v. 7, n. 2, p. 7-28, 1998.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THIOLLENT, M.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Metodologia da pesquisa-ação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18. ed. São Paulo: Cortez, 2011.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TRAD, L. A. B.; ESPERIDIÃO, M. A. Gestão participativa e corresponsabilidade em saúde: limites e possibilidades no âmbito da Estratégia de Saúde da Família.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Interface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: Comunicação, Saúde, Educação, v. 13, supl. 1, p. 557-570, 2009.</w:t>
      </w:r>
    </w:p>
    <w:p>
      <w:pPr>
        <w:spacing w:before="0" w:after="140" w:line="300" w:lineRule="auto"/>
        <w:jc w:val="both"/>
      </w:pPr>
      <w:r>
        <w:rPr>
          <w:rFonts w:ascii="Barlow" w:hAnsi="Barlow" w:cs="Barlow" w:eastAsia="Barlow"/>
          <w:color w:val="0F2440"/>
          <w:sz w:val="20"/>
          <w:szCs w:val="20"/>
        </w:rPr>
        <w:t xml:space="preserve">ZUBOFF, S. </w:t>
      </w:r>
      <w:r>
        <w:rPr>
          <w:rFonts w:ascii="Barlow SemiBold" w:hAnsi="Barlow SemiBold" w:cs="Barlow SemiBold" w:eastAsia="Barlow SemiBold"/>
          <w:color w:val="01366F"/>
          <w:sz w:val="20"/>
          <w:szCs w:val="20"/>
        </w:rPr>
        <w:t xml:space="preserve">A era do capitalismo de vigilância</w:t>
      </w:r>
      <w:r>
        <w:rPr>
          <w:rFonts w:ascii="Barlow" w:hAnsi="Barlow" w:cs="Barlow" w:eastAsia="Barlow"/>
          <w:color w:val="0F2440"/>
          <w:sz w:val="20"/>
          <w:szCs w:val="20"/>
        </w:rPr>
        <w:t xml:space="preserve">. Rio de Janeiro: Intrínseca, 2020.</w:t>
      </w:r>
    </w:p>
    <w:sectPr>
      <w:headerReference w:type="default" r:id="rId42"/>
      <w:headerReference w:type="even" r:id="rId43"/>
      <w:footerReference w:type="default" r:id="rId32"/>
      <w:footerReference w:type="even" r:id="rId33"/>
      <w:type w:val="nextPage"/>
      <w:pgSz w:w="11906" w:h="16838"/>
      <w:pgMar w:top="1474" w:right="1531" w:bottom="1814" w:left="1531" w:header="850" w:footer="33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rlow">
    <w:charset w:val="00"/>
    <w:family w:val="swiss"/>
    <w:pitch w:val="variable"/>
    <w:embedRegular r:id="rIdF1" w:fontKey="{E11E2784-DE61-41B1-9D02-FFB957C50984}"/>
    <w:embedBold r:id="rIdF3" w:fontKey="{08D161DA-7231-425B-8F6F-6BB6D968E9B6}"/>
    <w:embedItalic r:id="rIdF2" w:fontKey="{8FE01DB9-6890-44C0-A997-402DDAF978CF}"/>
  </w:font>
  <w:font w:name="Barlow Medium">
    <w:charset w:val="00"/>
    <w:family w:val="swiss"/>
    <w:pitch w:val="variable"/>
    <w:embedRegular r:id="rIdF4" w:fontKey="{7F5AB29D-F2AD-455B-9318-2D6D52CEC457}"/>
  </w:font>
  <w:font w:name="Barlow SemiBold">
    <w:charset w:val="00"/>
    <w:family w:val="swiss"/>
    <w:pitch w:val="variable"/>
    <w:embedRegular r:id="rIdF5" w:fontKey="{9DD1AFA1-4081-4B72-9866-F92FABEB8BFE}"/>
  </w:font>
  <w:font w:name="Barlow Condensed">
    <w:charset w:val="00"/>
    <w:family w:val="swiss"/>
    <w:pitch w:val="variable"/>
    <w:embedRegular r:id="rIdF6" w:fontKey="{40FE3F0F-962B-4B2F-A157-8360586C46A1}"/>
    <w:embedBold r:id="rIdF7" w:fontKey="{A79CF569-DDEC-4DAE-820D-CF50913D2296}"/>
  </w:font>
  <w:font w:name="Barlow Condensed Medium">
    <w:charset w:val="00"/>
    <w:family w:val="swiss"/>
    <w:pitch w:val="variable"/>
    <w:embedRegular r:id="rIdF8" w:fontKey="{0A21C469-390B-47B2-8C49-A947E74F4489}"/>
  </w:font>
  <w:font w:name="Barlow Condensed SemiBold">
    <w:charset w:val="00"/>
    <w:family w:val="swiss"/>
    <w:pitch w:val="variable"/>
    <w:embedRegular r:id="rIdF9" w:fontKey="{6A9BB3CF-9A62-4406-AD64-18C5B65E1537}"/>
  </w:font>
  <w:font w:name="Segoe UI Symbol">
    <w:charset w:val="00"/>
    <w:family w:val="swiss"/>
    <w:pitch w:val="variable"/>
  </w:font>
</w:fonts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both"/>
    </w:pPr>
  </w:p>
</w:ftr>
</file>

<file path=word/footer7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lio"/>
      <w:spacing w:before="0" w:after="0" w:line="240" w:lineRule="auto"/>
      <w:jc w:val="right"/>
      <w:rPr>
        <w:rFonts w:ascii="Barlow Condensed SemiBold" w:hAnsi="Barlow Condensed SemiBold" w:cs="Barlow Condensed SemiBold" w:eastAsia="Barlow Condensed SemiBold"/>
        <w:color w:val="FFFFFF"/>
        <w:sz w:val="21"/>
        <w:szCs w:val="21"/>
      </w:rPr>
    </w:pPr>
    <w:fldSimple w:instr=" PAGE ">
      <w:r>
        <w:rPr>
          <w:rFonts w:ascii="Barlow Condensed SemiBold" w:hAnsi="Barlow Condensed SemiBold" w:cs="Barlow Condensed SemiBold" w:eastAsia="Barlow Condensed SemiBold"/>
          <w:color w:val="FFFFFF"/>
          <w:sz w:val="21"/>
          <w:szCs w:val="21"/>
        </w:rPr>
        <w:t>1</w:t>
      </w:r>
    </w:fldSimple>
  </w:p>
</w:ftr>
</file>

<file path=word/footer8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lio"/>
      <w:spacing w:before="0" w:after="0" w:line="240" w:lineRule="auto"/>
      <w:jc w:val="left"/>
      <w:rPr>
        <w:rFonts w:ascii="Barlow Condensed SemiBold" w:hAnsi="Barlow Condensed SemiBold" w:cs="Barlow Condensed SemiBold" w:eastAsia="Barlow Condensed SemiBold"/>
        <w:color w:val="FFFFFF"/>
        <w:sz w:val="21"/>
        <w:szCs w:val="21"/>
      </w:rPr>
    </w:pPr>
    <w:fldSimple w:instr=" PAGE ">
      <w:r>
        <w:rPr>
          <w:rFonts w:ascii="Barlow Condensed SemiBold" w:hAnsi="Barlow Condensed SemiBold" w:cs="Barlow Condensed SemiBold" w:eastAsia="Barlow Condensed SemiBold"/>
          <w:color w:val="FFFFFF"/>
          <w:sz w:val="21"/>
          <w:szCs w:val="21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01" name="Fundo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1" name="Fundo 1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03" name="Fundo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3" name="Fundo 3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04" name="Fundo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4" name="Fundo 4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05" name="Fundo 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5" name="Fundo 5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 · FUNDAMENTOS  </w:t>
    </w:r>
  </w:p>
</w:hdr>
</file>

<file path=word/header6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06" name="Fundo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" name="Fundo 6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 · FUNDAMENTOS  </w:t>
    </w:r>
  </w:p>
</w:hdr>
</file>

<file path=word/header9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09" name="Fundo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9" name="Fundo 9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II · TRANSVERSALIDADE  </w:t>
    </w:r>
  </w:p>
</w:hdr>
</file>

<file path=word/header10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0" name="Fundo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0" name="Fundo 10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II · TRANSVERSALIDADE  </w:t>
    </w:r>
  </w:p>
</w:hdr>
</file>

<file path=word/header1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1" name="Fundo 1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1" name="Fundo 11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III · INTERFACES  </w:t>
    </w:r>
  </w:p>
</w:hdr>
</file>

<file path=word/header1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2" name="Fundo 1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2" name="Fundo 12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III · INTERFACES  </w:t>
    </w:r>
  </w:p>
</w:hdr>
</file>

<file path=word/header13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3" name="Fundo 1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3" name="Fundo 13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IV · PROTOCOLO DE ATUAÇÃO  </w:t>
    </w:r>
  </w:p>
</w:hdr>
</file>

<file path=word/header14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4" name="Fundo 1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4" name="Fundo 14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PARTE IV · PROTOCOLO DE ATUAÇÃO  </w:t>
    </w:r>
  </w:p>
</w:hdr>
</file>

<file path=word/header15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5" name="Fundo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5" name="Fundo 15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CONCLUSÃO  </w:t>
    </w:r>
  </w:p>
</w:hdr>
</file>

<file path=word/header16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6" name="Fundo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6" name="Fundo 16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CONCLUSÃO  </w:t>
    </w:r>
  </w:p>
</w:hdr>
</file>

<file path=word/header17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righ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7" name="Fundo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7" name="Fundo 17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REFERÊNCIAS  </w:t>
    </w:r>
  </w:p>
</w:hdr>
</file>

<file path=word/header18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auto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5018" name="Fundo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18" name="Fundo 18"/>
                  <pic:cNvPicPr/>
                </pic:nvPicPr>
                <pic:blipFill>
                  <a:blip r:embed="rIdB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Barlow Condensed SemiBold" w:hAnsi="Barlow Condensed SemiBold" w:cs="Barlow Condensed SemiBold" w:eastAsia="Barlow Condensed SemiBold"/>
        <w:color w:val="FFFFFF"/>
        <w:sz w:val="15"/>
        <w:szCs w:val="15"/>
        <w:shd w:val="clear" w:color="auto" w:fill="01366F"/>
      </w:rPr>
      <w:t xml:space="preserve">  REFERÊNCIAS  </w:t>
    </w:r>
  </w:p>
</w:hdr>
</file>

<file path=word/numbering.xml><?xml version="1.0" encoding="utf-8"?>
<w:numbering xmlns:w="http://schemas.openxmlformats.org/wordprocessingml/2006/main">
  <w:abstractNum w:abstractNumId="11">
    <w:multiLevelType w:val="singleLevel"/>
    <w:lvl w:ilvl="0">
      <w:start w:val="1"/>
      <w:numFmt w:val="decimal"/>
      <w:lvlText w:val="%1."/>
      <w:lvlJc w:val="left"/>
      <w:pPr>
        <w:ind w:left="380" w:hanging="300"/>
      </w:pPr>
      <w:rPr>
        <w:rFonts w:ascii="Barlow Condensed SemiBold" w:hAnsi="Barlow Condensed SemiBold"/>
        <w:color w:val="007614"/>
        <w:sz w:val="21"/>
      </w:rPr>
    </w:lvl>
  </w:abstractNum>
  <w:abstractNum w:abstractNumId="12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pPr>
        <w:ind w:left="380" w:hanging="300"/>
      </w:pPr>
      <w:rPr>
        <w:rFonts w:ascii="Barlow Condensed SemiBold" w:hAnsi="Barlow Condensed SemiBold"/>
        <w:color w:val="007614"/>
        <w:sz w:val="21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pPr>
        <w:ind w:left="380" w:hanging="300"/>
      </w:pPr>
      <w:rPr>
        <w:rFonts w:ascii="Barlow Condensed SemiBold" w:hAnsi="Barlow Condensed SemiBold"/>
        <w:color w:val="007614"/>
        <w:sz w:val="21"/>
      </w:rPr>
    </w:lvl>
  </w:abstractNum>
  <w:abstractNum w:abstractNumId="15">
    <w:multiLevelType w:val="singleLevel"/>
    <w:lvl w:ilvl="0">
      <w:start w:val="1"/>
      <w:numFmt w:val="bullet"/>
      <w:lvlText w:val="☐"/>
      <w:lvlJc w:val="left"/>
      <w:pPr>
        <w:ind w:left="400" w:hanging="320"/>
      </w:pPr>
      <w:rPr>
        <w:rFonts w:ascii="Segoe UI Symbol" w:hAnsi="Segoe UI Symbol" w:cs="Segoe UI Symbol"/>
        <w:color w:val="007614"/>
        <w:sz w:val="22"/>
      </w:rPr>
    </w:lvl>
  </w:abstractNum>
  <w:abstractNum w:abstractNumId="16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17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18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19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20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21">
    <w:multiLevelType w:val="singleLevel"/>
    <w:lvl w:ilvl="0">
      <w:start w:val="1"/>
      <w:numFmt w:val="decimal"/>
      <w:lvlText w:val="%1."/>
      <w:lvlJc w:val="left"/>
      <w:pPr>
        <w:ind w:left="380" w:hanging="300"/>
      </w:pPr>
      <w:rPr>
        <w:rFonts w:ascii="Barlow Condensed SemiBold" w:hAnsi="Barlow Condensed SemiBold"/>
        <w:color w:val="007614"/>
        <w:sz w:val="21"/>
      </w:rPr>
    </w:lvl>
  </w:abstractNum>
  <w:abstractNum w:abstractNumId="22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23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24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25">
    <w:multiLevelType w:val="singleLevel"/>
    <w:lvl w:ilvl="0">
      <w:start w:val="1"/>
      <w:numFmt w:val="bullet"/>
      <w:lvlText w:val="•"/>
      <w:lvlJc w:val="left"/>
      <w:pPr>
        <w:ind w:left="340" w:hanging="240"/>
      </w:pPr>
      <w:rPr>
        <w:rFonts w:ascii="Barlow" w:hAnsi="Barlow"/>
        <w:color w:val="007614"/>
        <w:sz w:val="24"/>
      </w:rPr>
    </w:lvl>
  </w:abstractNum>
  <w:abstractNum w:abstractNumId="26">
    <w:multiLevelType w:val="singleLevel"/>
    <w:lvl w:ilvl="0">
      <w:start w:val="1"/>
      <w:numFmt w:val="bullet"/>
      <w:lvlText w:val="☐"/>
      <w:lvlJc w:val="left"/>
      <w:pPr>
        <w:ind w:left="400" w:hanging="320"/>
      </w:pPr>
      <w:rPr>
        <w:rFonts w:ascii="Segoe UI Symbol" w:hAnsi="Segoe UI Symbol" w:cs="Segoe UI Symbol"/>
        <w:color w:val="007614"/>
        <w:sz w:val="22"/>
      </w:rPr>
    </w:lvl>
  </w:abstractNum>
  <w:abstractNum w:abstractNumId="27">
    <w:multiLevelType w:val="singleLevel"/>
    <w:lvl w:ilvl="0">
      <w:start w:val="1"/>
      <w:numFmt w:val="decimal"/>
      <w:lvlText w:val="%1."/>
      <w:lvlJc w:val="left"/>
      <w:pPr>
        <w:ind w:left="380" w:hanging="300"/>
      </w:pPr>
      <w:rPr>
        <w:rFonts w:ascii="Barlow Condensed SemiBold" w:hAnsi="Barlow Condensed SemiBold"/>
        <w:color w:val="007614"/>
        <w:sz w:val="21"/>
      </w:rPr>
    </w:lvl>
  </w:abstract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w="http://schemas.openxmlformats.org/wordprocessingml/2006/main">
  <w:zoom w:percent="100"/>
  <w:embedTrueTypeFonts/>
  <w:defaultTabStop w:val="708"/>
  <w:hyphenationZone w:val="425"/>
  <w:evenAndOddHeaders/>
  <w:characterSpacingControl w:val="doNotCompress"/>
  <w:compat>
    <w:compatSetting w:name="compatibilityMode" w:uri="http://schemas.microsoft.com/office/word" w:val="15"/>
  </w:compat>
  <w:themeFontLang w:val="pt-BR"/>
</w:settings>
</file>

<file path=word/styles.xml><?xml version="1.0" encoding="utf-8"?>
<w:styles xmlns:w="http://schemas.openxmlformats.org/wordprocessingml/2006/main">
  <w:docDefaults>
    <w:rPrDefault>
      <w:rPr>
        <w:rFonts w:ascii="Barlow" w:hAnsi="Barlow" w:cs="Barlow" w:eastAsia="Barlow"/>
        <w:color w:val="0F2440"/>
        <w:sz w:val="20"/>
        <w:szCs w:val="20"/>
        <w:lang w:val="pt-BR" w:eastAsia="en-US" w:bidi="ar-SA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jc w:val="both"/>
    </w:pPr>
    <w:rPr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Barlow Condensed" w:hAnsi="Barlow Condensed"/>
      <w:b/>
      <w:color w:val="01366F"/>
      <w:sz w:val="5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Barlow Condensed SemiBold" w:hAnsi="Barlow Condensed SemiBold"/>
      <w:color w:val="007614"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Barlow Condensed SemiBold" w:hAnsi="Barlow Condensed SemiBold"/>
      <w:color w:val="01366F"/>
      <w:sz w:val="25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Barlow SemiBold" w:hAnsi="Barlow SemiBold"/>
      <w:color w:val="01366F"/>
    </w:rPr>
  </w:style>
  <w:style w:type="paragraph" w:styleId="Folio">
    <w:name w:val="Fólio"/>
    <w:basedOn w:val="Normal"/>
    <w:qFormat/>
    <w:pPr/>
    <w:rPr>
      <w:rFonts w:ascii="Barlow Condensed SemiBold" w:hAnsi="Barlow Condensed SemiBold"/>
      <w:color w:val="FFFFFF"/>
      <w:sz w:val="21"/>
    </w:rPr>
  </w:style>
  <w:style w:type="paragraph" w:styleId="ListParagraph">
    <w:name w:val="List Paragraph"/>
    <w:basedOn w:val="Normal"/>
    <w:qFormat/>
    <w:pPr>
      <w:ind w:left="340"/>
      <w:contextualSpacing/>
    </w:pPr>
    <w:rPr/>
  </w:style>
  <w:style w:type="paragraph" w:styleId="TOC1">
    <w:name w:val="toc 1"/>
    <w:basedOn w:val="Normal"/>
    <w:qFormat/>
    <w:pPr/>
    <w:rPr/>
  </w:style>
  <w:style w:type="paragraph" w:styleId="TOC2">
    <w:name w:val="toc 2"/>
    <w:basedOn w:val="Normal"/>
    <w:qFormat/>
    <w:pPr>
      <w:ind w:left="300"/>
    </w:pPr>
    <w:rPr/>
  </w:style>
  <w:style w:type="paragraph" w:styleId="TOC3">
    <w:name w:val="toc 3"/>
    <w:basedOn w:val="Normal"/>
    <w:qFormat/>
    <w:pPr>
      <w:ind w:left="600"/>
    </w:pPr>
    <w:rPr/>
  </w:style>
  <w:style w:type="character" w:styleId="Hyperlink">
    <w:name w:val="Hyperlink"/>
    <w:rPr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theme" Target="theme/theme1.xml"/><Relationship Id="rId10" Type="http://schemas.openxmlformats.org/officeDocument/2006/relationships/image" Target="media/img4.png"/><Relationship Id="rId11" Type="http://schemas.openxmlformats.org/officeDocument/2006/relationships/image" Target="media/img6.png"/><Relationship Id="rId12" Type="http://schemas.openxmlformats.org/officeDocument/2006/relationships/image" Target="media/img8.png"/><Relationship Id="rId13" Type="http://schemas.openxmlformats.org/officeDocument/2006/relationships/image" Target="media/img10.png"/><Relationship Id="rId14" Type="http://schemas.openxmlformats.org/officeDocument/2006/relationships/image" Target="media/img12.png"/><Relationship Id="rId15" Type="http://schemas.openxmlformats.org/officeDocument/2006/relationships/image" Target="media/img14.png"/><Relationship Id="rId16" Type="http://schemas.openxmlformats.org/officeDocument/2006/relationships/image" Target="media/img16.png"/><Relationship Id="rId17" Type="http://schemas.openxmlformats.org/officeDocument/2006/relationships/image" Target="media/img20.png"/><Relationship Id="rId18" Type="http://schemas.openxmlformats.org/officeDocument/2006/relationships/image" Target="media/img22.png"/><Relationship Id="rId19" Type="http://schemas.openxmlformats.org/officeDocument/2006/relationships/image" Target="media/img24.png"/><Relationship Id="rId20" Type="http://schemas.openxmlformats.org/officeDocument/2006/relationships/image" Target="media/img26.png"/><Relationship Id="rId21" Type="http://schemas.openxmlformats.org/officeDocument/2006/relationships/image" Target="media/img28.png"/><Relationship Id="rId22" Type="http://schemas.openxmlformats.org/officeDocument/2006/relationships/image" Target="media/img30.png"/><Relationship Id="rId23" Type="http://schemas.openxmlformats.org/officeDocument/2006/relationships/image" Target="media/img32.png"/><Relationship Id="rId24" Type="http://schemas.openxmlformats.org/officeDocument/2006/relationships/image" Target="media/img34.png"/><Relationship Id="rId25" Type="http://schemas.openxmlformats.org/officeDocument/2006/relationships/image" Target="media/img36.png"/><Relationship Id="rId26" Type="http://schemas.openxmlformats.org/officeDocument/2006/relationships/header" Target="header1.xml"/><Relationship Id="rId27" Type="http://schemas.openxmlformats.org/officeDocument/2006/relationships/footer" Target="footer2.xml"/><Relationship Id="rId28" Type="http://schemas.openxmlformats.org/officeDocument/2006/relationships/header" Target="header3.xml"/><Relationship Id="rId29" Type="http://schemas.openxmlformats.org/officeDocument/2006/relationships/header" Target="header4.xml"/><Relationship Id="rId30" Type="http://schemas.openxmlformats.org/officeDocument/2006/relationships/header" Target="header5.xml"/><Relationship Id="rId31" Type="http://schemas.openxmlformats.org/officeDocument/2006/relationships/header" Target="header6.xml"/><Relationship Id="rId32" Type="http://schemas.openxmlformats.org/officeDocument/2006/relationships/footer" Target="footer7.xml"/><Relationship Id="rId33" Type="http://schemas.openxmlformats.org/officeDocument/2006/relationships/footer" Target="footer8.xml"/><Relationship Id="rId34" Type="http://schemas.openxmlformats.org/officeDocument/2006/relationships/header" Target="header9.xml"/><Relationship Id="rId35" Type="http://schemas.openxmlformats.org/officeDocument/2006/relationships/header" Target="header10.xml"/><Relationship Id="rId36" Type="http://schemas.openxmlformats.org/officeDocument/2006/relationships/header" Target="header11.xml"/><Relationship Id="rId37" Type="http://schemas.openxmlformats.org/officeDocument/2006/relationships/header" Target="header12.xml"/><Relationship Id="rId38" Type="http://schemas.openxmlformats.org/officeDocument/2006/relationships/header" Target="header13.xml"/><Relationship Id="rId39" Type="http://schemas.openxmlformats.org/officeDocument/2006/relationships/header" Target="header14.xml"/><Relationship Id="rId40" Type="http://schemas.openxmlformats.org/officeDocument/2006/relationships/header" Target="header15.xml"/><Relationship Id="rId41" Type="http://schemas.openxmlformats.org/officeDocument/2006/relationships/header" Target="header16.xml"/><Relationship Id="rId42" Type="http://schemas.openxmlformats.org/officeDocument/2006/relationships/header" Target="header17.xml"/><Relationship Id="rId43" Type="http://schemas.openxmlformats.org/officeDocument/2006/relationships/header" Target="header18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Relationship Id="rIdF8" Type="http://schemas.openxmlformats.org/officeDocument/2006/relationships/font" Target="fonts/font8.odttf"/><Relationship Id="rIdF9" Type="http://schemas.openxmlformats.org/officeDocument/2006/relationships/font" Target="fonts/font9.odttf"/></Relationships>
</file>

<file path=word/_rels/header1.xml.rels><?xml version="1.0" encoding="UTF-8" standalone="yes"?><Relationships xmlns="http://schemas.openxmlformats.org/package/2006/relationships"><Relationship Id="rIdB1" Type="http://schemas.openxmlformats.org/officeDocument/2006/relationships/image" Target="media/bg1.png"/></Relationships>
</file>

<file path=word/_rels/header3.xml.rels><?xml version="1.0" encoding="UTF-8" standalone="yes"?><Relationships xmlns="http://schemas.openxmlformats.org/package/2006/relationships"><Relationship Id="rIdB1" Type="http://schemas.openxmlformats.org/officeDocument/2006/relationships/image" Target="media/bg2.png"/></Relationships>
</file>

<file path=word/_rels/header4.xml.rels><?xml version="1.0" encoding="UTF-8" standalone="yes"?><Relationships xmlns="http://schemas.openxmlformats.org/package/2006/relationships"><Relationship Id="rIdB1" Type="http://schemas.openxmlformats.org/officeDocument/2006/relationships/image" Target="media/bg3.png"/></Relationships>
</file>

<file path=word/_rels/header5.xml.rels><?xml version="1.0" encoding="UTF-8" standalone="yes"?><Relationships xmlns="http://schemas.openxmlformats.org/package/2006/relationships"><Relationship Id="rIdB1" Type="http://schemas.openxmlformats.org/officeDocument/2006/relationships/image" Target="media/bg18.png"/></Relationships>
</file>

<file path=word/_rels/header6.xml.rels><?xml version="1.0" encoding="UTF-8" standalone="yes"?><Relationships xmlns="http://schemas.openxmlformats.org/package/2006/relationships"><Relationship Id="rIdB1" Type="http://schemas.openxmlformats.org/officeDocument/2006/relationships/image" Target="media/bg19.png"/></Relationships>
</file>

<file path=word/_rels/header9.xml.rels><?xml version="1.0" encoding="UTF-8" standalone="yes"?><Relationships xmlns="http://schemas.openxmlformats.org/package/2006/relationships"><Relationship Id="rIdB1" Type="http://schemas.openxmlformats.org/officeDocument/2006/relationships/image" Target="media/bg18.png"/></Relationships>
</file>

<file path=word/_rels/header10.xml.rels><?xml version="1.0" encoding="UTF-8" standalone="yes"?><Relationships xmlns="http://schemas.openxmlformats.org/package/2006/relationships"><Relationship Id="rIdB1" Type="http://schemas.openxmlformats.org/officeDocument/2006/relationships/image" Target="media/bg19.png"/></Relationships>
</file>

<file path=word/_rels/header11.xml.rels><?xml version="1.0" encoding="UTF-8" standalone="yes"?><Relationships xmlns="http://schemas.openxmlformats.org/package/2006/relationships"><Relationship Id="rIdB1" Type="http://schemas.openxmlformats.org/officeDocument/2006/relationships/image" Target="media/bg18.png"/></Relationships>
</file>

<file path=word/_rels/header12.xml.rels><?xml version="1.0" encoding="UTF-8" standalone="yes"?><Relationships xmlns="http://schemas.openxmlformats.org/package/2006/relationships"><Relationship Id="rIdB1" Type="http://schemas.openxmlformats.org/officeDocument/2006/relationships/image" Target="media/bg19.png"/></Relationships>
</file>

<file path=word/_rels/header13.xml.rels><?xml version="1.0" encoding="UTF-8" standalone="yes"?><Relationships xmlns="http://schemas.openxmlformats.org/package/2006/relationships"><Relationship Id="rIdB1" Type="http://schemas.openxmlformats.org/officeDocument/2006/relationships/image" Target="media/bg18.png"/></Relationships>
</file>

<file path=word/_rels/header14.xml.rels><?xml version="1.0" encoding="UTF-8" standalone="yes"?><Relationships xmlns="http://schemas.openxmlformats.org/package/2006/relationships"><Relationship Id="rIdB1" Type="http://schemas.openxmlformats.org/officeDocument/2006/relationships/image" Target="media/bg19.png"/></Relationships>
</file>

<file path=word/_rels/header15.xml.rels><?xml version="1.0" encoding="UTF-8" standalone="yes"?><Relationships xmlns="http://schemas.openxmlformats.org/package/2006/relationships"><Relationship Id="rIdB1" Type="http://schemas.openxmlformats.org/officeDocument/2006/relationships/image" Target="media/bg18.png"/></Relationships>
</file>

<file path=word/_rels/header16.xml.rels><?xml version="1.0" encoding="UTF-8" standalone="yes"?><Relationships xmlns="http://schemas.openxmlformats.org/package/2006/relationships"><Relationship Id="rIdB1" Type="http://schemas.openxmlformats.org/officeDocument/2006/relationships/image" Target="media/bg19.png"/></Relationships>
</file>

<file path=word/_rels/header17.xml.rels><?xml version="1.0" encoding="UTF-8" standalone="yes"?><Relationships xmlns="http://schemas.openxmlformats.org/package/2006/relationships"><Relationship Id="rIdB1" Type="http://schemas.openxmlformats.org/officeDocument/2006/relationships/image" Target="media/bg18.png"/></Relationships>
</file>

<file path=word/_rels/header18.xml.rels><?xml version="1.0" encoding="UTF-8" standalone="yes"?><Relationships xmlns="http://schemas.openxmlformats.org/package/2006/relationships"><Relationship Id="rIdB1" Type="http://schemas.openxmlformats.org/officeDocument/2006/relationships/image" Target="media/bg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Protocolo de Inteligência Territorial</dc:title>
  <dc:creator>Fiocruz Brasília · CoLaboratório CTIS · PICAPS</dc:creator>
  <dc:language>pt-BR</dc:language>
</cp:coreProperties>
</file>