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0A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</w:pPr>
      <w:r>
        <w:rPr>
          <w:b/>
          <w:color w:val="1F497D"/>
          <w:sz w:val="24"/>
        </w:rPr>
        <w:t>刀闸阀使用说明书</w:t>
      </w:r>
    </w:p>
    <w:p w14:paraId="098BF5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一、用途：本阀门适用于浆液、污水、粉尘等介质的管路上做截流使用。</w:t>
      </w:r>
    </w:p>
    <w:p w14:paraId="6D2FE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  <w:rPr>
          <w:b/>
          <w:color w:val="1F497D"/>
          <w:sz w:val="24"/>
        </w:rPr>
      </w:pPr>
      <w:r>
        <w:rPr>
          <w:b/>
          <w:color w:val="1F497D"/>
          <w:sz w:val="24"/>
        </w:rPr>
        <w:t>二、性能规范</w:t>
      </w:r>
    </w:p>
    <w:tbl>
      <w:tblPr>
        <w:tblStyle w:val="3"/>
        <w:tblW w:w="92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1454"/>
        <w:gridCol w:w="1454"/>
        <w:gridCol w:w="779"/>
        <w:gridCol w:w="783"/>
        <w:gridCol w:w="1161"/>
        <w:gridCol w:w="2225"/>
      </w:tblGrid>
      <w:tr w14:paraId="30880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4903A2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</w:rPr>
              <w:t>型号</w:t>
            </w:r>
          </w:p>
        </w:tc>
        <w:tc>
          <w:tcPr>
            <w:tcW w:w="0" w:type="auto"/>
            <w:vAlign w:val="center"/>
          </w:tcPr>
          <w:p w14:paraId="23B217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公称通径DN</w:t>
            </w:r>
          </w:p>
          <w:p w14:paraId="176E47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</w:rPr>
              <w:t>(mm)</w:t>
            </w:r>
          </w:p>
        </w:tc>
        <w:tc>
          <w:tcPr>
            <w:tcW w:w="0" w:type="auto"/>
            <w:vAlign w:val="center"/>
          </w:tcPr>
          <w:p w14:paraId="4CFE34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公称压力PN</w:t>
            </w:r>
          </w:p>
          <w:p w14:paraId="084A65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</w:rPr>
              <w:t>(MPa)</w:t>
            </w:r>
          </w:p>
        </w:tc>
        <w:tc>
          <w:tcPr>
            <w:tcW w:w="783" w:type="dxa"/>
            <w:gridSpan w:val="2"/>
            <w:vAlign w:val="center"/>
          </w:tcPr>
          <w:p w14:paraId="7226AA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</w:rPr>
              <w:t>试验压力(MPa)</w:t>
            </w:r>
          </w:p>
        </w:tc>
        <w:tc>
          <w:tcPr>
            <w:tcW w:w="0" w:type="auto"/>
            <w:vAlign w:val="center"/>
          </w:tcPr>
          <w:p w14:paraId="14304D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</w:rPr>
              <w:t>工作温度</w:t>
            </w:r>
          </w:p>
        </w:tc>
        <w:tc>
          <w:tcPr>
            <w:tcW w:w="2225" w:type="dxa"/>
            <w:vAlign w:val="center"/>
          </w:tcPr>
          <w:p w14:paraId="548587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</w:rPr>
              <w:t>适用介质</w:t>
            </w:r>
          </w:p>
        </w:tc>
      </w:tr>
      <w:tr w14:paraId="4B145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3FD896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Z73H/F-16P</w:t>
            </w:r>
          </w:p>
        </w:tc>
        <w:tc>
          <w:tcPr>
            <w:tcW w:w="0" w:type="auto"/>
            <w:vMerge w:val="restart"/>
            <w:vAlign w:val="center"/>
          </w:tcPr>
          <w:p w14:paraId="05F97E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50~200</w:t>
            </w:r>
          </w:p>
        </w:tc>
        <w:tc>
          <w:tcPr>
            <w:tcW w:w="0" w:type="auto"/>
            <w:vMerge w:val="restart"/>
            <w:vAlign w:val="center"/>
          </w:tcPr>
          <w:p w14:paraId="719B86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1.6</w:t>
            </w:r>
          </w:p>
        </w:tc>
        <w:tc>
          <w:tcPr>
            <w:tcW w:w="779" w:type="dxa"/>
            <w:vAlign w:val="center"/>
          </w:tcPr>
          <w:p w14:paraId="2CDB16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强度</w:t>
            </w:r>
          </w:p>
        </w:tc>
        <w:tc>
          <w:tcPr>
            <w:tcW w:w="783" w:type="dxa"/>
            <w:vAlign w:val="center"/>
          </w:tcPr>
          <w:p w14:paraId="4D11D0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密封</w:t>
            </w:r>
          </w:p>
        </w:tc>
        <w:tc>
          <w:tcPr>
            <w:tcW w:w="0" w:type="auto"/>
            <w:vMerge w:val="restart"/>
            <w:vAlign w:val="center"/>
          </w:tcPr>
          <w:p w14:paraId="79A59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≤300℃</w:t>
            </w:r>
          </w:p>
        </w:tc>
        <w:tc>
          <w:tcPr>
            <w:tcW w:w="2225" w:type="dxa"/>
            <w:vMerge w:val="restart"/>
            <w:vAlign w:val="center"/>
          </w:tcPr>
          <w:p w14:paraId="2B5BC7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纸浆、污水、煤浆、灰、渣水混合物</w:t>
            </w:r>
          </w:p>
        </w:tc>
      </w:tr>
      <w:tr w14:paraId="31DA6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2" w:type="dxa"/>
            <w:vMerge w:val="continue"/>
            <w:vAlign w:val="center"/>
          </w:tcPr>
          <w:p w14:paraId="7E3BB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color w:val="auto"/>
                <w:sz w:val="22"/>
                <w:szCs w:val="20"/>
                <w:vertAlign w:val="baseline"/>
                <w:lang w:eastAsia="zh-CN"/>
              </w:rPr>
            </w:pPr>
          </w:p>
        </w:tc>
        <w:tc>
          <w:tcPr>
            <w:tcW w:w="1465" w:type="dxa"/>
            <w:vMerge w:val="continue"/>
            <w:vAlign w:val="center"/>
          </w:tcPr>
          <w:p w14:paraId="0FFA4F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color w:val="auto"/>
                <w:sz w:val="22"/>
                <w:szCs w:val="20"/>
                <w:vertAlign w:val="baseline"/>
                <w:lang w:eastAsia="zh-CN"/>
              </w:rPr>
            </w:pPr>
          </w:p>
        </w:tc>
        <w:tc>
          <w:tcPr>
            <w:tcW w:w="1575" w:type="dxa"/>
            <w:vMerge w:val="continue"/>
            <w:vAlign w:val="center"/>
          </w:tcPr>
          <w:p w14:paraId="6437F8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color w:val="auto"/>
                <w:sz w:val="22"/>
                <w:szCs w:val="20"/>
                <w:vertAlign w:val="baseline"/>
                <w:lang w:eastAsia="zh-CN"/>
              </w:rPr>
            </w:pPr>
          </w:p>
        </w:tc>
        <w:tc>
          <w:tcPr>
            <w:tcW w:w="779" w:type="dxa"/>
            <w:vAlign w:val="center"/>
          </w:tcPr>
          <w:p w14:paraId="77098A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2.4</w:t>
            </w:r>
          </w:p>
        </w:tc>
        <w:tc>
          <w:tcPr>
            <w:tcW w:w="783" w:type="dxa"/>
            <w:vAlign w:val="center"/>
          </w:tcPr>
          <w:p w14:paraId="66DBC9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1.8</w:t>
            </w:r>
          </w:p>
        </w:tc>
        <w:tc>
          <w:tcPr>
            <w:tcW w:w="1226" w:type="dxa"/>
            <w:vMerge w:val="continue"/>
            <w:vAlign w:val="center"/>
          </w:tcPr>
          <w:p w14:paraId="36395B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color w:val="auto"/>
                <w:sz w:val="22"/>
                <w:szCs w:val="20"/>
                <w:vertAlign w:val="baseline"/>
                <w:lang w:eastAsia="zh-CN"/>
              </w:rPr>
            </w:pPr>
          </w:p>
        </w:tc>
        <w:tc>
          <w:tcPr>
            <w:tcW w:w="2225" w:type="dxa"/>
            <w:vMerge w:val="continue"/>
            <w:vAlign w:val="center"/>
          </w:tcPr>
          <w:p w14:paraId="29AEAF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color w:val="auto"/>
                <w:sz w:val="22"/>
                <w:szCs w:val="20"/>
                <w:vertAlign w:val="baseline"/>
                <w:lang w:eastAsia="zh-CN"/>
              </w:rPr>
            </w:pPr>
          </w:p>
        </w:tc>
      </w:tr>
    </w:tbl>
    <w:p w14:paraId="7A71B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  <w:rPr>
          <w:rFonts w:hint="eastAsia"/>
          <w:b/>
          <w:color w:val="1F497D"/>
          <w:sz w:val="24"/>
          <w:lang w:eastAsia="zh-CN"/>
        </w:rPr>
      </w:pPr>
    </w:p>
    <w:p w14:paraId="47711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b/>
          <w:color w:val="1F497D"/>
          <w:sz w:val="24"/>
        </w:rPr>
        <w:t xml:space="preserve"> </w:t>
      </w:r>
    </w:p>
    <w:p w14:paraId="12E47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b/>
          <w:color w:val="1F497D"/>
          <w:sz w:val="24"/>
        </w:rPr>
        <w:t>三、结构特点：</w:t>
      </w:r>
    </w:p>
    <w:p w14:paraId="7A0C28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1. 提升的闸板密封面，可刮除密封面上的粘着物，自动清除杂物。</w:t>
      </w:r>
    </w:p>
    <w:p w14:paraId="7A4D56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 不锈钢闸板可防止腐蚀引起的密封泄漏。</w:t>
      </w:r>
    </w:p>
    <w:p w14:paraId="740E15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3. 整体的不锈钢材质，可防止腐蚀破坏。</w:t>
      </w:r>
    </w:p>
    <w:p w14:paraId="0547A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4. 短结构长度，可节省原料、安装空间，也有效支持管道强度。</w:t>
      </w:r>
    </w:p>
    <w:p w14:paraId="63067A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 科学上的密封填料函设计，使上密封安全有效，经久耐用。</w:t>
      </w:r>
    </w:p>
    <w:p w14:paraId="5CA7E9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6. 三角形的支架节省原材料，保证需要的力学性能。</w:t>
      </w:r>
    </w:p>
    <w:p w14:paraId="62C48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7. 阀体上的导向块使闸板正确运动。挤压块保证闸板有效密封。</w:t>
      </w:r>
    </w:p>
    <w:p w14:paraId="51C81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8. 阀体加强筋设计提高阀体强度。</w:t>
      </w:r>
    </w:p>
    <w:p w14:paraId="3113C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9. 不锈钢阀杆经久耐用，双头螺纹使用启闭更为迅速。</w:t>
      </w:r>
    </w:p>
    <w:p w14:paraId="4DA8A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10. 本阀基本结构见图 1</w:t>
      </w:r>
    </w:p>
    <w:p w14:paraId="1A55E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b/>
          <w:color w:val="1F497D"/>
          <w:sz w:val="24"/>
        </w:rPr>
        <w:t>四、工作原理</w:t>
      </w:r>
    </w:p>
    <w:p w14:paraId="7582E0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手动阀门用手转动手轮，使阀杆上升、下降，从而带动闸板上、下运动，开启、关闭阀门。顺时针方向旋转，闸板下降，阀门关闭。逆时针方向旋转，闸板上升，阀门开启。</w:t>
      </w:r>
    </w:p>
    <w:p w14:paraId="4225D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b/>
          <w:color w:val="1F497D"/>
          <w:sz w:val="24"/>
        </w:rPr>
        <w:t>五、保管、保养、安装和使用</w:t>
      </w:r>
    </w:p>
    <w:p w14:paraId="41118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5.1 阀门应存放在干燥，通风的室内，阀门通道两端应堵塞。</w:t>
      </w:r>
    </w:p>
    <w:p w14:paraId="70F239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5.2 长期存放的阀门应定期检查，清除污物。应特别注意密封面的清洁，防密封面的损坏。</w:t>
      </w:r>
    </w:p>
    <w:p w14:paraId="51F4BD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5.3 安装前应仔细核对阀门标志是否与使用要求相符。</w:t>
      </w:r>
    </w:p>
    <w:p w14:paraId="4112F4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5.4 安装前应检查阀门内腔和密封面，如有污垢，应使用清洁布擦拭干净。</w:t>
      </w:r>
    </w:p>
    <w:p w14:paraId="1656A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b/>
          <w:color w:val="1F497D"/>
          <w:sz w:val="24"/>
        </w:rPr>
        <w:t>六、可能发生的故障、原因及消除方法 见表 1</w:t>
      </w:r>
    </w:p>
    <w:p w14:paraId="65175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jc w:val="center"/>
        <w:textAlignment w:val="auto"/>
        <w:rPr>
          <w:sz w:val="22"/>
        </w:rPr>
      </w:pPr>
      <w:r>
        <w:rPr>
          <w:sz w:val="22"/>
        </w:rPr>
        <w:t>表 1 可能发生的故障、原因及消除方法</w:t>
      </w:r>
    </w:p>
    <w:tbl>
      <w:tblPr>
        <w:tblStyle w:val="3"/>
        <w:tblW w:w="92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4"/>
        <w:gridCol w:w="3145"/>
        <w:gridCol w:w="3916"/>
      </w:tblGrid>
      <w:tr w14:paraId="00DED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677EB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可能发生的故障</w:t>
            </w:r>
          </w:p>
        </w:tc>
        <w:tc>
          <w:tcPr>
            <w:tcW w:w="0" w:type="auto"/>
            <w:vAlign w:val="center"/>
          </w:tcPr>
          <w:p w14:paraId="1928D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发生故障的原因</w:t>
            </w:r>
          </w:p>
        </w:tc>
        <w:tc>
          <w:tcPr>
            <w:tcW w:w="3916" w:type="dxa"/>
            <w:vAlign w:val="center"/>
          </w:tcPr>
          <w:p w14:paraId="275B26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消除方法</w:t>
            </w:r>
          </w:p>
        </w:tc>
      </w:tr>
      <w:tr w14:paraId="7A18D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BFBC5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填料渗漏</w:t>
            </w:r>
          </w:p>
        </w:tc>
        <w:tc>
          <w:tcPr>
            <w:tcW w:w="0" w:type="auto"/>
            <w:vAlign w:val="center"/>
          </w:tcPr>
          <w:p w14:paraId="3AD2B5F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填料压盖未压紧</w:t>
            </w:r>
          </w:p>
          <w:p w14:paraId="52F2AB2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2.填料因使用过久或保存不妥而失效</w:t>
            </w:r>
          </w:p>
        </w:tc>
        <w:tc>
          <w:tcPr>
            <w:tcW w:w="3916" w:type="dxa"/>
            <w:vAlign w:val="center"/>
          </w:tcPr>
          <w:p w14:paraId="2C297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1.均匀地拧紧螺母，将填料压紧</w:t>
            </w:r>
          </w:p>
          <w:p w14:paraId="150C8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2.更换填料</w:t>
            </w:r>
          </w:p>
        </w:tc>
      </w:tr>
      <w:tr w14:paraId="50EBE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D18DC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密封面间渗漏</w:t>
            </w:r>
          </w:p>
        </w:tc>
        <w:tc>
          <w:tcPr>
            <w:tcW w:w="0" w:type="auto"/>
            <w:vAlign w:val="center"/>
          </w:tcPr>
          <w:p w14:paraId="3B05F2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1.密封面有污杂物附着2.密封面损坏</w:t>
            </w:r>
          </w:p>
        </w:tc>
        <w:tc>
          <w:tcPr>
            <w:tcW w:w="3916" w:type="dxa"/>
            <w:vAlign w:val="center"/>
          </w:tcPr>
          <w:p w14:paraId="50B065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1.将污杂物清除干净2.重新加工修整或更换</w:t>
            </w:r>
          </w:p>
        </w:tc>
      </w:tr>
      <w:tr w14:paraId="29354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4C80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阀体与阀盖连接处渗漏</w:t>
            </w:r>
          </w:p>
        </w:tc>
        <w:tc>
          <w:tcPr>
            <w:tcW w:w="0" w:type="auto"/>
            <w:vAlign w:val="center"/>
          </w:tcPr>
          <w:p w14:paraId="1B145E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1.连接螺栓紧固不均匀2.法兰密封面损坏</w:t>
            </w:r>
          </w:p>
        </w:tc>
        <w:tc>
          <w:tcPr>
            <w:tcW w:w="3916" w:type="dxa"/>
            <w:vAlign w:val="center"/>
          </w:tcPr>
          <w:p w14:paraId="092D91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1.均匀拧紧2.重新修整</w:t>
            </w:r>
          </w:p>
        </w:tc>
      </w:tr>
      <w:tr w14:paraId="0889C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4" w:type="dxa"/>
            <w:vAlign w:val="center"/>
          </w:tcPr>
          <w:p w14:paraId="1531C7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手轮转动不灵活或闸板不能启闭</w:t>
            </w:r>
          </w:p>
        </w:tc>
        <w:tc>
          <w:tcPr>
            <w:tcW w:w="3145" w:type="dxa"/>
            <w:vAlign w:val="center"/>
          </w:tcPr>
          <w:p w14:paraId="6F367D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1.填料压得太紧2.阀杆螺母有损坏</w:t>
            </w:r>
          </w:p>
          <w:p w14:paraId="0FAF0A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3.阀杆螺母的螺纹严重磨损或断裂4.阀杆弯曲</w:t>
            </w:r>
          </w:p>
        </w:tc>
        <w:tc>
          <w:tcPr>
            <w:tcW w:w="3916" w:type="dxa"/>
            <w:vAlign w:val="center"/>
          </w:tcPr>
          <w:p w14:paraId="035385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1.适当旋松填料压板上的螺母2.拆开修整螺纹和清除污杂物</w:t>
            </w:r>
          </w:p>
          <w:p w14:paraId="52E454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3.更换阀杆螺母4.矫正阀杆</w:t>
            </w:r>
          </w:p>
        </w:tc>
      </w:tr>
    </w:tbl>
    <w:p w14:paraId="6A1A5AA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7428E7"/>
    <w:multiLevelType w:val="singleLevel"/>
    <w:tmpl w:val="7F7428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B3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2026-05-11T06:30:25Z</dcterms:created>
  <dc:creator>Administrator</dc:creator>
  <cp:lastModifiedBy>Azzzzhao</cp:lastModifiedBy>
  <dcterms:modified xsi:type="dcterms:W3CDTF">2026-05-11T06:30:40Z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eyJoZGlkIjoiNmE2OTY0NDU1NWM5ODY2NDU1NDc1YTAwMWYwMGE5OWMiLCJ1c2VySWQiOiIxOTc5NTM3MzAifQ==</vt:lpwstr>
  </property>
  <property fmtid="{D5CDD505-2E9C-101B-9397-08002B2CF9AE}" pid="4" name="ICV">
    <vt:lpwstr>72CCD1D6F0FC4759B89E0BB266A8F73A_12</vt:lpwstr>
  </property>
</Properties>
</file>