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FB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rFonts w:hint="eastAsia"/>
          <w:b/>
          <w:color w:val="1F497D"/>
          <w:sz w:val="24"/>
          <w:lang w:val="en-US" w:eastAsia="zh-CN"/>
        </w:rPr>
        <w:t>底阀</w:t>
      </w:r>
      <w:r>
        <w:rPr>
          <w:b/>
          <w:color w:val="1F497D"/>
          <w:sz w:val="24"/>
        </w:rPr>
        <w:t>使用说明书</w:t>
      </w:r>
    </w:p>
    <w:p w14:paraId="6FDA5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用途：本阀门安装在水泵吸水管路的底端，能自动防止流体倒流。</w:t>
      </w:r>
    </w:p>
    <w:p w14:paraId="041A2A3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sz w:val="22"/>
        </w:rPr>
      </w:pPr>
      <w:r>
        <w:rPr>
          <w:sz w:val="22"/>
        </w:rPr>
        <w:t>性能规范：</w:t>
      </w:r>
    </w:p>
    <w:tbl>
      <w:tblPr>
        <w:tblStyle w:val="3"/>
        <w:tblW w:w="9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518"/>
        <w:gridCol w:w="1518"/>
        <w:gridCol w:w="779"/>
        <w:gridCol w:w="783"/>
        <w:gridCol w:w="1213"/>
        <w:gridCol w:w="2226"/>
      </w:tblGrid>
      <w:tr w14:paraId="4953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FCEA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型号</w:t>
            </w:r>
          </w:p>
        </w:tc>
        <w:tc>
          <w:tcPr>
            <w:tcW w:w="0" w:type="auto"/>
            <w:vAlign w:val="center"/>
          </w:tcPr>
          <w:p w14:paraId="32075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公称通径DN</w:t>
            </w:r>
          </w:p>
          <w:p w14:paraId="320C8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(mm)</w:t>
            </w:r>
          </w:p>
        </w:tc>
        <w:tc>
          <w:tcPr>
            <w:tcW w:w="0" w:type="auto"/>
            <w:vAlign w:val="center"/>
          </w:tcPr>
          <w:p w14:paraId="66C0F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公称压力PN</w:t>
            </w:r>
          </w:p>
          <w:p w14:paraId="78C89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(MPa)</w:t>
            </w:r>
          </w:p>
        </w:tc>
        <w:tc>
          <w:tcPr>
            <w:tcW w:w="783" w:type="dxa"/>
            <w:gridSpan w:val="2"/>
            <w:vAlign w:val="center"/>
          </w:tcPr>
          <w:p w14:paraId="242A6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试验压力(MPa)</w:t>
            </w:r>
          </w:p>
        </w:tc>
        <w:tc>
          <w:tcPr>
            <w:tcW w:w="0" w:type="auto"/>
            <w:vAlign w:val="center"/>
          </w:tcPr>
          <w:p w14:paraId="26B11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工作温度</w:t>
            </w:r>
          </w:p>
        </w:tc>
        <w:tc>
          <w:tcPr>
            <w:tcW w:w="2225" w:type="dxa"/>
            <w:vAlign w:val="center"/>
          </w:tcPr>
          <w:p w14:paraId="5AE47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</w:rPr>
              <w:t>适用介质</w:t>
            </w:r>
          </w:p>
        </w:tc>
      </w:tr>
      <w:tr w14:paraId="2DB4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1AC35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/>
              </w:rPr>
              <w:t>H42X-2.5</w:t>
            </w:r>
          </w:p>
        </w:tc>
        <w:tc>
          <w:tcPr>
            <w:tcW w:w="0" w:type="auto"/>
            <w:vMerge w:val="restart"/>
            <w:vAlign w:val="center"/>
          </w:tcPr>
          <w:p w14:paraId="07707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/>
              </w:rPr>
              <w:t>50~350</w:t>
            </w:r>
          </w:p>
        </w:tc>
        <w:tc>
          <w:tcPr>
            <w:tcW w:w="0" w:type="auto"/>
            <w:vMerge w:val="restart"/>
            <w:vAlign w:val="center"/>
          </w:tcPr>
          <w:p w14:paraId="486E6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0.25</w:t>
            </w:r>
          </w:p>
        </w:tc>
        <w:tc>
          <w:tcPr>
            <w:tcW w:w="779" w:type="dxa"/>
            <w:vAlign w:val="center"/>
          </w:tcPr>
          <w:p w14:paraId="6F583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强度</w:t>
            </w:r>
          </w:p>
        </w:tc>
        <w:tc>
          <w:tcPr>
            <w:tcW w:w="783" w:type="dxa"/>
            <w:vAlign w:val="center"/>
          </w:tcPr>
          <w:p w14:paraId="248E1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密封</w:t>
            </w:r>
          </w:p>
        </w:tc>
        <w:tc>
          <w:tcPr>
            <w:tcW w:w="0" w:type="auto"/>
            <w:vMerge w:val="restart"/>
            <w:vAlign w:val="center"/>
          </w:tcPr>
          <w:p w14:paraId="32E4E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≤</w:t>
            </w:r>
            <w:r>
              <w:rPr>
                <w:rFonts w:hint="eastAsia"/>
                <w:sz w:val="22"/>
                <w:lang w:val="en-US" w:eastAsia="zh-CN"/>
              </w:rPr>
              <w:t>50</w:t>
            </w:r>
            <w:r>
              <w:rPr>
                <w:rFonts w:hint="eastAsia" w:ascii="宋体" w:eastAsia="宋体"/>
                <w:sz w:val="22"/>
              </w:rPr>
              <w:t>℃</w:t>
            </w:r>
          </w:p>
        </w:tc>
        <w:tc>
          <w:tcPr>
            <w:tcW w:w="2225" w:type="dxa"/>
            <w:vMerge w:val="restart"/>
            <w:vAlign w:val="center"/>
          </w:tcPr>
          <w:p w14:paraId="60B35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50</w:t>
            </w:r>
          </w:p>
        </w:tc>
      </w:tr>
      <w:tr w14:paraId="0474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Merge w:val="continue"/>
            <w:vAlign w:val="center"/>
          </w:tcPr>
          <w:p w14:paraId="479D0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1465" w:type="dxa"/>
            <w:vMerge w:val="continue"/>
            <w:vAlign w:val="center"/>
          </w:tcPr>
          <w:p w14:paraId="0D5B3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1575" w:type="dxa"/>
            <w:vMerge w:val="continue"/>
            <w:vAlign w:val="center"/>
          </w:tcPr>
          <w:p w14:paraId="2D0E7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779" w:type="dxa"/>
            <w:vAlign w:val="center"/>
          </w:tcPr>
          <w:p w14:paraId="68917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0</w:t>
            </w:r>
            <w:r>
              <w:rPr>
                <w:rFonts w:hint="eastAsia" w:ascii="宋体" w:eastAsia="宋体"/>
                <w:sz w:val="22"/>
              </w:rPr>
              <w:t>.4</w:t>
            </w:r>
          </w:p>
        </w:tc>
        <w:tc>
          <w:tcPr>
            <w:tcW w:w="783" w:type="dxa"/>
            <w:vAlign w:val="center"/>
          </w:tcPr>
          <w:p w14:paraId="095D9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  <w:lang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0.2</w:t>
            </w:r>
            <w:r>
              <w:rPr>
                <w:rFonts w:hint="eastAsia" w:ascii="宋体" w:eastAsia="宋体"/>
                <w:sz w:val="22"/>
              </w:rPr>
              <w:t>8</w:t>
            </w:r>
          </w:p>
        </w:tc>
        <w:tc>
          <w:tcPr>
            <w:tcW w:w="1226" w:type="dxa"/>
            <w:vMerge w:val="continue"/>
            <w:vAlign w:val="center"/>
          </w:tcPr>
          <w:p w14:paraId="5845C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  <w:tc>
          <w:tcPr>
            <w:tcW w:w="2225" w:type="dxa"/>
            <w:vMerge w:val="continue"/>
            <w:vAlign w:val="center"/>
          </w:tcPr>
          <w:p w14:paraId="0F30E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color w:val="auto"/>
                <w:sz w:val="22"/>
                <w:szCs w:val="20"/>
                <w:vertAlign w:val="baseline"/>
                <w:lang w:eastAsia="zh-CN"/>
              </w:rPr>
            </w:pPr>
          </w:p>
        </w:tc>
      </w:tr>
    </w:tbl>
    <w:p w14:paraId="67578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sz w:val="22"/>
        </w:rPr>
      </w:pPr>
    </w:p>
    <w:p w14:paraId="36646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 结构：</w:t>
      </w:r>
    </w:p>
    <w:p w14:paraId="482A2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3.1 本阀基本结构见图 1</w:t>
      </w:r>
    </w:p>
    <w:p w14:paraId="09955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3.2 采用橡胶密封圈，密封可靠。</w:t>
      </w:r>
    </w:p>
    <w:p w14:paraId="2045E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 工作原理：</w:t>
      </w:r>
    </w:p>
    <w:p w14:paraId="05F66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该阀依靠介质自身的流动而自动开、闭阀瓣，防止停泵时介质倒流。</w:t>
      </w:r>
    </w:p>
    <w:p w14:paraId="7A3AB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 保管、保养、安装和使用</w:t>
      </w:r>
    </w:p>
    <w:p w14:paraId="3E489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 阀门应存放在干燥，通风的室内，阀门通道两端应堵塞。</w:t>
      </w:r>
    </w:p>
    <w:p w14:paraId="6A049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5B311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5.3 安装前应仔细核对阀门标志是否与使用要求相符。</w:t>
      </w:r>
    </w:p>
    <w:p w14:paraId="3B110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34C9C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5.5 应安装在垂直管道上。</w:t>
      </w:r>
    </w:p>
    <w:p w14:paraId="62E38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6.可能发生的故障、原因及消除方法 见表 1</w:t>
      </w:r>
    </w:p>
    <w:p w14:paraId="4F025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251"/>
        <w:gridCol w:w="2499"/>
      </w:tblGrid>
      <w:tr w14:paraId="1A01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B575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可能发生的故障</w:t>
            </w:r>
          </w:p>
        </w:tc>
        <w:tc>
          <w:tcPr>
            <w:tcW w:w="0" w:type="auto"/>
            <w:vAlign w:val="center"/>
          </w:tcPr>
          <w:p w14:paraId="043A5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发生故障的原因</w:t>
            </w:r>
          </w:p>
        </w:tc>
        <w:tc>
          <w:tcPr>
            <w:tcW w:w="2499" w:type="dxa"/>
            <w:vAlign w:val="center"/>
          </w:tcPr>
          <w:p w14:paraId="28FE0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消除方法</w:t>
            </w:r>
          </w:p>
        </w:tc>
      </w:tr>
      <w:tr w14:paraId="60E8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B93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40" w:leftChars="200"/>
              <w:jc w:val="center"/>
              <w:textAlignment w:val="auto"/>
              <w:rPr>
                <w:rFonts w:hint="eastAsia" w:ascii="宋体" w:eastAsia="宋体"/>
                <w:sz w:val="22"/>
              </w:rPr>
            </w:pPr>
            <w:r>
              <w:rPr>
                <w:rFonts w:ascii="宋体" w:eastAsia="宋体"/>
                <w:b/>
                <w:color w:val="1F497D"/>
                <w:sz w:val="22"/>
              </w:rPr>
              <w:t>阀体与阀盖连接处渗漏</w:t>
            </w:r>
          </w:p>
        </w:tc>
        <w:tc>
          <w:tcPr>
            <w:tcW w:w="0" w:type="auto"/>
            <w:vAlign w:val="center"/>
          </w:tcPr>
          <w:p w14:paraId="6C978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1.连接螺栓紧固不均匀</w:t>
            </w:r>
          </w:p>
          <w:p w14:paraId="16729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2.法兰密封面损坏</w:t>
            </w:r>
          </w:p>
          <w:p w14:paraId="4A8784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3.垫片破裂或失效</w:t>
            </w:r>
          </w:p>
        </w:tc>
        <w:tc>
          <w:tcPr>
            <w:tcW w:w="2499" w:type="dxa"/>
            <w:vAlign w:val="center"/>
          </w:tcPr>
          <w:p w14:paraId="63947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1.均匀拧紧</w:t>
            </w:r>
          </w:p>
          <w:p w14:paraId="1C7D0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2.重新修整</w:t>
            </w:r>
          </w:p>
          <w:p w14:paraId="4C463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3.更换新垫片</w:t>
            </w:r>
          </w:p>
        </w:tc>
      </w:tr>
      <w:tr w14:paraId="0F4C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89" w:type="dxa"/>
            <w:vAlign w:val="center"/>
          </w:tcPr>
          <w:p w14:paraId="18238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40" w:leftChars="200"/>
              <w:jc w:val="center"/>
              <w:textAlignment w:val="auto"/>
              <w:rPr>
                <w:rFonts w:hint="eastAsia" w:ascii="宋体" w:eastAsia="宋体"/>
                <w:sz w:val="22"/>
              </w:rPr>
            </w:pPr>
            <w:r>
              <w:rPr>
                <w:rFonts w:ascii="宋体" w:eastAsia="宋体"/>
                <w:b/>
                <w:color w:val="1F497D"/>
                <w:sz w:val="22"/>
              </w:rPr>
              <w:t>阀门声响大、有振动</w:t>
            </w:r>
          </w:p>
        </w:tc>
        <w:tc>
          <w:tcPr>
            <w:tcW w:w="3251" w:type="dxa"/>
            <w:vAlign w:val="center"/>
          </w:tcPr>
          <w:p w14:paraId="11C40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1.阀门安装位置离泵太近</w:t>
            </w:r>
          </w:p>
          <w:p w14:paraId="7A27D3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2.管道内介质流动压力不稳</w:t>
            </w:r>
          </w:p>
        </w:tc>
        <w:tc>
          <w:tcPr>
            <w:tcW w:w="2499" w:type="dxa"/>
            <w:vAlign w:val="center"/>
          </w:tcPr>
          <w:p w14:paraId="3E0CD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1.重新安装合适位置</w:t>
            </w:r>
          </w:p>
          <w:p w14:paraId="1DF8EB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eastAsia="宋体"/>
                <w:sz w:val="22"/>
              </w:rPr>
            </w:pPr>
            <w:r>
              <w:rPr>
                <w:rFonts w:ascii="宋体" w:eastAsia="宋体"/>
                <w:sz w:val="22"/>
              </w:rPr>
              <w:t>2.消除压力波动</w:t>
            </w:r>
          </w:p>
        </w:tc>
      </w:tr>
    </w:tbl>
    <w:p w14:paraId="06493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55D35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drawing>
          <wp:inline distT="0" distB="0" distL="114300" distR="114300">
            <wp:extent cx="3762375" cy="3486150"/>
            <wp:effectExtent l="0" t="0" r="952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1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图 1 底阀</w:t>
      </w:r>
    </w:p>
    <w:p w14:paraId="181028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0E6AA"/>
    <w:multiLevelType w:val="singleLevel"/>
    <w:tmpl w:val="B1F0E6A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1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2026-05-11T06:31:19Z</dcterms:created>
  <dc:creator>Administrator</dc:creator>
  <cp:lastModifiedBy>Azzzzhao</cp:lastModifiedBy>
  <dcterms:modified xsi:type="dcterms:W3CDTF">2026-05-11T06:31:32Z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FDB6384DDFA345EA97210945F063E177_12</vt:lpwstr>
  </property>
</Properties>
</file>