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F029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b/>
          <w:color w:val="1F497D"/>
          <w:sz w:val="24"/>
          <w:lang w:val="en-US" w:eastAsia="zh-CN"/>
        </w:rPr>
      </w:pPr>
      <w:r>
        <w:rPr>
          <w:rFonts w:hint="eastAsia"/>
          <w:b/>
          <w:color w:val="1F497D"/>
          <w:sz w:val="24"/>
          <w:lang w:val="en-US" w:eastAsia="zh-CN"/>
        </w:rPr>
        <w:t>球  阀</w:t>
      </w:r>
    </w:p>
    <w:p w14:paraId="20CAB0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sz w:val="22"/>
        </w:rPr>
        <w:t>1.范围</w:t>
      </w:r>
    </w:p>
    <w:p w14:paraId="5371D9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720" w:leftChars="0" w:firstLine="720" w:firstLineChars="0"/>
        <w:textAlignment w:val="auto"/>
        <w:rPr>
          <w:sz w:val="22"/>
        </w:rPr>
      </w:pPr>
      <w:r>
        <w:rPr>
          <w:sz w:val="22"/>
        </w:rPr>
        <w:t xml:space="preserve">本 说 明 书 包 括 了 公 称 通 径 DN15mm~500mm(1/2”~20”) 、 公 称 压 </w:t>
      </w:r>
      <w:r>
        <w:rPr>
          <w:rFonts w:hint="eastAsia"/>
          <w:sz w:val="22"/>
          <w:lang w:val="en-US" w:eastAsia="zh-CN"/>
        </w:rPr>
        <w:t>力</w:t>
      </w:r>
      <w:r>
        <w:rPr>
          <w:sz w:val="22"/>
        </w:rPr>
        <w:t>PN1.6MPa~10MPa(ANSI CLASS150~600)螺纹端、法兰端、对焊端和承插焊端连接的手动</w:t>
      </w:r>
      <w:r>
        <w:rPr>
          <w:rFonts w:hint="eastAsia"/>
          <w:sz w:val="22"/>
          <w:lang w:eastAsia="zh-CN"/>
        </w:rPr>
        <w:t>、</w:t>
      </w:r>
      <w:r>
        <w:rPr>
          <w:sz w:val="22"/>
        </w:rPr>
        <w:t>齿轮传动、电动和气动操作的二分体式(对分式)和三分体式(对夹式)的浮动球球阀和固定球球阀。</w:t>
      </w:r>
    </w:p>
    <w:p w14:paraId="2C1F2B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sz w:val="22"/>
        </w:rPr>
        <w:t>2.用途</w:t>
      </w:r>
    </w:p>
    <w:p w14:paraId="41F1E1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2.1 主要供开启或关闭管道和设备的介质用。</w:t>
      </w:r>
    </w:p>
    <w:p w14:paraId="67F7F9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2.2 根据介质选用阀门的材质。</w:t>
      </w:r>
    </w:p>
    <w:p w14:paraId="37B8DB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2.2.1 碳钢阀门适用于水、蒸汽、油品等介质。</w:t>
      </w:r>
    </w:p>
    <w:p w14:paraId="192F8D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2.2.2 不锈钢阀门适用于腐蚀性介质。</w:t>
      </w:r>
    </w:p>
    <w:p w14:paraId="6FD27E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2.3 适用温度取决于阀座的材质。</w:t>
      </w:r>
    </w:p>
    <w:p w14:paraId="2C0DB9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  <w:rPr>
          <w:sz w:val="22"/>
        </w:rPr>
      </w:pPr>
      <w:r>
        <w:rPr>
          <w:sz w:val="22"/>
        </w:rPr>
        <w:t>PTFE（聚四氟乙烯）≤130℃</w:t>
      </w:r>
    </w:p>
    <w:p w14:paraId="535E8A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  <w:rPr>
          <w:sz w:val="22"/>
        </w:rPr>
      </w:pPr>
      <w:r>
        <w:rPr>
          <w:sz w:val="22"/>
        </w:rPr>
        <w:t>PTFE（聚四氟乙烯）+玻纤≤160℃</w:t>
      </w:r>
    </w:p>
    <w:p w14:paraId="1AF371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  <w:rPr>
          <w:sz w:val="22"/>
        </w:rPr>
      </w:pPr>
      <w:r>
        <w:rPr>
          <w:sz w:val="22"/>
        </w:rPr>
        <w:t>PPL（对位聚苯）≤300℃</w:t>
      </w:r>
    </w:p>
    <w:p w14:paraId="320654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sz w:val="22"/>
        </w:rPr>
        <w:t>3.结构</w:t>
      </w:r>
    </w:p>
    <w:p w14:paraId="4C3272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3.1 球阀基本结构见图 1</w:t>
      </w:r>
    </w:p>
    <w:p w14:paraId="230E71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3.2 易损件垫片，填料采用聚四氟乙烯或柔性石墨，密封可靠。</w:t>
      </w:r>
    </w:p>
    <w:p w14:paraId="791944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sz w:val="22"/>
        </w:rPr>
        <w:t>4.操作</w:t>
      </w:r>
    </w:p>
    <w:p w14:paraId="1A4D3D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4.1 手动操作阀门采用手柄或齿轮传动装置、电动或气动球阀由电动装置或气动装置驱动，使球体旋转 90°开启或关闭阀门。</w:t>
      </w:r>
    </w:p>
    <w:p w14:paraId="267147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4.2 手动球阀阀杆顶端刻有凹槽。凹槽方向及扳手长度方向与流道方向一致为开启，与流通方向垂直为关闭。</w:t>
      </w:r>
    </w:p>
    <w:p w14:paraId="047ADA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4.3 电动、气动球阀的开启、关闭指示由电动装置、气动装置上的位置指示器标识。</w:t>
      </w:r>
    </w:p>
    <w:p w14:paraId="7D46C2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sz w:val="22"/>
        </w:rPr>
        <w:t>5.保管、保养、安装和使用</w:t>
      </w:r>
    </w:p>
    <w:p w14:paraId="21D0A4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5.1 阀门应存放在干燥，通风的室内，阀门通道两端应堵塞。</w:t>
      </w:r>
    </w:p>
    <w:p w14:paraId="2801AD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5.2 长期存放的阀门应定期检查，清除污物。应特别注意密封面的清洁，防密封面的损坏。</w:t>
      </w:r>
    </w:p>
    <w:p w14:paraId="74232D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5.3 安装前应仔细核对阀门标志是否与使用要求相符。</w:t>
      </w:r>
    </w:p>
    <w:p w14:paraId="64A9A7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5.4 安装前应检查阀门通道和密封面，如有污垢，应使用清洁布擦拭干净。</w:t>
      </w:r>
    </w:p>
    <w:p w14:paraId="6556E5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5.5 安装前检查填料是否压紧，应确保填料的密封性，同时不应妨碍阀杆的转动。</w:t>
      </w:r>
    </w:p>
    <w:p w14:paraId="162EC3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5.6 安装后系统或管路试压时，阀门必须处于全开位置。</w:t>
      </w:r>
    </w:p>
    <w:p w14:paraId="4F7592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5.7 使用中应将球体全开或关闭，不应将球体部分开启做调节流量用。</w:t>
      </w:r>
    </w:p>
    <w:p w14:paraId="6E4F04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5.8 手动阀门在开启或关闭操作时，应使用手柄开、关，不得借用辅助杠杆或其它工具。</w:t>
      </w:r>
    </w:p>
    <w:p w14:paraId="717536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5.9 阀门使用应定期检查，检查密封面有无磨损及垫片填料。若损坏失效，应及时修理或更换。</w:t>
      </w:r>
    </w:p>
    <w:p w14:paraId="23710F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5.10 电动、气动阀门的传动装置，其保管、保养、安装和使用，请见“阀门电动装置使用说明书”及“阀门气动装置使用说明书”。</w:t>
      </w:r>
    </w:p>
    <w:p w14:paraId="4CFF3F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sz w:val="22"/>
        </w:rPr>
        <w:t>6.可能发生的故障、原因及消除方法 见表 1</w:t>
      </w:r>
    </w:p>
    <w:p w14:paraId="002CFB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jc w:val="center"/>
        <w:textAlignment w:val="auto"/>
        <w:rPr>
          <w:sz w:val="22"/>
        </w:rPr>
      </w:pPr>
      <w:r>
        <w:rPr>
          <w:sz w:val="22"/>
        </w:rPr>
        <w:t>表 1 可能发生的故障、原因及消除方法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3"/>
        <w:gridCol w:w="2854"/>
        <w:gridCol w:w="2845"/>
      </w:tblGrid>
      <w:tr w14:paraId="0EC74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</w:tcPr>
          <w:p w14:paraId="69349D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可能发生的故障</w:t>
            </w:r>
          </w:p>
        </w:tc>
        <w:tc>
          <w:tcPr>
            <w:tcW w:w="3082" w:type="dxa"/>
          </w:tcPr>
          <w:p w14:paraId="727EFF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原因</w:t>
            </w:r>
          </w:p>
        </w:tc>
        <w:tc>
          <w:tcPr>
            <w:tcW w:w="3082" w:type="dxa"/>
          </w:tcPr>
          <w:p w14:paraId="5C61B9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消除方法</w:t>
            </w:r>
          </w:p>
        </w:tc>
      </w:tr>
      <w:tr w14:paraId="144CA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</w:tcPr>
          <w:p w14:paraId="475DDC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填料渗漏</w:t>
            </w:r>
          </w:p>
        </w:tc>
        <w:tc>
          <w:tcPr>
            <w:tcW w:w="3082" w:type="dxa"/>
          </w:tcPr>
          <w:p w14:paraId="3965608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1.</w:t>
            </w:r>
            <w:r>
              <w:rPr>
                <w:rFonts w:hint="eastAsia"/>
                <w:sz w:val="22"/>
                <w:szCs w:val="22"/>
              </w:rPr>
              <w:t>填料压盖未压紧</w:t>
            </w:r>
          </w:p>
          <w:p w14:paraId="39C37C3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2.填料因使用过久或保存不妥而失效</w:t>
            </w:r>
          </w:p>
        </w:tc>
        <w:tc>
          <w:tcPr>
            <w:tcW w:w="3082" w:type="dxa"/>
          </w:tcPr>
          <w:p w14:paraId="5DA100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1.均匀地拧紧螺母，将填料压紧</w:t>
            </w:r>
          </w:p>
          <w:p w14:paraId="482085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2.更换填料</w:t>
            </w:r>
          </w:p>
        </w:tc>
      </w:tr>
      <w:tr w14:paraId="29BD2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</w:tcPr>
          <w:p w14:paraId="50749C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密封面间渗漏</w:t>
            </w:r>
          </w:p>
        </w:tc>
        <w:tc>
          <w:tcPr>
            <w:tcW w:w="3082" w:type="dxa"/>
          </w:tcPr>
          <w:p w14:paraId="50A7793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1.</w:t>
            </w:r>
            <w:r>
              <w:rPr>
                <w:rFonts w:hint="eastAsia"/>
                <w:sz w:val="22"/>
                <w:szCs w:val="22"/>
              </w:rPr>
              <w:t>密封面有污杂物附着。</w:t>
            </w:r>
          </w:p>
          <w:p w14:paraId="31E05B6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2.密封面损坏</w:t>
            </w:r>
          </w:p>
        </w:tc>
        <w:tc>
          <w:tcPr>
            <w:tcW w:w="3082" w:type="dxa"/>
          </w:tcPr>
          <w:p w14:paraId="3F5E23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1.将污杂物清除干净</w:t>
            </w:r>
          </w:p>
          <w:p w14:paraId="149404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2.重新加工修整或更换</w:t>
            </w:r>
          </w:p>
        </w:tc>
      </w:tr>
      <w:tr w14:paraId="2BF5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</w:tcPr>
          <w:p w14:paraId="5C64E8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阀体与阀盖连接处渗漏</w:t>
            </w:r>
          </w:p>
        </w:tc>
        <w:tc>
          <w:tcPr>
            <w:tcW w:w="3082" w:type="dxa"/>
          </w:tcPr>
          <w:p w14:paraId="00CCA369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连接螺栓紧固不均匀</w:t>
            </w:r>
          </w:p>
          <w:p w14:paraId="1212007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2.法兰密封面损坏</w:t>
            </w:r>
          </w:p>
          <w:p w14:paraId="71DDB0A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3.垫片破裂或失效</w:t>
            </w:r>
          </w:p>
        </w:tc>
        <w:tc>
          <w:tcPr>
            <w:tcW w:w="3082" w:type="dxa"/>
          </w:tcPr>
          <w:p w14:paraId="0E6667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1.均匀拧紧</w:t>
            </w:r>
          </w:p>
          <w:p w14:paraId="00DE3C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2.重新修整</w:t>
            </w:r>
          </w:p>
          <w:p w14:paraId="571498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3.更换新垫片</w:t>
            </w:r>
          </w:p>
        </w:tc>
      </w:tr>
      <w:tr w14:paraId="6109F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</w:tcPr>
          <w:p w14:paraId="3CF46C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手柄转动不灵活或球体不能启闭</w:t>
            </w:r>
          </w:p>
        </w:tc>
        <w:tc>
          <w:tcPr>
            <w:tcW w:w="3082" w:type="dxa"/>
          </w:tcPr>
          <w:p w14:paraId="41EA30C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1.填料压得太紧</w:t>
            </w:r>
          </w:p>
          <w:p w14:paraId="6179C65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2.填料压板，压套装置歪斜</w:t>
            </w:r>
          </w:p>
        </w:tc>
        <w:tc>
          <w:tcPr>
            <w:tcW w:w="3082" w:type="dxa"/>
          </w:tcPr>
          <w:p w14:paraId="11173A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1.适当旋松填料压板上的螺母</w:t>
            </w:r>
          </w:p>
          <w:p w14:paraId="37B6FB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2.校正填料压板</w:t>
            </w:r>
          </w:p>
        </w:tc>
      </w:tr>
      <w:tr w14:paraId="6E845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</w:tcPr>
          <w:p w14:paraId="21BEA8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电动装置和气动装置故障</w:t>
            </w:r>
          </w:p>
        </w:tc>
        <w:tc>
          <w:tcPr>
            <w:tcW w:w="6164" w:type="dxa"/>
            <w:gridSpan w:val="2"/>
          </w:tcPr>
          <w:p w14:paraId="5953E3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</w:rPr>
              <w:t>见“阀门电动装置说明书”和“阀门气动装置说明书”</w:t>
            </w:r>
          </w:p>
        </w:tc>
      </w:tr>
    </w:tbl>
    <w:p w14:paraId="2AD512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2"/>
        </w:rPr>
      </w:pPr>
    </w:p>
    <w:p w14:paraId="76017C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sz w:val="22"/>
        </w:rPr>
        <w:t>7.保修</w:t>
      </w:r>
    </w:p>
    <w:p w14:paraId="07FD92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0"/>
        <w:textAlignment w:val="auto"/>
        <w:rPr>
          <w:sz w:val="22"/>
        </w:rPr>
      </w:pPr>
      <w:r>
        <w:rPr>
          <w:sz w:val="22"/>
        </w:rPr>
        <w:t>制造厂对阀门投入使用一年内负责保修，但不超过发货期 18 个月。在保修期内，因产品质量原因均可免费修理或更换零件。</w:t>
      </w:r>
    </w:p>
    <w:p w14:paraId="2F2563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  <w:rPr>
          <w:b/>
          <w:color w:val="1F497D"/>
          <w:sz w:val="24"/>
        </w:rPr>
      </w:pPr>
    </w:p>
    <w:p w14:paraId="3DA0FE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2585" w:leftChars="400" w:hanging="1705" w:hangingChars="775"/>
        <w:textAlignment w:val="auto"/>
        <w:rPr>
          <w:sz w:val="22"/>
        </w:rPr>
      </w:pPr>
      <w:r>
        <w:drawing>
          <wp:inline distT="0" distB="0" distL="114300" distR="114300">
            <wp:extent cx="2938145" cy="2693670"/>
            <wp:effectExtent l="0" t="0" r="14605" b="11430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8145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06625" cy="3141345"/>
            <wp:effectExtent l="0" t="0" r="3175" b="1905"/>
            <wp:docPr id="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2"/>
        </w:rPr>
        <w:t>a.浮动球球阀</w:t>
      </w:r>
      <w:r>
        <w:rPr>
          <w:rFonts w:hint="eastAsia"/>
          <w:sz w:val="22"/>
          <w:lang w:val="en-US" w:eastAsia="zh-CN"/>
        </w:rPr>
        <w:t xml:space="preserve">                       </w:t>
      </w:r>
      <w:r>
        <w:rPr>
          <w:sz w:val="22"/>
        </w:rPr>
        <w:t>b.固定球球阀</w:t>
      </w:r>
    </w:p>
    <w:p w14:paraId="076E26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0"/>
        <w:textAlignment w:val="auto"/>
        <w:rPr>
          <w:sz w:val="22"/>
        </w:rPr>
      </w:pPr>
      <w:r>
        <w:rPr>
          <w:sz w:val="22"/>
        </w:rPr>
        <w:t>图 1 手动法兰连接二分体式球阀</w:t>
      </w:r>
    </w:p>
    <w:p w14:paraId="49586D7B">
      <w:pPr>
        <w:rPr>
          <w:b/>
          <w:color w:val="1F497D"/>
          <w:sz w:val="24"/>
        </w:rPr>
      </w:pPr>
      <w:r>
        <w:rPr>
          <w:b/>
          <w:color w:val="1F497D"/>
          <w:sz w:val="24"/>
        </w:rPr>
        <w:br w:type="page"/>
      </w:r>
    </w:p>
    <w:p w14:paraId="76B7F9B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8C7594"/>
    <w:multiLevelType w:val="singleLevel"/>
    <w:tmpl w:val="CF8C759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FA5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2026-05-11T06:34:08Z</dcterms:created>
  <dc:creator>Administrator</dc:creator>
  <cp:lastModifiedBy>Azzzzhao</cp:lastModifiedBy>
  <dcterms:modified xsi:type="dcterms:W3CDTF">2026-05-11T06:34:20Z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eyJoZGlkIjoiNmE2OTY0NDU1NWM5ODY2NDU1NDc1YTAwMWYwMGE5OWMiLCJ1c2VySWQiOiIxOTc5NTM3MzAifQ==</vt:lpwstr>
  </property>
  <property fmtid="{D5CDD505-2E9C-101B-9397-08002B2CF9AE}" pid="4" name="ICV">
    <vt:lpwstr>19F92CB554A14EF08398F7D58E003F30_12</vt:lpwstr>
  </property>
</Properties>
</file>