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7E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rPr>
          <w:b/>
          <w:color w:val="1F497D"/>
          <w:sz w:val="24"/>
        </w:rPr>
        <w:t>蝶阀说明书</w:t>
      </w:r>
    </w:p>
    <w:p w14:paraId="138AA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1.范围</w:t>
      </w:r>
    </w:p>
    <w:p w14:paraId="50A67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本 说 明 书 包 括 了 公 称 通 径 DN50mm~1600mm(2”~ 64”) 、 公 称 压 力PN1.0MPa~4.0MPa(ANSI CLASS150~300)法兰和对夹连接的手动、齿轮传动、电动和气动操作蝶阀。</w:t>
      </w:r>
    </w:p>
    <w:p w14:paraId="6337B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2.用途</w:t>
      </w:r>
    </w:p>
    <w:p w14:paraId="1F05B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2.1 主要开启或关闭管道和设备的介质用，作调节、截流和止回使用。</w:t>
      </w:r>
    </w:p>
    <w:p w14:paraId="6F940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 根据介质选用阀门的材质。</w:t>
      </w:r>
    </w:p>
    <w:p w14:paraId="3F598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2.2.1 碳钢阀门适用于水、蒸汽、油品等介质。</w:t>
      </w:r>
    </w:p>
    <w:p w14:paraId="5868E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2.2.2 不锈钢阀门适用于腐蚀性介质。</w:t>
      </w:r>
    </w:p>
    <w:p w14:paraId="7790B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2.2.3 铸铁阀门适用于水、气体介质。</w:t>
      </w:r>
    </w:p>
    <w:p w14:paraId="145AA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 适用温度取决于阀座的材质。</w:t>
      </w:r>
    </w:p>
    <w:p w14:paraId="4B310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  <w:rPr>
          <w:sz w:val="22"/>
        </w:rPr>
      </w:pPr>
      <w:r>
        <w:rPr>
          <w:sz w:val="22"/>
        </w:rPr>
        <w:t>PTFE（聚四氟乙烯）≤130℃</w:t>
      </w:r>
    </w:p>
    <w:p w14:paraId="1D88E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  <w:rPr>
          <w:sz w:val="22"/>
        </w:rPr>
      </w:pPr>
      <w:r>
        <w:rPr>
          <w:sz w:val="22"/>
        </w:rPr>
        <w:t>不锈钢+复合体≤425℃</w:t>
      </w:r>
    </w:p>
    <w:p w14:paraId="11EEE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  <w:rPr>
          <w:sz w:val="22"/>
        </w:rPr>
      </w:pPr>
      <w:r>
        <w:rPr>
          <w:sz w:val="22"/>
        </w:rPr>
        <w:t>橡胶≤60℃</w:t>
      </w:r>
    </w:p>
    <w:p w14:paraId="060D8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3.结构</w:t>
      </w:r>
    </w:p>
    <w:p w14:paraId="64E27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3.1 蝶阀基本结构见图 1</w:t>
      </w:r>
    </w:p>
    <w:p w14:paraId="0377C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3.2 易损件填料采用聚四氟乙烯或柔性石墨，密封可靠。</w:t>
      </w:r>
    </w:p>
    <w:p w14:paraId="42338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4.操作</w:t>
      </w:r>
    </w:p>
    <w:p w14:paraId="2EA39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4.1 手动操作阀门采用手柄或齿轮传动装置、电动或气动蝶阀由电动装置或气动装置驱动，使蝶板旋转 90°开启或关闭阀门。</w:t>
      </w:r>
    </w:p>
    <w:p w14:paraId="7855D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4.2 对于手动（包括驱动装置的手轮）或扳手操作的蝶阀，除订货合同另有规定外，当面向手轮或扳手时，顺时针方向转动手轮或扳手阀门应为关。</w:t>
      </w:r>
    </w:p>
    <w:p w14:paraId="3CE1E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4.3 电动、气动蝶阀的开启、关闭指示由电动装置、气动装置上的位置指示器标识。</w:t>
      </w:r>
    </w:p>
    <w:p w14:paraId="25509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5.保管、保养、安装和使用</w:t>
      </w:r>
    </w:p>
    <w:p w14:paraId="74DD6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5.1 阀门应存放在干燥，通风的室内，阀门通道两端应堵塞。</w:t>
      </w:r>
    </w:p>
    <w:p w14:paraId="54C27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566C7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5.3 安装前应仔细核对阀门标志是否与使用要求相符。</w:t>
      </w:r>
    </w:p>
    <w:p w14:paraId="1C64A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5.4 安装前应检查阀门通道和密封面，如有污垢，应使用清洁布擦拭干净。</w:t>
      </w:r>
    </w:p>
    <w:p w14:paraId="30A24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5.5 安装前检查填料是否压紧，应确保填料的密封性，同时不应妨碍阀杆的转动。</w:t>
      </w:r>
    </w:p>
    <w:p w14:paraId="5D2F7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5.6 安装时拧紧连接螺栓的拧紧力应均匀合适。</w:t>
      </w:r>
    </w:p>
    <w:p w14:paraId="3ED88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5.7 本蝶阀可以安装水平、垂直的管道上，安装位置应保证使用维修更换方便。</w:t>
      </w:r>
    </w:p>
    <w:p w14:paraId="10CC9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5.8 手动阀门在开启或关闭操作时，应使用手柄开、关，不得借用辅助杠杆或其它工具。</w:t>
      </w:r>
    </w:p>
    <w:p w14:paraId="7BA21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5.9 阀门使用应定期检查，检查密封面有无磨损及垫片填料。若损坏失效，应及时修理或更换。</w:t>
      </w:r>
    </w:p>
    <w:p w14:paraId="05AB2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5.10 电动、气动阀门的传动装置，其保管、保养、安装和使用，请见“阀门电动装置使用说明书”及“阀门气动装置使用说明书”。</w:t>
      </w:r>
    </w:p>
    <w:p w14:paraId="07F09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sz w:val="22"/>
        </w:rPr>
      </w:pPr>
      <w:r>
        <w:rPr>
          <w:sz w:val="22"/>
        </w:rPr>
        <w:t>6.可能发生的故障、原因及消除方法 见表 1</w:t>
      </w:r>
    </w:p>
    <w:p w14:paraId="1AC7D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  <w:rPr>
          <w:sz w:val="22"/>
        </w:rPr>
      </w:pPr>
      <w:r>
        <w:rPr>
          <w:sz w:val="22"/>
        </w:rPr>
        <w:t>表 1 可能发生的故障、原因及消除方法</w:t>
      </w:r>
    </w:p>
    <w:tbl>
      <w:tblPr>
        <w:tblStyle w:val="3"/>
        <w:tblW w:w="92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3"/>
        <w:gridCol w:w="2423"/>
        <w:gridCol w:w="4019"/>
      </w:tblGrid>
      <w:tr w14:paraId="01FB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5978C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可能发生的故障</w:t>
            </w:r>
          </w:p>
        </w:tc>
        <w:tc>
          <w:tcPr>
            <w:tcW w:w="0" w:type="auto"/>
            <w:vAlign w:val="center"/>
          </w:tcPr>
          <w:p w14:paraId="187F4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发生故障的原因</w:t>
            </w:r>
          </w:p>
        </w:tc>
        <w:tc>
          <w:tcPr>
            <w:tcW w:w="3916" w:type="dxa"/>
            <w:vAlign w:val="center"/>
          </w:tcPr>
          <w:p w14:paraId="026C8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消除方法</w:t>
            </w:r>
          </w:p>
        </w:tc>
      </w:tr>
      <w:tr w14:paraId="6CC5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03" w:type="dxa"/>
            <w:vMerge w:val="restart"/>
            <w:vAlign w:val="center"/>
          </w:tcPr>
          <w:p w14:paraId="42D5B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渗漏</w:t>
            </w:r>
          </w:p>
        </w:tc>
        <w:tc>
          <w:tcPr>
            <w:tcW w:w="0" w:type="auto"/>
            <w:vAlign w:val="center"/>
          </w:tcPr>
          <w:p w14:paraId="178B04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1.安装不正确</w:t>
            </w:r>
          </w:p>
        </w:tc>
        <w:tc>
          <w:tcPr>
            <w:tcW w:w="3916" w:type="dxa"/>
            <w:vAlign w:val="center"/>
          </w:tcPr>
          <w:p w14:paraId="7B6E7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1.调整蝶阀使之两侧管边中心对正</w:t>
            </w:r>
          </w:p>
          <w:p w14:paraId="47318B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sz w:val="22"/>
              </w:rPr>
              <w:t>2.拧紧连接螺栓，使拧紧力均匀合适</w:t>
            </w:r>
          </w:p>
        </w:tc>
      </w:tr>
      <w:tr w14:paraId="090A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03" w:type="dxa"/>
            <w:vMerge w:val="continue"/>
            <w:vAlign w:val="center"/>
          </w:tcPr>
          <w:p w14:paraId="78CA36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728E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2.关闭不到位</w:t>
            </w:r>
          </w:p>
        </w:tc>
        <w:tc>
          <w:tcPr>
            <w:tcW w:w="3916" w:type="dxa"/>
            <w:vAlign w:val="center"/>
          </w:tcPr>
          <w:p w14:paraId="47142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1.检查开启指示是否到位</w:t>
            </w:r>
          </w:p>
          <w:p w14:paraId="3B3F8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2.按执行机构说明书调整，使指示与实际开启状态同步</w:t>
            </w:r>
          </w:p>
          <w:p w14:paraId="318A2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sz w:val="22"/>
              </w:rPr>
              <w:t>3.检查管道中有无卡滞物</w:t>
            </w:r>
          </w:p>
        </w:tc>
      </w:tr>
      <w:tr w14:paraId="1C40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03" w:type="dxa"/>
            <w:vMerge w:val="continue"/>
            <w:vAlign w:val="center"/>
          </w:tcPr>
          <w:p w14:paraId="0EB9C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4844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3.阀门零件损坏</w:t>
            </w:r>
          </w:p>
          <w:p w14:paraId="53A0E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</w:rPr>
            </w:pPr>
            <w:r>
              <w:rPr>
                <w:rFonts w:hint="eastAsia"/>
                <w:sz w:val="22"/>
              </w:rPr>
              <w:t>1阀座损坏2蝶板损坏</w:t>
            </w:r>
          </w:p>
        </w:tc>
        <w:tc>
          <w:tcPr>
            <w:tcW w:w="3916" w:type="dxa"/>
            <w:vAlign w:val="center"/>
          </w:tcPr>
          <w:p w14:paraId="49C0C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1.更换阀座</w:t>
            </w:r>
          </w:p>
          <w:p w14:paraId="6F23E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2.更换蝶板</w:t>
            </w:r>
          </w:p>
        </w:tc>
      </w:tr>
      <w:tr w14:paraId="234F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E228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驱动机构失效</w:t>
            </w:r>
          </w:p>
        </w:tc>
        <w:tc>
          <w:tcPr>
            <w:tcW w:w="0" w:type="auto"/>
            <w:vAlign w:val="center"/>
          </w:tcPr>
          <w:p w14:paraId="2E76541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</w:rPr>
            </w:pPr>
            <w:r>
              <w:rPr>
                <w:rFonts w:hint="eastAsia"/>
                <w:sz w:val="22"/>
              </w:rPr>
              <w:t>连接键损坏脱落</w:t>
            </w:r>
          </w:p>
          <w:p w14:paraId="48CC03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 w:right="0" w:rightChars="0"/>
              <w:jc w:val="left"/>
              <w:textAlignment w:val="auto"/>
              <w:rPr>
                <w:sz w:val="22"/>
              </w:rPr>
            </w:pPr>
            <w:r>
              <w:rPr>
                <w:rFonts w:hint="eastAsia"/>
                <w:sz w:val="22"/>
              </w:rPr>
              <w:t>2.锥销剪断</w:t>
            </w:r>
          </w:p>
        </w:tc>
        <w:tc>
          <w:tcPr>
            <w:tcW w:w="3916" w:type="dxa"/>
            <w:vAlign w:val="center"/>
          </w:tcPr>
          <w:p w14:paraId="595D4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1.更换键</w:t>
            </w:r>
          </w:p>
          <w:p w14:paraId="09A3D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2.更换锥销</w:t>
            </w:r>
          </w:p>
        </w:tc>
      </w:tr>
      <w:tr w14:paraId="76B2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64A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电动装置和气动装置故障</w:t>
            </w:r>
          </w:p>
        </w:tc>
        <w:tc>
          <w:tcPr>
            <w:tcW w:w="6442" w:type="dxa"/>
            <w:gridSpan w:val="2"/>
            <w:vAlign w:val="center"/>
          </w:tcPr>
          <w:p w14:paraId="23361D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见“阀门电动装置说明书”和“阀门气动装置说明书”</w:t>
            </w:r>
          </w:p>
        </w:tc>
      </w:tr>
    </w:tbl>
    <w:p w14:paraId="42357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</w:rPr>
      </w:pPr>
    </w:p>
    <w:p w14:paraId="3E5FA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sz w:val="22"/>
        </w:rPr>
        <w:t>7.保修</w:t>
      </w:r>
    </w:p>
    <w:p w14:paraId="731FC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  <w:rPr>
          <w:sz w:val="22"/>
        </w:rPr>
      </w:pPr>
      <w:r>
        <w:rPr>
          <w:sz w:val="22"/>
        </w:rPr>
        <w:t>制造厂对阀门投入使用一年内负责保修，但不超过发货期 18 个月。在保修期内，因产品质量原因均可免费修理或更换零件。</w:t>
      </w:r>
    </w:p>
    <w:p w14:paraId="43317901">
      <w:r>
        <w:drawing>
          <wp:inline distT="0" distB="0" distL="114300" distR="114300">
            <wp:extent cx="5728335" cy="3505835"/>
            <wp:effectExtent l="0" t="0" r="5715" b="1841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64255" cy="3646170"/>
            <wp:effectExtent l="0" t="0" r="17145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644686"/>
    <w:multiLevelType w:val="singleLevel"/>
    <w:tmpl w:val="3D6446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1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2026-05-11T06:31:54Z</dcterms:created>
  <dc:creator>Administrator</dc:creator>
  <cp:lastModifiedBy>Azzzzhao</cp:lastModifiedBy>
  <dcterms:modified xsi:type="dcterms:W3CDTF">2026-05-11T06:32:08Z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303065246620408C9E1733AD1D20C9F1_12</vt:lpwstr>
  </property>
</Properties>
</file>