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38C50">
      <w:pPr>
        <w:spacing w:before="0" w:after="0"/>
        <w:jc w:val="center"/>
      </w:pPr>
      <w:r>
        <w:rPr>
          <w:rFonts w:ascii="Arial" w:hAnsi="Arial" w:eastAsia="Arial" w:cs="Arial"/>
          <w:b/>
          <w:bCs/>
          <w:color w:val="1F497D"/>
          <w:sz w:val="24"/>
          <w:szCs w:val="24"/>
        </w:rPr>
        <w:t>Butterfly Valve</w:t>
      </w:r>
    </w:p>
    <w:p w14:paraId="72BE47D0">
      <w:pPr>
        <w:spacing w:before="0" w:after="240"/>
        <w:jc w:val="center"/>
      </w:pPr>
      <w:r>
        <w:rPr>
          <w:rFonts w:ascii="Arial" w:hAnsi="Arial" w:eastAsia="Arial" w:cs="Arial"/>
          <w:b/>
          <w:bCs/>
          <w:color w:val="1F497D"/>
          <w:sz w:val="24"/>
          <w:szCs w:val="24"/>
        </w:rPr>
        <w:t>Operation Manual</w:t>
      </w:r>
    </w:p>
    <w:p w14:paraId="2E925478">
      <w:pPr>
        <w:spacing w:before="0" w:after="0"/>
        <w:ind w:left="440"/>
        <w:jc w:val="left"/>
      </w:pPr>
      <w:r>
        <w:rPr>
          <w:rFonts w:ascii="Arial" w:hAnsi="Arial" w:eastAsia="Arial" w:cs="Arial"/>
          <w:b/>
          <w:bCs/>
          <w:sz w:val="22"/>
          <w:szCs w:val="22"/>
        </w:rPr>
        <w:t>1.  Scope</w:t>
      </w:r>
    </w:p>
    <w:p w14:paraId="516CE5D9">
      <w:pPr>
        <w:spacing w:before="0" w:after="0"/>
        <w:ind w:left="440" w:firstLine="716"/>
        <w:jc w:val="left"/>
      </w:pPr>
      <w:r>
        <w:rPr>
          <w:rFonts w:ascii="Arial" w:hAnsi="Arial" w:eastAsia="Arial" w:cs="Arial"/>
          <w:sz w:val="22"/>
          <w:szCs w:val="22"/>
        </w:rPr>
        <w:t>This manual covers manually-operated, gear-operated, electric, and pneumatic butterfly valves with flange and wafer-style connections, in nominal diameters DN50 mm to DN1,600 mm (2" to 64") and nominal pressures PN1.0 MPa to PN4.0 MPa (ANSI Class 150 to 300).</w:t>
      </w:r>
    </w:p>
    <w:p w14:paraId="1ADCEA81">
      <w:pPr>
        <w:spacing w:before="200" w:after="0"/>
        <w:ind w:left="440"/>
        <w:jc w:val="left"/>
      </w:pPr>
      <w:r>
        <w:rPr>
          <w:rFonts w:ascii="Arial" w:hAnsi="Arial" w:eastAsia="Arial" w:cs="Arial"/>
          <w:b/>
          <w:bCs/>
          <w:sz w:val="22"/>
          <w:szCs w:val="22"/>
        </w:rPr>
        <w:t>2.  Purpose</w:t>
      </w:r>
    </w:p>
    <w:p w14:paraId="2B075EDE">
      <w:pPr>
        <w:spacing w:before="0" w:after="0"/>
        <w:ind w:left="440" w:firstLine="716"/>
        <w:jc w:val="left"/>
      </w:pPr>
      <w:r>
        <w:rPr>
          <w:rFonts w:ascii="Arial" w:hAnsi="Arial" w:eastAsia="Arial" w:cs="Arial"/>
          <w:sz w:val="22"/>
          <w:szCs w:val="22"/>
        </w:rPr>
        <w:t>2.1  Primarily used to open or close the medium in pipes and equipment; also for regulation, throttling, and check (one-way stop) service.</w:t>
      </w:r>
    </w:p>
    <w:p w14:paraId="2355ECA9">
      <w:pPr>
        <w:spacing w:before="0" w:after="0"/>
        <w:ind w:left="440" w:firstLine="716"/>
        <w:jc w:val="left"/>
      </w:pPr>
      <w:r>
        <w:rPr>
          <w:rFonts w:ascii="Arial" w:hAnsi="Arial" w:eastAsia="Arial" w:cs="Arial"/>
          <w:sz w:val="22"/>
          <w:szCs w:val="22"/>
        </w:rPr>
        <w:t>2.2  Valve body material shall be selected based on the medium.</w:t>
      </w:r>
    </w:p>
    <w:p w14:paraId="67E45FD9">
      <w:pPr>
        <w:spacing w:before="0" w:after="0"/>
        <w:ind w:left="440" w:firstLine="1432"/>
        <w:jc w:val="left"/>
      </w:pPr>
      <w:r>
        <w:rPr>
          <w:rFonts w:ascii="Arial" w:hAnsi="Arial" w:eastAsia="Arial" w:cs="Arial"/>
          <w:sz w:val="22"/>
          <w:szCs w:val="22"/>
        </w:rPr>
        <w:t>2.2.1  Carbon steel valves — suitable for water, steam, and oil media.</w:t>
      </w:r>
    </w:p>
    <w:p w14:paraId="58176DB4">
      <w:pPr>
        <w:spacing w:before="0" w:after="0"/>
        <w:ind w:left="440" w:firstLine="1432"/>
        <w:jc w:val="left"/>
      </w:pPr>
      <w:r>
        <w:rPr>
          <w:rFonts w:ascii="Arial" w:hAnsi="Arial" w:eastAsia="Arial" w:cs="Arial"/>
          <w:sz w:val="22"/>
          <w:szCs w:val="22"/>
        </w:rPr>
        <w:t>2.2.2  Stainless steel valves — suitable for corrosive media.</w:t>
      </w:r>
    </w:p>
    <w:p w14:paraId="59C479B3">
      <w:pPr>
        <w:spacing w:before="0" w:after="0"/>
        <w:ind w:left="440" w:firstLine="1432"/>
        <w:jc w:val="left"/>
      </w:pPr>
      <w:r>
        <w:rPr>
          <w:rFonts w:ascii="Arial" w:hAnsi="Arial" w:eastAsia="Arial" w:cs="Arial"/>
          <w:sz w:val="22"/>
          <w:szCs w:val="22"/>
        </w:rPr>
        <w:t>2.2.3  Cast iron valves — suitable for water and gas media.</w:t>
      </w:r>
    </w:p>
    <w:p w14:paraId="5ADD1E04">
      <w:pPr>
        <w:spacing w:before="0" w:after="0"/>
        <w:ind w:left="440" w:firstLine="716"/>
        <w:jc w:val="left"/>
      </w:pPr>
      <w:r>
        <w:rPr>
          <w:rFonts w:ascii="Arial" w:hAnsi="Arial" w:eastAsia="Arial" w:cs="Arial"/>
          <w:sz w:val="22"/>
          <w:szCs w:val="22"/>
        </w:rPr>
        <w:t>2.3  Operating temperature is determined by the seat material:</w:t>
      </w:r>
    </w:p>
    <w:p w14:paraId="1810A35C">
      <w:pPr>
        <w:spacing w:before="0" w:after="0"/>
        <w:ind w:left="440" w:firstLine="1432"/>
        <w:jc w:val="left"/>
      </w:pPr>
      <w:r>
        <w:rPr>
          <w:rFonts w:ascii="Arial" w:hAnsi="Arial" w:eastAsia="Arial" w:cs="Arial"/>
          <w:sz w:val="22"/>
          <w:szCs w:val="22"/>
        </w:rPr>
        <w:t>PTFE (Polytetrafluoroethylene) seat  ≤ 130°C</w:t>
      </w:r>
    </w:p>
    <w:p w14:paraId="78B37A89">
      <w:pPr>
        <w:spacing w:before="0" w:after="0"/>
        <w:ind w:left="440" w:firstLine="1432"/>
        <w:jc w:val="left"/>
      </w:pPr>
      <w:r>
        <w:rPr>
          <w:rFonts w:ascii="Arial" w:hAnsi="Arial" w:eastAsia="Arial" w:cs="Arial"/>
          <w:sz w:val="22"/>
          <w:szCs w:val="22"/>
        </w:rPr>
        <w:t>Stainless steel + composite seat  ≤ 425°C</w:t>
      </w:r>
    </w:p>
    <w:p w14:paraId="14287CC0">
      <w:pPr>
        <w:spacing w:before="0" w:after="0"/>
        <w:ind w:left="440" w:firstLine="1432"/>
        <w:jc w:val="left"/>
      </w:pPr>
      <w:r>
        <w:rPr>
          <w:rFonts w:ascii="Arial" w:hAnsi="Arial" w:eastAsia="Arial" w:cs="Arial"/>
          <w:sz w:val="22"/>
          <w:szCs w:val="22"/>
        </w:rPr>
        <w:t>Rubber seat  ≤ 60°C</w:t>
      </w:r>
    </w:p>
    <w:p w14:paraId="35B1BF93">
      <w:pPr>
        <w:spacing w:before="200" w:after="0"/>
        <w:ind w:left="440"/>
        <w:jc w:val="left"/>
      </w:pPr>
      <w:r>
        <w:rPr>
          <w:rFonts w:ascii="Arial" w:hAnsi="Arial" w:eastAsia="Arial" w:cs="Arial"/>
          <w:b/>
          <w:bCs/>
          <w:sz w:val="22"/>
          <w:szCs w:val="22"/>
        </w:rPr>
        <w:t>3.  Structure</w:t>
      </w:r>
    </w:p>
    <w:p w14:paraId="2D7325E6">
      <w:pPr>
        <w:spacing w:before="0" w:after="0"/>
        <w:ind w:left="440" w:firstLine="716"/>
        <w:jc w:val="left"/>
      </w:pPr>
      <w:r>
        <w:rPr>
          <w:rFonts w:ascii="Arial" w:hAnsi="Arial" w:eastAsia="Arial" w:cs="Arial"/>
          <w:sz w:val="22"/>
          <w:szCs w:val="22"/>
        </w:rPr>
        <w:t>3.1  The basic structure of the butterfly valve is shown in Figure 1.</w:t>
      </w:r>
    </w:p>
    <w:p w14:paraId="6C9BEBAF">
      <w:pPr>
        <w:spacing w:before="0" w:after="0"/>
        <w:ind w:left="440" w:firstLine="716"/>
        <w:jc w:val="left"/>
      </w:pPr>
      <w:r>
        <w:rPr>
          <w:rFonts w:ascii="Arial" w:hAnsi="Arial" w:eastAsia="Arial" w:cs="Arial"/>
          <w:sz w:val="22"/>
          <w:szCs w:val="22"/>
        </w:rPr>
        <w:t>3.2  Packing for wearing parts uses PTFE or flexible graphite, providing reliable sealing.</w:t>
      </w:r>
    </w:p>
    <w:p w14:paraId="62ED68FD">
      <w:pPr>
        <w:spacing w:before="200" w:after="0"/>
        <w:ind w:left="440"/>
        <w:jc w:val="left"/>
      </w:pPr>
      <w:r>
        <w:rPr>
          <w:rFonts w:ascii="Arial" w:hAnsi="Arial" w:eastAsia="Arial" w:cs="Arial"/>
          <w:b/>
          <w:bCs/>
          <w:sz w:val="22"/>
          <w:szCs w:val="22"/>
        </w:rPr>
        <w:t>4.  Operation</w:t>
      </w:r>
    </w:p>
    <w:p w14:paraId="1F672FAA">
      <w:pPr>
        <w:spacing w:before="0" w:after="0"/>
        <w:ind w:left="440" w:firstLine="716"/>
        <w:jc w:val="left"/>
      </w:pPr>
      <w:r>
        <w:rPr>
          <w:rFonts w:ascii="Arial" w:hAnsi="Arial" w:eastAsia="Arial" w:cs="Arial"/>
          <w:sz w:val="22"/>
          <w:szCs w:val="22"/>
        </w:rPr>
        <w:t>4.1  Manually operated valves use a handle or gear transmission. Electric or pneumatic butterfly valves are driven by their respective actuators, rotating the disc 90° to open or close the valve.</w:t>
      </w:r>
    </w:p>
    <w:p w14:paraId="3CA12CEE">
      <w:pPr>
        <w:spacing w:before="0" w:after="0"/>
        <w:ind w:left="440" w:firstLine="716"/>
        <w:jc w:val="left"/>
      </w:pPr>
      <w:r>
        <w:rPr>
          <w:rFonts w:ascii="Arial" w:hAnsi="Arial" w:eastAsia="Arial" w:cs="Arial"/>
          <w:sz w:val="22"/>
          <w:szCs w:val="22"/>
        </w:rPr>
        <w:t>4.2  For manually operated valves (including those with a manual override on the actuator), unless otherwise specified in the order contract, when facing the handwheel or handle: turning clockwise closes the valve.</w:t>
      </w:r>
    </w:p>
    <w:p w14:paraId="462306B6">
      <w:pPr>
        <w:spacing w:before="0" w:after="0"/>
        <w:ind w:left="440" w:firstLine="716"/>
        <w:jc w:val="left"/>
      </w:pPr>
      <w:r>
        <w:rPr>
          <w:rFonts w:ascii="Arial" w:hAnsi="Arial" w:eastAsia="Arial" w:cs="Arial"/>
          <w:sz w:val="22"/>
          <w:szCs w:val="22"/>
        </w:rPr>
        <w:t>4.3  The open/close position indication for electric and pneumatic butterfly valves is shown by the position indicator on the actuator.</w:t>
      </w:r>
    </w:p>
    <w:p w14:paraId="7F7A65F6">
      <w:pPr>
        <w:spacing w:before="200" w:after="0"/>
        <w:ind w:left="440"/>
        <w:jc w:val="left"/>
      </w:pPr>
      <w:r>
        <w:rPr>
          <w:rFonts w:ascii="Arial" w:hAnsi="Arial" w:eastAsia="Arial" w:cs="Arial"/>
          <w:b/>
          <w:bCs/>
          <w:sz w:val="22"/>
          <w:szCs w:val="22"/>
        </w:rPr>
        <w:t>5.  Storage, Maintenance, Installation, and Use</w:t>
      </w:r>
    </w:p>
    <w:p w14:paraId="0B70D474">
      <w:pPr>
        <w:spacing w:before="0" w:after="0"/>
        <w:ind w:left="440" w:firstLine="716"/>
        <w:jc w:val="left"/>
      </w:pPr>
      <w:r>
        <w:rPr>
          <w:rFonts w:ascii="Arial" w:hAnsi="Arial" w:eastAsia="Arial" w:cs="Arial"/>
          <w:sz w:val="22"/>
          <w:szCs w:val="22"/>
        </w:rPr>
        <w:t>5.1  Valves shall be stored indoors in a dry and ventilated area; both pipeline openings shall be sealed.</w:t>
      </w:r>
    </w:p>
    <w:p w14:paraId="28EF0CA7">
      <w:pPr>
        <w:spacing w:before="0" w:after="0"/>
        <w:ind w:left="440" w:firstLine="716"/>
        <w:jc w:val="left"/>
      </w:pPr>
      <w:r>
        <w:rPr>
          <w:rFonts w:ascii="Arial" w:hAnsi="Arial" w:eastAsia="Arial" w:cs="Arial"/>
          <w:sz w:val="22"/>
          <w:szCs w:val="22"/>
        </w:rPr>
        <w:t>5.2  Valves stored long-term shall be inspected periodically; remove debris. Pay special attention to keeping the sealing faces clean to prevent damage.</w:t>
      </w:r>
    </w:p>
    <w:p w14:paraId="5104D889">
      <w:pPr>
        <w:spacing w:before="0" w:after="0"/>
        <w:ind w:left="440" w:firstLine="716"/>
        <w:jc w:val="left"/>
      </w:pPr>
      <w:r>
        <w:rPr>
          <w:rFonts w:ascii="Arial" w:hAnsi="Arial" w:eastAsia="Arial" w:cs="Arial"/>
          <w:sz w:val="22"/>
          <w:szCs w:val="22"/>
        </w:rPr>
        <w:t>5.3  Before installation, verify that the valve markings match the service requirements.</w:t>
      </w:r>
    </w:p>
    <w:p w14:paraId="26D9B8F0">
      <w:pPr>
        <w:spacing w:before="0" w:after="0"/>
        <w:ind w:left="440" w:firstLine="716"/>
        <w:jc w:val="left"/>
      </w:pPr>
      <w:r>
        <w:rPr>
          <w:rFonts w:ascii="Arial" w:hAnsi="Arial" w:eastAsia="Arial" w:cs="Arial"/>
          <w:sz w:val="22"/>
          <w:szCs w:val="22"/>
        </w:rPr>
        <w:t>5.4  Before installation, inspect the valve bore and sealing faces; if any contaminants are present, wipe clean with a soft cloth.</w:t>
      </w:r>
    </w:p>
    <w:p w14:paraId="2878C68F">
      <w:pPr>
        <w:spacing w:before="0" w:after="0"/>
        <w:ind w:left="440" w:firstLine="716"/>
        <w:jc w:val="left"/>
      </w:pPr>
      <w:r>
        <w:rPr>
          <w:rFonts w:ascii="Arial" w:hAnsi="Arial" w:eastAsia="Arial" w:cs="Arial"/>
          <w:sz w:val="22"/>
          <w:szCs w:val="22"/>
        </w:rPr>
        <w:t>5.5  Before installation, verify that the packing is compressed; ensure it seals properly while not obstructing stem rotation.</w:t>
      </w:r>
    </w:p>
    <w:p w14:paraId="578B49D7">
      <w:pPr>
        <w:spacing w:before="0" w:after="0"/>
        <w:ind w:left="440" w:firstLine="716"/>
        <w:jc w:val="left"/>
      </w:pPr>
      <w:r>
        <w:rPr>
          <w:rFonts w:ascii="Arial" w:hAnsi="Arial" w:eastAsia="Arial" w:cs="Arial"/>
          <w:sz w:val="22"/>
          <w:szCs w:val="22"/>
        </w:rPr>
        <w:t>5.6  When tightening connection bolts during installation, torque shall be applied evenly and to the appropriate level.</w:t>
      </w:r>
    </w:p>
    <w:p w14:paraId="4AC5F158">
      <w:pPr>
        <w:spacing w:before="0" w:after="0"/>
        <w:ind w:left="440" w:firstLine="716"/>
        <w:jc w:val="left"/>
      </w:pPr>
      <w:r>
        <w:rPr>
          <w:rFonts w:ascii="Arial" w:hAnsi="Arial" w:eastAsia="Arial" w:cs="Arial"/>
          <w:sz w:val="22"/>
          <w:szCs w:val="22"/>
        </w:rPr>
        <w:t>5.7  This butterfly valve can be installed on horizontal or vertical pipelines. Installation location shall allow convenient operation, maintenance, and replacement.</w:t>
      </w:r>
    </w:p>
    <w:p w14:paraId="07EBBB3D">
      <w:pPr>
        <w:spacing w:before="0" w:after="0"/>
        <w:ind w:left="440" w:firstLine="716"/>
        <w:jc w:val="left"/>
      </w:pPr>
      <w:r>
        <w:rPr>
          <w:rFonts w:ascii="Arial" w:hAnsi="Arial" w:eastAsia="Arial" w:cs="Arial"/>
          <w:sz w:val="22"/>
          <w:szCs w:val="22"/>
        </w:rPr>
        <w:t>5.8  When manually opening or closing a valve, use the handle; do not use auxiliary levers or other tools.</w:t>
      </w:r>
    </w:p>
    <w:p w14:paraId="659BCA02">
      <w:pPr>
        <w:spacing w:before="0" w:after="0"/>
        <w:ind w:left="440" w:firstLine="716"/>
        <w:jc w:val="left"/>
      </w:pPr>
      <w:r>
        <w:rPr>
          <w:rFonts w:ascii="Arial" w:hAnsi="Arial" w:eastAsia="Arial" w:cs="Arial"/>
          <w:sz w:val="22"/>
          <w:szCs w:val="22"/>
        </w:rPr>
        <w:t>5.9  Valves in service shall be inspected regularly. Check the sealing faces for wear and inspect packing and gaskets. If damaged or failed, repair or replace promptly.</w:t>
      </w:r>
    </w:p>
    <w:p w14:paraId="1DEBE409">
      <w:pPr>
        <w:spacing w:before="0" w:after="0"/>
        <w:ind w:left="440" w:firstLine="716"/>
        <w:jc w:val="left"/>
      </w:pPr>
      <w:r>
        <w:rPr>
          <w:rFonts w:ascii="Arial" w:hAnsi="Arial" w:eastAsia="Arial" w:cs="Arial"/>
          <w:sz w:val="22"/>
          <w:szCs w:val="22"/>
        </w:rPr>
        <w:t>5.10  For the storage, maintenance, installation, and use of electric and pneumatic actuators, refer to the "Valve Electric Actuator Manual" and "Valve Pneumatic Actuator Manual."</w:t>
      </w:r>
    </w:p>
    <w:p w14:paraId="3BEF3E08">
      <w:pPr>
        <w:spacing w:before="200" w:after="0"/>
        <w:ind w:left="440"/>
        <w:jc w:val="left"/>
      </w:pPr>
      <w:r>
        <w:rPr>
          <w:rFonts w:ascii="Arial" w:hAnsi="Arial" w:eastAsia="Arial" w:cs="Arial"/>
          <w:b/>
          <w:bCs/>
          <w:sz w:val="22"/>
          <w:szCs w:val="22"/>
        </w:rPr>
        <w:t>6.  Possible Faults, Causes, and Resolutions  —  See Table 1</w:t>
      </w:r>
    </w:p>
    <w:p w14:paraId="50F589F6">
      <w:pPr>
        <w:spacing w:before="0" w:after="120"/>
        <w:ind w:left="440"/>
        <w:jc w:val="center"/>
      </w:pPr>
      <w:r>
        <w:rPr>
          <w:rFonts w:ascii="Arial" w:hAnsi="Arial" w:eastAsia="Arial" w:cs="Arial"/>
          <w:sz w:val="22"/>
          <w:szCs w:val="22"/>
        </w:rPr>
        <w:t>Table 1  Possible Faults, Causes, and Resolutions</w:t>
      </w:r>
    </w:p>
    <w:tbl>
      <w:tblPr>
        <w:tblStyle w:val="13"/>
        <w:tblW w:w="9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42"/>
        <w:gridCol w:w="2318"/>
        <w:gridCol w:w="4485"/>
      </w:tblGrid>
      <w:tr w14:paraId="06D70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38B1DF88">
            <w:pPr>
              <w:jc w:val="center"/>
            </w:pPr>
            <w:r>
              <w:rPr>
                <w:rFonts w:ascii="Arial" w:hAnsi="Arial" w:eastAsia="Arial" w:cs="Arial"/>
                <w:b/>
                <w:bCs/>
                <w:sz w:val="20"/>
                <w:szCs w:val="20"/>
              </w:rPr>
              <w:t>Possible Fault</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37A1FF61">
            <w:pPr>
              <w:jc w:val="center"/>
            </w:pPr>
            <w:r>
              <w:rPr>
                <w:rFonts w:ascii="Arial" w:hAnsi="Arial" w:eastAsia="Arial" w:cs="Arial"/>
                <w:b/>
                <w:bCs/>
                <w:sz w:val="20"/>
                <w:szCs w:val="20"/>
              </w:rPr>
              <w:t>Cause</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3833D631">
            <w:pPr>
              <w:jc w:val="center"/>
            </w:pPr>
            <w:r>
              <w:rPr>
                <w:rFonts w:ascii="Arial" w:hAnsi="Arial" w:eastAsia="Arial" w:cs="Arial"/>
                <w:b/>
                <w:bCs/>
                <w:sz w:val="20"/>
                <w:szCs w:val="20"/>
              </w:rPr>
              <w:t>Resolution</w:t>
            </w:r>
          </w:p>
        </w:tc>
      </w:tr>
      <w:tr w14:paraId="61B7D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restart"/>
            <w:tcBorders>
              <w:top w:val="single" w:color="999999" w:sz="0" w:space="0"/>
              <w:left w:val="single" w:color="999999" w:sz="0" w:space="0"/>
              <w:right w:val="single" w:color="999999" w:sz="0" w:space="0"/>
            </w:tcBorders>
            <w:shd w:val="clear" w:color="auto" w:fill="FFFFFF"/>
            <w:tcMar>
              <w:top w:w="80" w:type="dxa"/>
              <w:left w:w="120" w:type="dxa"/>
              <w:bottom w:w="80" w:type="dxa"/>
              <w:right w:w="120" w:type="dxa"/>
            </w:tcMar>
            <w:vAlign w:val="center"/>
          </w:tcPr>
          <w:p w14:paraId="05DC3258">
            <w:pPr>
              <w:jc w:val="center"/>
            </w:pPr>
            <w:r>
              <w:rPr>
                <w:rFonts w:ascii="Arial" w:hAnsi="Arial" w:eastAsia="Arial" w:cs="Arial"/>
                <w:b w:val="0"/>
                <w:bCs w:val="0"/>
                <w:sz w:val="20"/>
                <w:szCs w:val="20"/>
              </w:rPr>
              <w:t>Leakage</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108F2AA">
            <w:pPr>
              <w:jc w:val="both"/>
            </w:pPr>
            <w:r>
              <w:rPr>
                <w:rFonts w:ascii="Arial" w:hAnsi="Arial" w:eastAsia="Arial" w:cs="Arial"/>
                <w:b w:val="0"/>
                <w:bCs w:val="0"/>
                <w:sz w:val="20"/>
                <w:szCs w:val="20"/>
              </w:rPr>
              <w:t>1. Incorrect installation</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CDA9667">
            <w:pPr>
              <w:spacing w:before="0" w:after="0"/>
              <w:jc w:val="left"/>
            </w:pPr>
            <w:r>
              <w:rPr>
                <w:rFonts w:ascii="Arial" w:hAnsi="Arial" w:eastAsia="Arial" w:cs="Arial"/>
                <w:b w:val="0"/>
                <w:bCs w:val="0"/>
                <w:sz w:val="20"/>
                <w:szCs w:val="20"/>
              </w:rPr>
              <w:t>1. Reposition butterfly valve so both pipe flanges are centered and aligned</w:t>
            </w:r>
          </w:p>
          <w:p w14:paraId="12A649BB">
            <w:pPr>
              <w:spacing w:before="0" w:after="0"/>
              <w:jc w:val="left"/>
            </w:pPr>
            <w:r>
              <w:rPr>
                <w:rFonts w:ascii="Arial" w:hAnsi="Arial" w:eastAsia="Arial" w:cs="Arial"/>
                <w:b w:val="0"/>
                <w:bCs w:val="0"/>
                <w:sz w:val="20"/>
                <w:szCs w:val="20"/>
              </w:rPr>
              <w:t>2. Tighten connection bolts evenly with appropriate torque</w:t>
            </w:r>
          </w:p>
        </w:tc>
      </w:tr>
      <w:tr w14:paraId="6C5A7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left w:val="single" w:color="999999" w:sz="0" w:space="0"/>
              <w:right w:val="single" w:color="999999" w:sz="0" w:space="0"/>
            </w:tcBorders>
            <w:shd w:val="clear" w:color="auto" w:fill="FFFFFF"/>
            <w:tcMar>
              <w:top w:w="80" w:type="dxa"/>
              <w:left w:w="120" w:type="dxa"/>
              <w:bottom w:w="80" w:type="dxa"/>
              <w:right w:w="120" w:type="dxa"/>
            </w:tcMar>
            <w:vAlign w:val="center"/>
          </w:tcPr>
          <w:p w14:paraId="51A49DBC">
            <w:pPr>
              <w:jc w:val="center"/>
            </w:pP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F15A573">
            <w:pPr>
              <w:spacing w:before="0" w:after="0"/>
              <w:jc w:val="left"/>
              <w:rPr>
                <w:rFonts w:ascii="Arial" w:hAnsi="Arial" w:eastAsia="Arial" w:cs="Arial"/>
                <w:b w:val="0"/>
                <w:bCs w:val="0"/>
                <w:sz w:val="20"/>
                <w:szCs w:val="20"/>
              </w:rPr>
            </w:pPr>
            <w:r>
              <w:rPr>
                <w:rFonts w:ascii="Arial" w:hAnsi="Arial" w:eastAsia="Arial" w:cs="Arial"/>
                <w:b w:val="0"/>
                <w:bCs w:val="0"/>
                <w:sz w:val="20"/>
                <w:szCs w:val="20"/>
              </w:rPr>
              <w:t>2. Valve not fully closed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E0312BF">
            <w:pPr>
              <w:spacing w:before="0" w:after="0"/>
              <w:jc w:val="left"/>
            </w:pPr>
            <w:r>
              <w:rPr>
                <w:rFonts w:ascii="Arial" w:hAnsi="Arial" w:eastAsia="Arial" w:cs="Arial"/>
                <w:b w:val="0"/>
                <w:bCs w:val="0"/>
                <w:sz w:val="20"/>
                <w:szCs w:val="20"/>
              </w:rPr>
              <w:t>1. Check that the opening indicator shows fully open/closed position</w:t>
            </w:r>
          </w:p>
          <w:p w14:paraId="3A3049CB">
            <w:pPr>
              <w:spacing w:before="0" w:after="0"/>
              <w:jc w:val="left"/>
            </w:pPr>
            <w:r>
              <w:rPr>
                <w:rFonts w:ascii="Arial" w:hAnsi="Arial" w:eastAsia="Arial" w:cs="Arial"/>
                <w:b w:val="0"/>
                <w:bCs w:val="0"/>
                <w:sz w:val="20"/>
                <w:szCs w:val="20"/>
              </w:rPr>
              <w:t>2. Adjust actuator per its manual so indicator matches actual position</w:t>
            </w:r>
          </w:p>
          <w:p w14:paraId="07EF9855">
            <w:pPr>
              <w:spacing w:before="0" w:after="0"/>
              <w:jc w:val="left"/>
            </w:pPr>
            <w:r>
              <w:rPr>
                <w:rFonts w:ascii="Arial" w:hAnsi="Arial" w:eastAsia="Arial" w:cs="Arial"/>
                <w:b w:val="0"/>
                <w:bCs w:val="0"/>
                <w:sz w:val="20"/>
                <w:szCs w:val="20"/>
              </w:rPr>
              <w:t>3. Inspect and remove any debris or obstruction in the pipeline</w:t>
            </w:r>
          </w:p>
        </w:tc>
      </w:tr>
      <w:tr w14:paraId="3C268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015644F">
            <w:pPr>
              <w:spacing w:before="0" w:after="0"/>
              <w:jc w:val="left"/>
            </w:pP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5F3B0B5">
            <w:pPr>
              <w:spacing w:before="0" w:after="0"/>
              <w:jc w:val="left"/>
              <w:rPr>
                <w:rFonts w:ascii="Arial" w:hAnsi="Arial" w:eastAsia="Arial" w:cs="Arial"/>
                <w:b w:val="0"/>
                <w:bCs w:val="0"/>
                <w:sz w:val="20"/>
                <w:szCs w:val="20"/>
              </w:rPr>
            </w:pPr>
            <w:r>
              <w:rPr>
                <w:rFonts w:ascii="Arial" w:hAnsi="Arial" w:eastAsia="Arial" w:cs="Arial"/>
                <w:b w:val="0"/>
                <w:bCs w:val="0"/>
                <w:sz w:val="20"/>
                <w:szCs w:val="20"/>
              </w:rPr>
              <w:t>3. Valve parts damaged</w:t>
            </w:r>
          </w:p>
          <w:p w14:paraId="04B0CC52">
            <w:pPr>
              <w:spacing w:before="0" w:after="0"/>
              <w:ind w:firstLine="400" w:firstLineChars="200"/>
              <w:jc w:val="left"/>
            </w:pPr>
            <w:r>
              <w:rPr>
                <w:rFonts w:ascii="Arial" w:hAnsi="Arial" w:eastAsia="Arial" w:cs="Arial"/>
                <w:b w:val="0"/>
                <w:bCs w:val="0"/>
                <w:sz w:val="20"/>
                <w:szCs w:val="20"/>
              </w:rPr>
              <w:t>1</w:t>
            </w:r>
            <w:r>
              <w:rPr>
                <w:rFonts w:hint="eastAsia" w:ascii="Arial" w:hAnsi="Arial" w:eastAsia="宋体" w:cs="Arial"/>
                <w:b w:val="0"/>
                <w:bCs w:val="0"/>
                <w:sz w:val="20"/>
                <w:szCs w:val="20"/>
                <w:lang w:val="en-US" w:eastAsia="zh-CN"/>
              </w:rPr>
              <w:t>)</w:t>
            </w:r>
            <w:r>
              <w:rPr>
                <w:rFonts w:ascii="Arial" w:hAnsi="Arial" w:eastAsia="Arial" w:cs="Arial"/>
                <w:b w:val="0"/>
                <w:bCs w:val="0"/>
                <w:sz w:val="20"/>
                <w:szCs w:val="20"/>
              </w:rPr>
              <w:t xml:space="preserve"> Seat damaged</w:t>
            </w:r>
          </w:p>
          <w:p w14:paraId="728DCF5F">
            <w:pPr>
              <w:spacing w:before="0" w:after="0"/>
              <w:ind w:firstLine="400" w:firstLineChars="200"/>
              <w:jc w:val="left"/>
            </w:pPr>
            <w:r>
              <w:rPr>
                <w:rFonts w:ascii="Arial" w:hAnsi="Arial" w:eastAsia="Arial" w:cs="Arial"/>
                <w:b w:val="0"/>
                <w:bCs w:val="0"/>
                <w:sz w:val="20"/>
                <w:szCs w:val="20"/>
              </w:rPr>
              <w:t>2</w:t>
            </w:r>
            <w:r>
              <w:rPr>
                <w:rFonts w:hint="eastAsia" w:ascii="Arial" w:hAnsi="Arial" w:eastAsia="宋体" w:cs="Arial"/>
                <w:b w:val="0"/>
                <w:bCs w:val="0"/>
                <w:sz w:val="20"/>
                <w:szCs w:val="20"/>
                <w:lang w:val="en-US" w:eastAsia="zh-CN"/>
              </w:rPr>
              <w:t>)</w:t>
            </w:r>
            <w:r>
              <w:rPr>
                <w:rFonts w:ascii="Arial" w:hAnsi="Arial" w:eastAsia="Arial" w:cs="Arial"/>
                <w:b w:val="0"/>
                <w:bCs w:val="0"/>
                <w:sz w:val="20"/>
                <w:szCs w:val="20"/>
              </w:rPr>
              <w:t>.Disc damaged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A49A001">
            <w:pPr>
              <w:spacing w:before="0" w:after="0"/>
              <w:jc w:val="left"/>
            </w:pPr>
            <w:r>
              <w:rPr>
                <w:rFonts w:ascii="Arial" w:hAnsi="Arial" w:eastAsia="Arial" w:cs="Arial"/>
                <w:b w:val="0"/>
                <w:bCs w:val="0"/>
                <w:sz w:val="20"/>
                <w:szCs w:val="20"/>
              </w:rPr>
              <w:t>1. Replace the seat</w:t>
            </w:r>
          </w:p>
          <w:p w14:paraId="0967B152">
            <w:pPr>
              <w:spacing w:before="0" w:after="0"/>
              <w:jc w:val="left"/>
            </w:pPr>
            <w:r>
              <w:rPr>
                <w:rFonts w:ascii="Arial" w:hAnsi="Arial" w:eastAsia="Arial" w:cs="Arial"/>
                <w:b w:val="0"/>
                <w:bCs w:val="0"/>
                <w:sz w:val="20"/>
                <w:szCs w:val="20"/>
              </w:rPr>
              <w:t>2. Replace the disc</w:t>
            </w:r>
          </w:p>
        </w:tc>
      </w:tr>
      <w:tr w14:paraId="7C69C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C0277E1">
            <w:pPr>
              <w:spacing w:before="0" w:after="0"/>
              <w:jc w:val="left"/>
            </w:pPr>
            <w:r>
              <w:rPr>
                <w:rFonts w:ascii="Arial" w:hAnsi="Arial" w:eastAsia="Arial" w:cs="Arial"/>
                <w:b w:val="0"/>
                <w:bCs w:val="0"/>
                <w:sz w:val="20"/>
                <w:szCs w:val="20"/>
              </w:rPr>
              <w:t>Actuator mechanism failure:</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559C5CA">
            <w:pPr>
              <w:spacing w:before="0" w:after="0"/>
              <w:jc w:val="left"/>
            </w:pPr>
            <w:r>
              <w:rPr>
                <w:rFonts w:ascii="Arial" w:hAnsi="Arial" w:eastAsia="Arial" w:cs="Arial"/>
                <w:b w:val="0"/>
                <w:bCs w:val="0"/>
                <w:sz w:val="20"/>
                <w:szCs w:val="20"/>
              </w:rPr>
              <w:t>1. Drive key damaged or fell out</w:t>
            </w:r>
          </w:p>
          <w:p w14:paraId="2311376E">
            <w:pPr>
              <w:spacing w:before="0" w:after="0"/>
              <w:jc w:val="left"/>
            </w:pPr>
            <w:r>
              <w:rPr>
                <w:rFonts w:ascii="Arial" w:hAnsi="Arial" w:eastAsia="Arial" w:cs="Arial"/>
                <w:b w:val="0"/>
                <w:bCs w:val="0"/>
                <w:sz w:val="20"/>
                <w:szCs w:val="20"/>
              </w:rPr>
              <w:t>2. Taper pin sheared off</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D766728">
            <w:pPr>
              <w:spacing w:before="0" w:after="0"/>
              <w:jc w:val="left"/>
            </w:pPr>
            <w:r>
              <w:rPr>
                <w:rFonts w:ascii="Arial" w:hAnsi="Arial" w:eastAsia="Arial" w:cs="Arial"/>
                <w:b w:val="0"/>
                <w:bCs w:val="0"/>
                <w:sz w:val="20"/>
                <w:szCs w:val="20"/>
              </w:rPr>
              <w:t>1. Replace the drive key</w:t>
            </w:r>
          </w:p>
          <w:p w14:paraId="333146B2">
            <w:pPr>
              <w:spacing w:before="0" w:after="0"/>
              <w:jc w:val="left"/>
            </w:pPr>
            <w:r>
              <w:rPr>
                <w:rFonts w:ascii="Arial" w:hAnsi="Arial" w:eastAsia="Arial" w:cs="Arial"/>
                <w:b w:val="0"/>
                <w:bCs w:val="0"/>
                <w:sz w:val="20"/>
                <w:szCs w:val="20"/>
              </w:rPr>
              <w:t>2. Replace the taper pin</w:t>
            </w:r>
          </w:p>
        </w:tc>
      </w:tr>
      <w:tr w14:paraId="0CBDF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28C0FE1">
            <w:pPr>
              <w:jc w:val="center"/>
            </w:pPr>
            <w:r>
              <w:rPr>
                <w:rFonts w:ascii="Arial" w:hAnsi="Arial" w:eastAsia="Arial" w:cs="Arial"/>
                <w:b w:val="0"/>
                <w:bCs w:val="0"/>
                <w:sz w:val="20"/>
                <w:szCs w:val="20"/>
              </w:rPr>
              <w:t>Electric / Pneumatic Actuator Fault</w:t>
            </w:r>
          </w:p>
        </w:tc>
        <w:tc>
          <w:tcPr>
            <w:gridSpan w:val="2"/>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86BA1B0">
            <w:pPr>
              <w:jc w:val="center"/>
            </w:pPr>
            <w:r>
              <w:rPr>
                <w:rFonts w:ascii="Arial" w:hAnsi="Arial" w:eastAsia="Arial" w:cs="Arial"/>
                <w:b w:val="0"/>
                <w:bCs w:val="0"/>
                <w:sz w:val="20"/>
                <w:szCs w:val="20"/>
              </w:rPr>
              <w:t>See "Valve Electric Actuator Manual" and "Valve Pneumatic Actuator Manual"</w:t>
            </w:r>
          </w:p>
        </w:tc>
      </w:tr>
    </w:tbl>
    <w:p w14:paraId="6D3D9282">
      <w:pPr>
        <w:spacing w:before="200" w:after="0"/>
        <w:ind w:left="440"/>
        <w:jc w:val="left"/>
      </w:pPr>
      <w:r>
        <w:rPr>
          <w:rFonts w:ascii="Arial" w:hAnsi="Arial" w:eastAsia="Arial" w:cs="Arial"/>
          <w:b/>
          <w:bCs/>
          <w:sz w:val="22"/>
          <w:szCs w:val="22"/>
        </w:rPr>
        <w:t>7.  Warranty</w:t>
      </w:r>
    </w:p>
    <w:p w14:paraId="6AA7611C">
      <w:pPr>
        <w:spacing w:before="0" w:after="0"/>
        <w:ind w:left="440" w:firstLine="716"/>
        <w:jc w:val="left"/>
        <w:rPr>
          <w:rFonts w:ascii="Arial" w:hAnsi="Arial" w:eastAsia="Arial" w:cs="Arial"/>
          <w:sz w:val="22"/>
          <w:szCs w:val="22"/>
        </w:rPr>
      </w:pPr>
      <w:r>
        <w:rPr>
          <w:rFonts w:ascii="Arial" w:hAnsi="Arial" w:eastAsia="Arial" w:cs="Arial"/>
          <w:sz w:val="22"/>
          <w:szCs w:val="22"/>
        </w:rPr>
        <w:t>The manufacturer provides warranty for valves placed into service for up to one (1) year from start of use, but no longer than eighteen (18) months from date of shipment. During the warranty period, any failures attributable to product quality will be repaired or have parts replaced at no charge.</w:t>
      </w:r>
    </w:p>
    <w:p w14:paraId="757BA6F3">
      <w:pPr>
        <w:spacing w:before="0" w:after="0"/>
        <w:ind w:left="440" w:firstLine="716"/>
        <w:jc w:val="left"/>
        <w:rPr>
          <w:rFonts w:ascii="Arial" w:hAnsi="Arial" w:eastAsia="Arial" w:cs="Arial"/>
          <w:sz w:val="22"/>
          <w:szCs w:val="22"/>
        </w:rPr>
      </w:pPr>
    </w:p>
    <w:p w14:paraId="05D82095">
      <w:pPr>
        <w:spacing w:before="0" w:after="0"/>
        <w:jc w:val="center"/>
        <w:rPr>
          <w:rFonts w:ascii="Arial" w:hAnsi="Arial" w:eastAsia="Arial" w:cs="Arial"/>
          <w:sz w:val="22"/>
          <w:szCs w:val="22"/>
        </w:rPr>
      </w:pPr>
      <w:r>
        <w:drawing>
          <wp:inline distT="0" distB="0" distL="114300" distR="114300">
            <wp:extent cx="5729605" cy="3158490"/>
            <wp:effectExtent l="0" t="0" r="444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729605" cy="3158490"/>
                    </a:xfrm>
                    <a:prstGeom prst="rect">
                      <a:avLst/>
                    </a:prstGeom>
                    <a:noFill/>
                    <a:ln>
                      <a:noFill/>
                    </a:ln>
                  </pic:spPr>
                </pic:pic>
              </a:graphicData>
            </a:graphic>
          </wp:inline>
        </w:drawing>
      </w:r>
    </w:p>
    <w:p w14:paraId="11134940">
      <w:pPr>
        <w:spacing w:before="240" w:after="0"/>
        <w:jc w:val="center"/>
        <w:rPr>
          <w:rFonts w:ascii="Arial" w:hAnsi="Arial" w:eastAsia="Arial" w:cs="Arial"/>
          <w:sz w:val="22"/>
          <w:szCs w:val="22"/>
        </w:rPr>
      </w:pPr>
      <w:r>
        <w:rPr>
          <w:rFonts w:ascii="Arial" w:hAnsi="Arial" w:eastAsia="Arial" w:cs="Arial"/>
          <w:sz w:val="22"/>
          <w:szCs w:val="22"/>
        </w:rPr>
        <w:t xml:space="preserve">Figures 1 &amp; 2  Butterfly Valve Structure  </w:t>
      </w:r>
    </w:p>
    <w:p w14:paraId="6B7B4E8B">
      <w:pPr>
        <w:spacing w:after="60" w:line="288" w:lineRule="auto"/>
        <w:ind w:right="-37" w:rightChars="-17"/>
        <w:jc w:val="right"/>
        <w:rPr>
          <w:rFonts w:hint="eastAsia" w:eastAsia="宋体"/>
          <w:lang w:eastAsia="zh-CN"/>
        </w:rPr>
      </w:pPr>
    </w:p>
    <w:p w14:paraId="55932623">
      <w:pPr>
        <w:spacing w:after="60" w:line="288" w:lineRule="auto"/>
        <w:ind w:right="-37" w:rightChars="-17"/>
        <w:jc w:val="right"/>
        <w:rPr>
          <w:rFonts w:hint="eastAsia" w:eastAsia="宋体"/>
          <w:lang w:eastAsia="zh-CN"/>
        </w:rPr>
      </w:pPr>
    </w:p>
    <w:p w14:paraId="18993580">
      <w:pPr>
        <w:spacing w:after="60" w:line="288" w:lineRule="auto"/>
        <w:ind w:right="-37" w:rightChars="-17"/>
        <w:jc w:val="right"/>
        <w:rPr>
          <w:rFonts w:hint="eastAsia" w:eastAsia="宋体"/>
          <w:lang w:eastAsia="zh-CN"/>
        </w:rPr>
      </w:pPr>
    </w:p>
    <w:p w14:paraId="475EC8DB">
      <w:pPr>
        <w:spacing w:after="60" w:line="288" w:lineRule="auto"/>
        <w:ind w:right="-37" w:rightChars="-17"/>
        <w:jc w:val="right"/>
        <w:rPr>
          <w:rFonts w:hint="eastAsia" w:eastAsia="宋体"/>
          <w:lang w:eastAsia="zh-CN"/>
        </w:rPr>
      </w:pPr>
    </w:p>
    <w:p w14:paraId="0D03D68F">
      <w:pPr>
        <w:spacing w:after="60" w:line="288" w:lineRule="auto"/>
        <w:ind w:right="-37" w:rightChars="-17"/>
        <w:jc w:val="right"/>
        <w:rPr>
          <w:rFonts w:hint="eastAsia" w:eastAsia="宋体"/>
          <w:lang w:eastAsia="zh-CN"/>
        </w:rPr>
      </w:pPr>
    </w:p>
    <w:p w14:paraId="32F29824">
      <w:pPr>
        <w:spacing w:after="60" w:line="288" w:lineRule="auto"/>
        <w:ind w:right="-37" w:rightChars="-17"/>
        <w:jc w:val="right"/>
        <w:rPr>
          <w:rFonts w:hint="eastAsia" w:eastAsia="宋体"/>
          <w:lang w:eastAsia="zh-CN"/>
        </w:rPr>
      </w:pPr>
    </w:p>
    <w:p w14:paraId="27FB96FA">
      <w:pPr>
        <w:spacing w:after="60" w:line="288" w:lineRule="auto"/>
        <w:ind w:right="-37" w:rightChars="-17"/>
        <w:jc w:val="right"/>
        <w:rPr>
          <w:rFonts w:hint="eastAsia" w:eastAsia="宋体"/>
          <w:lang w:eastAsia="zh-CN"/>
        </w:rPr>
      </w:pPr>
    </w:p>
    <w:p w14:paraId="4F48C132">
      <w:pPr>
        <w:spacing w:after="60" w:line="288" w:lineRule="auto"/>
        <w:ind w:right="-37" w:rightChars="-17"/>
        <w:jc w:val="right"/>
        <w:rPr>
          <w:rFonts w:hint="eastAsia" w:eastAsia="宋体"/>
          <w:lang w:eastAsia="zh-CN"/>
        </w:rPr>
      </w:pPr>
    </w:p>
    <w:p w14:paraId="01677DE8">
      <w:pPr>
        <w:spacing w:after="60" w:line="288" w:lineRule="auto"/>
        <w:ind w:right="-37" w:rightChars="-17"/>
        <w:jc w:val="right"/>
        <w:rPr>
          <w:rFonts w:hint="eastAsia" w:eastAsia="宋体"/>
          <w:lang w:eastAsia="zh-CN"/>
        </w:rPr>
      </w:pPr>
    </w:p>
    <w:p w14:paraId="2E4A4048">
      <w:pPr>
        <w:spacing w:after="60" w:line="288" w:lineRule="auto"/>
        <w:ind w:right="-37" w:rightChars="-17"/>
        <w:jc w:val="right"/>
        <w:rPr>
          <w:rFonts w:hint="eastAsia" w:eastAsia="宋体"/>
          <w:lang w:eastAsia="zh-CN"/>
        </w:rPr>
      </w:pPr>
    </w:p>
    <w:p w14:paraId="27566883">
      <w:pPr>
        <w:spacing w:after="60" w:line="288" w:lineRule="auto"/>
        <w:ind w:right="-37" w:rightChars="-17"/>
        <w:jc w:val="right"/>
        <w:rPr>
          <w:rFonts w:hint="eastAsia" w:eastAsia="宋体"/>
          <w:lang w:eastAsia="zh-CN"/>
        </w:rPr>
      </w:pPr>
    </w:p>
    <w:p w14:paraId="194643BF">
      <w:pPr>
        <w:spacing w:after="60" w:line="288" w:lineRule="auto"/>
        <w:ind w:right="-37" w:rightChars="-17"/>
        <w:jc w:val="right"/>
        <w:rPr>
          <w:rFonts w:hint="eastAsia" w:eastAsia="宋体"/>
          <w:lang w:eastAsia="zh-CN"/>
        </w:rPr>
      </w:pPr>
    </w:p>
    <w:p w14:paraId="247299ED">
      <w:pPr>
        <w:spacing w:after="60" w:line="288" w:lineRule="auto"/>
        <w:ind w:right="-37" w:rightChars="-17"/>
        <w:jc w:val="both"/>
        <w:rPr>
          <w:rFonts w:hint="eastAsia" w:eastAsia="宋体"/>
          <w:lang w:eastAsia="zh-CN"/>
        </w:rPr>
      </w:pPr>
      <w:bookmarkStart w:id="0" w:name="_GoBack"/>
      <w:bookmarkEnd w:id="0"/>
    </w:p>
    <w:p w14:paraId="4169C50B">
      <w:pPr>
        <w:spacing w:after="60" w:line="288" w:lineRule="auto"/>
        <w:ind w:right="-37" w:rightChars="-17"/>
        <w:jc w:val="right"/>
        <w:rPr>
          <w:rFonts w:hint="eastAsia" w:eastAsia="宋体"/>
          <w:lang w:eastAsia="zh-CN"/>
        </w:rPr>
      </w:pPr>
    </w:p>
    <w:p w14:paraId="3E7FEEB6">
      <w:pPr>
        <w:spacing w:after="60" w:line="288" w:lineRule="auto"/>
        <w:ind w:right="-37" w:rightChars="-17"/>
        <w:jc w:val="right"/>
        <w:rPr>
          <w:rFonts w:hint="eastAsia" w:eastAsia="宋体"/>
          <w:lang w:eastAsia="zh-CN"/>
        </w:rPr>
      </w:pPr>
    </w:p>
    <w:p w14:paraId="162950CE">
      <w:pPr>
        <w:spacing w:after="60" w:line="288" w:lineRule="auto"/>
        <w:ind w:right="-37" w:rightChars="-17"/>
        <w:jc w:val="right"/>
        <w:rPr>
          <w:rFonts w:hint="eastAsia" w:eastAsia="宋体"/>
          <w:lang w:eastAsia="zh-CN"/>
        </w:rPr>
      </w:pPr>
      <w:r>
        <w:rPr>
          <w:rFonts w:hint="eastAsia" w:eastAsia="宋体"/>
          <w:lang w:eastAsia="zh-CN"/>
        </w:rPr>
        <w:drawing>
          <wp:inline distT="0" distB="0" distL="114300" distR="114300">
            <wp:extent cx="786765" cy="548005"/>
            <wp:effectExtent l="0" t="0" r="13335" b="4445"/>
            <wp:docPr id="15" name="图片 15"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eizidom logo"/>
                    <pic:cNvPicPr>
                      <a:picLocks noChangeAspect="1"/>
                    </pic:cNvPicPr>
                  </pic:nvPicPr>
                  <pic:blipFill>
                    <a:blip r:embed="rId6"/>
                    <a:stretch>
                      <a:fillRect/>
                    </a:stretch>
                  </pic:blipFill>
                  <pic:spPr>
                    <a:xfrm>
                      <a:off x="0" y="0"/>
                      <a:ext cx="786765" cy="548005"/>
                    </a:xfrm>
                    <a:prstGeom prst="rect">
                      <a:avLst/>
                    </a:prstGeom>
                  </pic:spPr>
                </pic:pic>
              </a:graphicData>
            </a:graphic>
          </wp:inline>
        </w:drawing>
      </w:r>
    </w:p>
    <w:p w14:paraId="4DEB1521">
      <w:pPr>
        <w:pBdr>
          <w:bottom w:val="double" w:color="auto" w:sz="4" w:space="0"/>
        </w:pBdr>
        <w:ind w:right="-37" w:rightChars="-17"/>
        <w:jc w:val="right"/>
        <w:rPr>
          <w:rFonts w:hint="eastAsia"/>
          <w:b/>
          <w:color w:val="00467F"/>
          <w:sz w:val="36"/>
          <w:szCs w:val="20"/>
          <w:lang w:val="en-US" w:eastAsia="zh-CN"/>
        </w:rPr>
      </w:pPr>
      <w:r>
        <w:rPr>
          <w:rFonts w:hint="eastAsia"/>
          <w:b/>
          <w:color w:val="00467F"/>
          <w:sz w:val="32"/>
          <w:szCs w:val="18"/>
          <w:lang w:val="en-US" w:eastAsia="zh-CN"/>
        </w:rPr>
        <w:t>WEIZIDOM GROUP</w:t>
      </w:r>
    </w:p>
    <w:p w14:paraId="4094E4BC">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fldChar w:fldCharType="begin"/>
      </w:r>
      <w:r>
        <w:rPr>
          <w:rFonts w:hint="eastAsia"/>
          <w:b/>
          <w:color w:val="00467F"/>
          <w:sz w:val="20"/>
          <w:szCs w:val="10"/>
          <w:lang w:val="en-US" w:eastAsia="zh-CN"/>
        </w:rPr>
        <w:instrText xml:space="preserve"> HYPERLINK "http://www.wsdvalves.com" </w:instrText>
      </w:r>
      <w:r>
        <w:rPr>
          <w:rFonts w:hint="eastAsia"/>
          <w:b/>
          <w:color w:val="00467F"/>
          <w:sz w:val="20"/>
          <w:szCs w:val="10"/>
          <w:lang w:val="en-US" w:eastAsia="zh-CN"/>
        </w:rPr>
        <w:fldChar w:fldCharType="separate"/>
      </w:r>
      <w:r>
        <w:rPr>
          <w:rFonts w:hint="eastAsia"/>
          <w:b/>
          <w:color w:val="00467F"/>
          <w:sz w:val="20"/>
          <w:szCs w:val="10"/>
          <w:lang w:val="en-US" w:eastAsia="zh-CN"/>
        </w:rPr>
        <w:t>www.wsdvalves.com</w:t>
      </w:r>
      <w:r>
        <w:rPr>
          <w:rFonts w:hint="eastAsia"/>
          <w:b/>
          <w:color w:val="00467F"/>
          <w:sz w:val="20"/>
          <w:szCs w:val="10"/>
          <w:lang w:val="en-US" w:eastAsia="zh-CN"/>
        </w:rPr>
        <w:fldChar w:fldCharType="end"/>
      </w:r>
    </w:p>
    <w:p w14:paraId="2D71A4AF">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t>South City, Longhu Town, Xinzheng City,</w:t>
      </w:r>
    </w:p>
    <w:p w14:paraId="3517ED1C">
      <w:pPr>
        <w:spacing w:after="60" w:line="288" w:lineRule="auto"/>
        <w:ind w:right="-37" w:rightChars="-17"/>
        <w:jc w:val="right"/>
        <w:rPr>
          <w:rFonts w:hint="default" w:eastAsia="宋体"/>
          <w:sz w:val="18"/>
          <w:szCs w:val="20"/>
          <w:lang w:val="en-US" w:eastAsia="zh-CN"/>
        </w:rPr>
      </w:pPr>
      <w:r>
        <w:rPr>
          <w:rFonts w:hint="eastAsia"/>
          <w:b/>
          <w:color w:val="00467F"/>
          <w:sz w:val="20"/>
          <w:szCs w:val="10"/>
          <w:lang w:val="en-US" w:eastAsia="zh-CN"/>
        </w:rPr>
        <w:t>Zhengzhou City, Henan Province, China</w:t>
      </w:r>
    </w:p>
    <w:p w14:paraId="5A884EA1">
      <w:pPr>
        <w:spacing w:before="240" w:after="0"/>
        <w:jc w:val="center"/>
        <w:rPr>
          <w:rFonts w:ascii="Arial" w:hAnsi="Arial" w:eastAsia="Arial" w:cs="Arial"/>
          <w:sz w:val="22"/>
          <w:szCs w:val="22"/>
        </w:rPr>
      </w:pPr>
    </w:p>
    <w:sectPr>
      <w:head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12B0F">
    <w:pPr>
      <w:spacing w:after="40"/>
      <w:jc w:val="left"/>
      <w:rPr>
        <w:rFonts w:hint="eastAsia"/>
        <w:sz w:val="18"/>
        <w:szCs w:val="20"/>
        <w:lang w:val="en-US" w:eastAsia="zh-CN"/>
      </w:rPr>
    </w:pPr>
    <w:r>
      <w:rPr>
        <w:rFonts w:hint="eastAsia"/>
        <w:sz w:val="18"/>
        <w:szCs w:val="20"/>
        <w:lang w:val="en-US"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473075" cy="329565"/>
          <wp:effectExtent l="0" t="0" r="3175" b="13970"/>
          <wp:wrapTopAndBottom/>
          <wp:docPr id="3" name="图片 3"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eizidom logo"/>
                  <pic:cNvPicPr>
                    <a:picLocks noChangeAspect="1"/>
                  </pic:cNvPicPr>
                </pic:nvPicPr>
                <pic:blipFill>
                  <a:blip r:embed="rId1"/>
                  <a:stretch>
                    <a:fillRect/>
                  </a:stretch>
                </pic:blipFill>
                <pic:spPr>
                  <a:xfrm>
                    <a:off x="0" y="0"/>
                    <a:ext cx="473075" cy="329565"/>
                  </a:xfrm>
                  <a:prstGeom prst="rect">
                    <a:avLst/>
                  </a:prstGeom>
                </pic:spPr>
              </pic:pic>
            </a:graphicData>
          </a:graphic>
        </wp:anchor>
      </w:drawing>
    </w:r>
    <w:r>
      <w:rPr>
        <w:color w:val="C6D9F1" w:themeColor="text2" w:themeTint="33"/>
        <w:sz w:val="18"/>
        <w:szCs w:val="20"/>
        <w14:textFill>
          <w14:solidFill>
            <w14:schemeClr w14:val="tx2">
              <w14:lumMod w14:val="20000"/>
              <w14:lumOff w14:val="80000"/>
            </w14:schemeClr>
          </w14:solidFill>
        </w14:textFill>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BF65E6">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FBF65E6">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v:textbox>
            </v:shape>
          </w:pict>
        </mc:Fallback>
      </mc:AlternateContent>
    </w:r>
    <w:r>
      <w:rPr>
        <w:rFonts w:hint="eastAsia"/>
        <w:sz w:val="18"/>
        <w:szCs w:val="20"/>
        <w:lang w:val="en-US" w:eastAsia="zh-CN"/>
      </w:rPr>
      <w:t xml:space="preserve">                                                                                   </w:t>
    </w:r>
  </w:p>
  <w:p w14:paraId="1EE61987">
    <w:pPr>
      <w:spacing w:after="40"/>
      <w:jc w:val="center"/>
    </w:pPr>
    <w:r>
      <w:rPr>
        <w:rFonts w:hint="default" w:asciiTheme="minorAscii" w:hAnsiTheme="minorAscii"/>
        <w:sz w:val="18"/>
        <w:szCs w:val="20"/>
        <w:lang w:val="en-US" w:eastAsia="zh-CN"/>
      </w:rPr>
      <w:t>Product Manual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4A4D5B37"/>
    <w:rsid w:val="6321738C"/>
    <w:rsid w:val="79093B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4">
    <w:name w:val="Default Paragraph Font"/>
    <w:semiHidden/>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Arial" w:hAnsi="Arial" w:eastAsia="Arial" w:cs="Arial"/>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19"/>
    <w:semiHidden/>
    <w:unhideWhenUsed/>
    <w:qFormat/>
    <w:uiPriority w:val="99"/>
    <w:pPr>
      <w:spacing w:after="0" w:line="240" w:lineRule="auto"/>
    </w:pPr>
    <w:rPr>
      <w:rFonts w:ascii="Arial" w:hAnsi="Arial" w:eastAsia="Arial" w:cs="Arial"/>
      <w:sz w:val="20"/>
      <w:szCs w:val="20"/>
    </w:rPr>
  </w:style>
  <w:style w:type="paragraph" w:styleId="12">
    <w:name w:val="Title"/>
    <w:qFormat/>
    <w:uiPriority w:val="0"/>
    <w:rPr>
      <w:rFonts w:ascii="Arial" w:hAnsi="Arial" w:eastAsia="Arial" w:cs="Arial"/>
      <w:sz w:val="56"/>
      <w:szCs w:val="56"/>
    </w:rPr>
  </w:style>
  <w:style w:type="character" w:styleId="15">
    <w:name w:val="endnote reference"/>
    <w:semiHidden/>
    <w:unhideWhenUsed/>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1"/>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654</Words>
  <Characters>3560</Characters>
  <TotalTime>0</TotalTime>
  <ScaleCrop>false</ScaleCrop>
  <LinksUpToDate>false</LinksUpToDate>
  <CharactersWithSpaces>4191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2026-05-11T07:16:00Z</dcterms:created>
  <dc:creator>Un-named</dc:creator>
  <cp:lastModifiedBy>Azzzzhao</cp:lastModifiedBy>
  <dcterms:modified xsi:type="dcterms:W3CDTF">2026-05-14T08:56:52Z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eyJoZGlkIjoiNmE2OTY0NDU1NWM5ODY2NDU1NDc1YTAwMWYwMGE5OWMiLCJ1c2VySWQiOiIxOTc5NTM3MzAifQ==</vt:lpwstr>
  </property>
  <property fmtid="{D5CDD505-2E9C-101B-9397-08002B2CF9AE}" pid="3" name="KSOProductBuildVer">
    <vt:lpwstr>2052-12.1.0.25225</vt:lpwstr>
  </property>
  <property fmtid="{D5CDD505-2E9C-101B-9397-08002B2CF9AE}" pid="4" name="ICV">
    <vt:lpwstr>4ADAB1F18F2048F88EA467A7E1F168B3_12</vt:lpwstr>
  </property>
</Properties>
</file>