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3258F4">
      <w:pPr>
        <w:spacing w:before="0" w:after="0"/>
        <w:ind w:left="440"/>
        <w:jc w:val="center"/>
      </w:pPr>
      <w:r>
        <w:rPr>
          <w:rFonts w:ascii="Arial" w:hAnsi="Arial" w:eastAsia="Arial" w:cs="Arial"/>
          <w:b/>
          <w:bCs/>
          <w:color w:val="1F497D"/>
          <w:sz w:val="24"/>
          <w:szCs w:val="24"/>
        </w:rPr>
        <w:t>Check Valve Instruction Manual</w:t>
      </w:r>
    </w:p>
    <w:p w14:paraId="4E3B36A4">
      <w:pPr>
        <w:spacing w:before="0" w:after="0"/>
        <w:ind w:left="440"/>
        <w:jc w:val="left"/>
      </w:pPr>
      <w:r>
        <w:rPr>
          <w:rFonts w:ascii="Arial" w:hAnsi="Arial" w:eastAsia="Arial" w:cs="Arial"/>
          <w:sz w:val="22"/>
          <w:szCs w:val="22"/>
        </w:rPr>
        <w:t>1. Scope</w:t>
      </w:r>
    </w:p>
    <w:p w14:paraId="08316FD9">
      <w:pPr>
        <w:spacing w:before="0" w:after="0"/>
        <w:ind w:left="440" w:firstLine="0"/>
        <w:jc w:val="left"/>
      </w:pPr>
      <w:r>
        <w:rPr>
          <w:rFonts w:ascii="Arial" w:hAnsi="Arial" w:eastAsia="Arial" w:cs="Arial"/>
          <w:sz w:val="22"/>
          <w:szCs w:val="22"/>
        </w:rPr>
        <w:t>This instruction manual covers swing check valves and lift check valves with nominal diameters DN15 mm to 600 mm (1/2" to 24"), nominal pressures PN1.6 MPa to 16 MPa (ANSI CLASS 150 to 900), available in threaded ends, flanged ends, butt-weld ends, and socket-weld ends.</w:t>
      </w:r>
    </w:p>
    <w:p w14:paraId="178D8474">
      <w:pPr>
        <w:spacing w:before="0" w:after="0"/>
        <w:ind w:left="440"/>
        <w:jc w:val="left"/>
      </w:pPr>
      <w:r>
        <w:rPr>
          <w:rFonts w:ascii="Arial" w:hAnsi="Arial" w:eastAsia="Arial" w:cs="Arial"/>
          <w:sz w:val="22"/>
          <w:szCs w:val="22"/>
        </w:rPr>
        <w:t>2. Applications</w:t>
      </w:r>
    </w:p>
    <w:p w14:paraId="17346687">
      <w:pPr>
        <w:spacing w:before="0" w:after="0"/>
        <w:ind w:left="440" w:firstLine="716"/>
        <w:jc w:val="left"/>
      </w:pPr>
      <w:r>
        <w:rPr>
          <w:rFonts w:ascii="Arial" w:hAnsi="Arial" w:eastAsia="Arial" w:cs="Arial"/>
          <w:sz w:val="22"/>
          <w:szCs w:val="22"/>
        </w:rPr>
        <w:t>2.1  This valve is used in pipelines or equipment to prevent the backflow of medium.</w:t>
      </w:r>
    </w:p>
    <w:p w14:paraId="1278356C">
      <w:pPr>
        <w:spacing w:before="0" w:after="0"/>
        <w:ind w:left="440" w:firstLine="716"/>
        <w:jc w:val="left"/>
      </w:pPr>
      <w:r>
        <w:rPr>
          <w:rFonts w:ascii="Arial" w:hAnsi="Arial" w:eastAsia="Arial" w:cs="Arial"/>
          <w:sz w:val="22"/>
          <w:szCs w:val="22"/>
        </w:rPr>
        <w:t>2.2  Valve materials shall be selected based on the medium.</w:t>
      </w:r>
    </w:p>
    <w:p w14:paraId="02E2DD32">
      <w:pPr>
        <w:spacing w:before="0" w:after="0"/>
        <w:ind w:left="440" w:firstLine="716"/>
        <w:jc w:val="left"/>
      </w:pPr>
      <w:r>
        <w:rPr>
          <w:rFonts w:ascii="Arial" w:hAnsi="Arial" w:eastAsia="Arial" w:cs="Arial"/>
          <w:sz w:val="22"/>
          <w:szCs w:val="22"/>
        </w:rPr>
        <w:t xml:space="preserve">       2.2.1  Carbon steel valves are suitable for water, steam, oil, and similar media.</w:t>
      </w:r>
    </w:p>
    <w:p w14:paraId="76826017">
      <w:pPr>
        <w:spacing w:before="0" w:after="0"/>
        <w:ind w:left="440" w:firstLine="716"/>
        <w:jc w:val="left"/>
      </w:pPr>
      <w:r>
        <w:rPr>
          <w:rFonts w:ascii="Arial" w:hAnsi="Arial" w:eastAsia="Arial" w:cs="Arial"/>
          <w:sz w:val="22"/>
          <w:szCs w:val="22"/>
        </w:rPr>
        <w:t xml:space="preserve">       2.2.2  Stainless steel valves are suitable for corrosive media.</w:t>
      </w:r>
    </w:p>
    <w:p w14:paraId="73425FBC">
      <w:pPr>
        <w:spacing w:before="0" w:after="0"/>
        <w:ind w:left="440" w:firstLine="716"/>
        <w:jc w:val="left"/>
      </w:pPr>
      <w:r>
        <w:rPr>
          <w:rFonts w:ascii="Arial" w:hAnsi="Arial" w:eastAsia="Arial" w:cs="Arial"/>
          <w:sz w:val="22"/>
          <w:szCs w:val="22"/>
        </w:rPr>
        <w:t>2.3  Applicable temperature range:</w:t>
      </w:r>
    </w:p>
    <w:p w14:paraId="0FB3402E">
      <w:pPr>
        <w:spacing w:before="0" w:after="0"/>
        <w:ind w:left="440" w:firstLine="716"/>
        <w:jc w:val="left"/>
      </w:pPr>
      <w:r>
        <w:rPr>
          <w:rFonts w:ascii="Arial" w:hAnsi="Arial" w:eastAsia="Arial" w:cs="Arial"/>
          <w:sz w:val="22"/>
          <w:szCs w:val="22"/>
        </w:rPr>
        <w:t xml:space="preserve">       2.3.1  Standard carbon steel valves: -29°C to +425°C</w:t>
      </w:r>
    </w:p>
    <w:p w14:paraId="48BAD53D">
      <w:pPr>
        <w:spacing w:before="0" w:after="0"/>
        <w:ind w:left="440" w:firstLine="716"/>
        <w:jc w:val="left"/>
      </w:pPr>
      <w:r>
        <w:rPr>
          <w:rFonts w:ascii="Arial" w:hAnsi="Arial" w:eastAsia="Arial" w:cs="Arial"/>
          <w:sz w:val="22"/>
          <w:szCs w:val="22"/>
        </w:rPr>
        <w:t xml:space="preserve">       2.3.2  Alloy steel valves: ≤ 550°C</w:t>
      </w:r>
    </w:p>
    <w:p w14:paraId="29D1DD52">
      <w:pPr>
        <w:spacing w:before="0" w:after="0"/>
        <w:ind w:left="440" w:firstLine="716"/>
        <w:jc w:val="left"/>
      </w:pPr>
      <w:r>
        <w:rPr>
          <w:rFonts w:ascii="Arial" w:hAnsi="Arial" w:eastAsia="Arial" w:cs="Arial"/>
          <w:sz w:val="22"/>
          <w:szCs w:val="22"/>
        </w:rPr>
        <w:t xml:space="preserve">       2.3.3  Stainless steel valves: -196°C to +200°C</w:t>
      </w:r>
    </w:p>
    <w:p w14:paraId="4557E747">
      <w:pPr>
        <w:spacing w:before="0" w:after="0"/>
        <w:ind w:left="440"/>
        <w:jc w:val="left"/>
      </w:pPr>
      <w:r>
        <w:rPr>
          <w:rFonts w:ascii="Arial" w:hAnsi="Arial" w:eastAsia="Arial" w:cs="Arial"/>
          <w:sz w:val="22"/>
          <w:szCs w:val="22"/>
        </w:rPr>
        <w:t>3. Structure</w:t>
      </w:r>
    </w:p>
    <w:p w14:paraId="35CDDEC2">
      <w:pPr>
        <w:spacing w:before="0" w:after="0"/>
        <w:ind w:left="440" w:firstLine="716"/>
        <w:jc w:val="left"/>
      </w:pPr>
      <w:r>
        <w:rPr>
          <w:rFonts w:ascii="Arial" w:hAnsi="Arial" w:eastAsia="Arial" w:cs="Arial"/>
          <w:sz w:val="22"/>
          <w:szCs w:val="22"/>
        </w:rPr>
        <w:t>3.1  The basic structure of the check valve is shown in Figure 1.</w:t>
      </w:r>
    </w:p>
    <w:p w14:paraId="30827EC1">
      <w:pPr>
        <w:spacing w:before="0" w:after="0"/>
        <w:ind w:left="440" w:firstLine="716"/>
        <w:jc w:val="left"/>
      </w:pPr>
      <w:r>
        <w:rPr>
          <w:rFonts w:ascii="Arial" w:hAnsi="Arial" w:eastAsia="Arial" w:cs="Arial"/>
          <w:sz w:val="22"/>
          <w:szCs w:val="22"/>
        </w:rPr>
        <w:t>3.2  Wear-resistant gaskets are made of PTFE or flexible graphite, providing reliable sealing.</w:t>
      </w:r>
    </w:p>
    <w:p w14:paraId="1E456DD0">
      <w:pPr>
        <w:spacing w:before="0" w:after="0"/>
        <w:ind w:left="440"/>
        <w:jc w:val="left"/>
      </w:pPr>
      <w:r>
        <w:rPr>
          <w:rFonts w:ascii="Arial" w:hAnsi="Arial" w:eastAsia="Arial" w:cs="Arial"/>
          <w:sz w:val="22"/>
          <w:szCs w:val="22"/>
        </w:rPr>
        <w:t>4. Operating Principle</w:t>
      </w:r>
    </w:p>
    <w:p w14:paraId="073C84D6">
      <w:pPr>
        <w:spacing w:before="0" w:after="0"/>
        <w:ind w:left="440" w:firstLine="716"/>
        <w:jc w:val="left"/>
      </w:pPr>
      <w:r>
        <w:rPr>
          <w:rFonts w:ascii="Arial" w:hAnsi="Arial" w:eastAsia="Arial" w:cs="Arial"/>
          <w:sz w:val="22"/>
          <w:szCs w:val="22"/>
        </w:rPr>
        <w:t>The check valve opens and closes automatically based on the direction of medium flow, preventing backflow.</w:t>
      </w:r>
    </w:p>
    <w:p w14:paraId="1D178574">
      <w:pPr>
        <w:spacing w:before="0" w:after="0"/>
        <w:ind w:left="440"/>
        <w:jc w:val="left"/>
      </w:pPr>
      <w:r>
        <w:rPr>
          <w:rFonts w:ascii="Arial" w:hAnsi="Arial" w:eastAsia="Arial" w:cs="Arial"/>
          <w:sz w:val="22"/>
          <w:szCs w:val="22"/>
        </w:rPr>
        <w:t>5. Storage, Maintenance, Installation, and Use</w:t>
      </w:r>
    </w:p>
    <w:p w14:paraId="562628E6">
      <w:pPr>
        <w:spacing w:before="0" w:after="0"/>
        <w:ind w:left="440" w:firstLine="716"/>
        <w:jc w:val="left"/>
      </w:pPr>
      <w:r>
        <w:rPr>
          <w:rFonts w:ascii="Arial" w:hAnsi="Arial" w:eastAsia="Arial" w:cs="Arial"/>
          <w:sz w:val="22"/>
          <w:szCs w:val="22"/>
        </w:rPr>
        <w:t>5.1  Valves shall be stored indoors in a dry and ventilated area, with both pipe openings sealed.</w:t>
      </w:r>
    </w:p>
    <w:p w14:paraId="0F6E0B8C">
      <w:pPr>
        <w:spacing w:before="0" w:after="0"/>
        <w:ind w:left="440" w:firstLine="716"/>
        <w:jc w:val="left"/>
      </w:pPr>
      <w:r>
        <w:rPr>
          <w:rFonts w:ascii="Arial" w:hAnsi="Arial" w:eastAsia="Arial" w:cs="Arial"/>
          <w:sz w:val="22"/>
          <w:szCs w:val="22"/>
        </w:rPr>
        <w:t>5.2  Valves stored for extended periods shall be inspected regularly; debris shall be removed. Pay special attention to keeping the sealing faces clean to prevent damage.</w:t>
      </w:r>
    </w:p>
    <w:p w14:paraId="7634D27B">
      <w:pPr>
        <w:spacing w:before="0" w:after="0"/>
        <w:ind w:left="440" w:firstLine="716"/>
        <w:jc w:val="left"/>
      </w:pPr>
      <w:r>
        <w:rPr>
          <w:rFonts w:ascii="Arial" w:hAnsi="Arial" w:eastAsia="Arial" w:cs="Arial"/>
          <w:sz w:val="22"/>
          <w:szCs w:val="22"/>
        </w:rPr>
        <w:t>5.3  Before installation, verify that the valve markings match the requirements.</w:t>
      </w:r>
    </w:p>
    <w:p w14:paraId="411176F5">
      <w:pPr>
        <w:spacing w:before="0" w:after="0"/>
        <w:ind w:left="440" w:firstLine="716"/>
        <w:jc w:val="left"/>
      </w:pPr>
      <w:r>
        <w:rPr>
          <w:rFonts w:ascii="Arial" w:hAnsi="Arial" w:eastAsia="Arial" w:cs="Arial"/>
          <w:sz w:val="22"/>
          <w:szCs w:val="22"/>
        </w:rPr>
        <w:t>5.4  Before installation, inspect the valve interior and sealing faces; if any contaminants are present, wipe clean with a soft cloth.</w:t>
      </w:r>
    </w:p>
    <w:p w14:paraId="2DF116F6">
      <w:pPr>
        <w:spacing w:before="0" w:after="0"/>
        <w:ind w:left="440" w:firstLine="716"/>
        <w:jc w:val="left"/>
      </w:pPr>
      <w:r>
        <w:rPr>
          <w:rFonts w:ascii="Arial" w:hAnsi="Arial" w:eastAsia="Arial" w:cs="Arial"/>
          <w:sz w:val="22"/>
          <w:szCs w:val="22"/>
        </w:rPr>
        <w:t>5.5  Before installation, ensure that the flow-direction arrow on the valve aligns with the medium flow direction.</w:t>
      </w:r>
    </w:p>
    <w:p w14:paraId="01368EFE">
      <w:pPr>
        <w:spacing w:before="0" w:after="0"/>
        <w:ind w:left="440" w:firstLine="716"/>
        <w:jc w:val="left"/>
      </w:pPr>
      <w:r>
        <w:rPr>
          <w:rFonts w:ascii="Arial" w:hAnsi="Arial" w:eastAsia="Arial" w:cs="Arial"/>
          <w:sz w:val="22"/>
          <w:szCs w:val="22"/>
        </w:rPr>
        <w:t>5.6  Lift-type vertical-disc check valves shall be installed on vertical pipelines; lift-type horizontal-disc check valves</w:t>
      </w:r>
      <w:bookmarkStart w:id="0" w:name="_GoBack"/>
      <w:bookmarkEnd w:id="0"/>
      <w:r>
        <w:rPr>
          <w:rFonts w:ascii="Arial" w:hAnsi="Arial" w:eastAsia="Arial" w:cs="Arial"/>
          <w:sz w:val="22"/>
          <w:szCs w:val="22"/>
        </w:rPr>
        <w:t xml:space="preserve"> and swing check valves shall be installed on horizontal pipelines.</w:t>
      </w:r>
    </w:p>
    <w:p w14:paraId="6CA8327E">
      <w:pPr>
        <w:spacing w:before="0" w:after="0"/>
        <w:ind w:left="440" w:firstLine="716"/>
        <w:jc w:val="left"/>
      </w:pPr>
      <w:r>
        <w:rPr>
          <w:rFonts w:ascii="Arial" w:hAnsi="Arial" w:eastAsia="Arial" w:cs="Arial"/>
          <w:sz w:val="22"/>
          <w:szCs w:val="22"/>
        </w:rPr>
        <w:t>5.7  During operation, monitor for any abnormal sounds or vibrations. To prevent water hammer in the pipeline, pay attention to fluctuations in medium pressure.</w:t>
      </w:r>
    </w:p>
    <w:p w14:paraId="1212D3FF">
      <w:pPr>
        <w:spacing w:before="0" w:after="120"/>
      </w:pPr>
      <w:r>
        <w:rPr>
          <w:rFonts w:ascii="Arial" w:hAnsi="Arial" w:eastAsia="Arial" w:cs="Arial"/>
          <w:sz w:val="22"/>
          <w:szCs w:val="22"/>
        </w:rPr>
        <w:t>6. Possible Faults, Causes, and Resolutions  —  See Table 1</w:t>
      </w:r>
    </w:p>
    <w:tbl>
      <w:tblPr>
        <w:tblStyle w:val="13"/>
        <w:tblW w:w="83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8"/>
        <w:gridCol w:w="2975"/>
        <w:gridCol w:w="3262"/>
      </w:tblGrid>
      <w:tr w14:paraId="28FE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8"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3BEBE480">
            <w:pPr>
              <w:jc w:val="left"/>
            </w:pPr>
            <w:r>
              <w:rPr>
                <w:rFonts w:ascii="Arial" w:hAnsi="Arial" w:eastAsia="Arial" w:cs="Arial"/>
                <w:b/>
                <w:bCs/>
                <w:sz w:val="20"/>
                <w:szCs w:val="20"/>
              </w:rPr>
              <w:t>Possible Fault</w:t>
            </w:r>
          </w:p>
        </w:tc>
        <w:tc>
          <w:tcPr>
            <w:tcW w:w="2975"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6F93D86B">
            <w:pPr>
              <w:jc w:val="left"/>
            </w:pPr>
            <w:r>
              <w:rPr>
                <w:rFonts w:ascii="Arial" w:hAnsi="Arial" w:eastAsia="Arial" w:cs="Arial"/>
                <w:b/>
                <w:bCs/>
                <w:sz w:val="20"/>
                <w:szCs w:val="20"/>
              </w:rPr>
              <w:t>Cause</w:t>
            </w:r>
          </w:p>
        </w:tc>
        <w:tc>
          <w:tcPr>
            <w:tcW w:w="3262" w:type="dxa"/>
            <w:tcBorders>
              <w:top w:val="single" w:color="999999" w:sz="0" w:space="0"/>
              <w:left w:val="single" w:color="999999" w:sz="0" w:space="0"/>
              <w:bottom w:val="single" w:color="999999" w:sz="0" w:space="0"/>
              <w:right w:val="single" w:color="999999" w:sz="0" w:space="0"/>
            </w:tcBorders>
            <w:shd w:val="clear" w:color="auto" w:fill="D9E1F2"/>
            <w:tcMar>
              <w:top w:w="80" w:type="dxa"/>
              <w:left w:w="120" w:type="dxa"/>
              <w:bottom w:w="80" w:type="dxa"/>
              <w:right w:w="120" w:type="dxa"/>
            </w:tcMar>
            <w:vAlign w:val="center"/>
          </w:tcPr>
          <w:p w14:paraId="25221E76">
            <w:pPr>
              <w:jc w:val="left"/>
            </w:pPr>
            <w:r>
              <w:rPr>
                <w:rFonts w:ascii="Arial" w:hAnsi="Arial" w:eastAsia="Arial" w:cs="Arial"/>
                <w:b/>
                <w:bCs/>
                <w:sz w:val="20"/>
                <w:szCs w:val="20"/>
              </w:rPr>
              <w:t>Resolution</w:t>
            </w:r>
          </w:p>
        </w:tc>
      </w:tr>
      <w:tr w14:paraId="7AC82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3B6FDE0">
            <w:pPr>
              <w:jc w:val="left"/>
            </w:pPr>
            <w:r>
              <w:rPr>
                <w:rFonts w:ascii="Arial" w:hAnsi="Arial" w:eastAsia="Arial" w:cs="Arial"/>
                <w:b w:val="0"/>
                <w:bCs w:val="0"/>
                <w:sz w:val="20"/>
                <w:szCs w:val="20"/>
              </w:rPr>
              <w:t>Valve fails to close</w:t>
            </w:r>
          </w:p>
        </w:tc>
        <w:tc>
          <w:tcPr>
            <w:tcW w:w="297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204D0BC">
            <w:pPr>
              <w:jc w:val="left"/>
            </w:pPr>
            <w:r>
              <w:rPr>
                <w:rFonts w:ascii="Arial" w:hAnsi="Arial" w:eastAsia="Arial" w:cs="Arial"/>
                <w:b w:val="0"/>
                <w:bCs w:val="0"/>
                <w:sz w:val="20"/>
                <w:szCs w:val="20"/>
              </w:rPr>
              <w:t>Debris trapped between disc and seat</w:t>
            </w:r>
          </w:p>
        </w:tc>
        <w:tc>
          <w:tcPr>
            <w:tcW w:w="3262"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E5BA13A">
            <w:pPr>
              <w:jc w:val="left"/>
            </w:pPr>
            <w:r>
              <w:rPr>
                <w:rFonts w:ascii="Arial" w:hAnsi="Arial" w:eastAsia="Arial" w:cs="Arial"/>
                <w:b w:val="0"/>
                <w:bCs w:val="0"/>
                <w:sz w:val="20"/>
                <w:szCs w:val="20"/>
              </w:rPr>
              <w:t>Remove and clean; flush the pipeline</w:t>
            </w:r>
          </w:p>
        </w:tc>
      </w:tr>
      <w:tr w14:paraId="42A2F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9EF75E9">
            <w:pPr>
              <w:jc w:val="left"/>
            </w:pPr>
            <w:r>
              <w:rPr>
                <w:rFonts w:ascii="Arial" w:hAnsi="Arial" w:eastAsia="Arial" w:cs="Arial"/>
                <w:b w:val="0"/>
                <w:bCs w:val="0"/>
                <w:sz w:val="20"/>
                <w:szCs w:val="20"/>
              </w:rPr>
              <w:t>Disc does not open</w:t>
            </w:r>
          </w:p>
        </w:tc>
        <w:tc>
          <w:tcPr>
            <w:tcW w:w="297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30D2EBFF">
            <w:pPr>
              <w:jc w:val="left"/>
            </w:pPr>
            <w:r>
              <w:rPr>
                <w:rFonts w:ascii="Arial" w:hAnsi="Arial" w:eastAsia="Arial" w:cs="Arial"/>
                <w:b w:val="0"/>
                <w:bCs w:val="0"/>
                <w:sz w:val="20"/>
                <w:szCs w:val="20"/>
              </w:rPr>
              <w:t>Disc is obstructed or spring is damaged (if spring-assisted)</w:t>
            </w:r>
          </w:p>
        </w:tc>
        <w:tc>
          <w:tcPr>
            <w:tcW w:w="3262"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101ED84C">
            <w:pPr>
              <w:jc w:val="left"/>
            </w:pPr>
            <w:r>
              <w:rPr>
                <w:rFonts w:ascii="Arial" w:hAnsi="Arial" w:eastAsia="Arial" w:cs="Arial"/>
                <w:b w:val="0"/>
                <w:bCs w:val="0"/>
                <w:sz w:val="20"/>
                <w:szCs w:val="20"/>
              </w:rPr>
              <w:t>Inspect, repair or replace the disc/spring</w:t>
            </w:r>
          </w:p>
        </w:tc>
      </w:tr>
      <w:tr w14:paraId="5AD0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8A1212B">
            <w:pPr>
              <w:jc w:val="left"/>
            </w:pPr>
            <w:r>
              <w:rPr>
                <w:rFonts w:ascii="Arial" w:hAnsi="Arial" w:eastAsia="Arial" w:cs="Arial"/>
                <w:b w:val="0"/>
                <w:bCs w:val="0"/>
                <w:sz w:val="20"/>
                <w:szCs w:val="20"/>
              </w:rPr>
              <w:t>Leakage at the seal</w:t>
            </w:r>
          </w:p>
        </w:tc>
        <w:tc>
          <w:tcPr>
            <w:tcW w:w="297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6BD1A43A">
            <w:pPr>
              <w:jc w:val="left"/>
            </w:pPr>
            <w:r>
              <w:rPr>
                <w:rFonts w:ascii="Arial" w:hAnsi="Arial" w:eastAsia="Arial" w:cs="Arial"/>
                <w:b w:val="0"/>
                <w:bCs w:val="0"/>
                <w:sz w:val="20"/>
                <w:szCs w:val="20"/>
              </w:rPr>
              <w:t>Sealing face is damaged or gasket is worn</w:t>
            </w:r>
          </w:p>
        </w:tc>
        <w:tc>
          <w:tcPr>
            <w:tcW w:w="3262"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7EFEEF51">
            <w:pPr>
              <w:jc w:val="left"/>
            </w:pPr>
            <w:r>
              <w:rPr>
                <w:rFonts w:ascii="Arial" w:hAnsi="Arial" w:eastAsia="Arial" w:cs="Arial"/>
                <w:b w:val="0"/>
                <w:bCs w:val="0"/>
                <w:sz w:val="20"/>
                <w:szCs w:val="20"/>
              </w:rPr>
              <w:t>Re-grind or replace the seat; replace the gasket</w:t>
            </w:r>
          </w:p>
        </w:tc>
      </w:tr>
      <w:tr w14:paraId="035F3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48"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9F310FE">
            <w:pPr>
              <w:jc w:val="left"/>
            </w:pPr>
            <w:r>
              <w:rPr>
                <w:rFonts w:ascii="Arial" w:hAnsi="Arial" w:eastAsia="Arial" w:cs="Arial"/>
                <w:b w:val="0"/>
                <w:bCs w:val="0"/>
                <w:sz w:val="20"/>
                <w:szCs w:val="20"/>
              </w:rPr>
              <w:t>Abnormal vibration/noise</w:t>
            </w:r>
          </w:p>
        </w:tc>
        <w:tc>
          <w:tcPr>
            <w:tcW w:w="2975"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4C18369D">
            <w:pPr>
              <w:jc w:val="left"/>
            </w:pPr>
            <w:r>
              <w:rPr>
                <w:rFonts w:ascii="Arial" w:hAnsi="Arial" w:eastAsia="Arial" w:cs="Arial"/>
                <w:b w:val="0"/>
                <w:bCs w:val="0"/>
                <w:sz w:val="20"/>
                <w:szCs w:val="20"/>
              </w:rPr>
              <w:t>Excessive flow velocity or water hammer</w:t>
            </w:r>
          </w:p>
        </w:tc>
        <w:tc>
          <w:tcPr>
            <w:tcW w:w="3262" w:type="dxa"/>
            <w:tcBorders>
              <w:top w:val="single" w:color="999999" w:sz="0" w:space="0"/>
              <w:left w:val="single" w:color="999999" w:sz="0" w:space="0"/>
              <w:bottom w:val="single" w:color="999999" w:sz="0" w:space="0"/>
              <w:right w:val="single" w:color="999999" w:sz="0" w:space="0"/>
            </w:tcBorders>
            <w:shd w:val="clear" w:color="auto" w:fill="FFFFFF"/>
            <w:tcMar>
              <w:top w:w="80" w:type="dxa"/>
              <w:left w:w="120" w:type="dxa"/>
              <w:bottom w:w="80" w:type="dxa"/>
              <w:right w:w="120" w:type="dxa"/>
            </w:tcMar>
            <w:vAlign w:val="center"/>
          </w:tcPr>
          <w:p w14:paraId="003B7E38">
            <w:pPr>
              <w:jc w:val="left"/>
            </w:pPr>
            <w:r>
              <w:rPr>
                <w:rFonts w:ascii="Arial" w:hAnsi="Arial" w:eastAsia="Arial" w:cs="Arial"/>
                <w:b w:val="0"/>
                <w:bCs w:val="0"/>
                <w:sz w:val="20"/>
                <w:szCs w:val="20"/>
              </w:rPr>
              <w:t>Install a slow-closing check valve or surge suppressors; reduce system pressure</w:t>
            </w:r>
          </w:p>
        </w:tc>
      </w:tr>
    </w:tbl>
    <w:p w14:paraId="21520EAC">
      <w:pPr>
        <w:spacing w:before="120" w:after="0"/>
      </w:pPr>
      <w:r>
        <w:rPr>
          <w:rFonts w:ascii="Arial" w:hAnsi="Arial" w:eastAsia="Arial" w:cs="Arial"/>
          <w:sz w:val="22"/>
          <w:szCs w:val="22"/>
        </w:rPr>
        <w:t>7. Warranty</w:t>
      </w:r>
    </w:p>
    <w:p w14:paraId="0E777173">
      <w:pPr>
        <w:spacing w:before="0" w:after="0"/>
        <w:ind w:left="440" w:firstLine="716"/>
        <w:jc w:val="left"/>
        <w:rPr>
          <w:rFonts w:ascii="Arial" w:hAnsi="Arial" w:eastAsia="Arial" w:cs="Arial"/>
          <w:sz w:val="22"/>
          <w:szCs w:val="22"/>
        </w:rPr>
      </w:pPr>
      <w:r>
        <w:rPr>
          <w:rFonts w:ascii="Arial" w:hAnsi="Arial" w:eastAsia="Arial" w:cs="Arial"/>
          <w:sz w:val="22"/>
          <w:szCs w:val="22"/>
        </w:rPr>
        <w:t>The manufacturer warrants the valve for one year from the date of initial operation, but no later than 18 months from the date of shipment. Under warranty, any faults caused by product quality issues will be repaired or have parts replaced free of charge.</w:t>
      </w:r>
    </w:p>
    <w:p w14:paraId="2353012A">
      <w:pPr>
        <w:spacing w:before="0" w:after="0"/>
        <w:ind w:left="440" w:firstLine="716"/>
        <w:jc w:val="left"/>
        <w:rPr>
          <w:rFonts w:ascii="Arial" w:hAnsi="Arial" w:eastAsia="Arial" w:cs="Arial"/>
          <w:sz w:val="22"/>
          <w:szCs w:val="22"/>
        </w:rPr>
      </w:pPr>
    </w:p>
    <w:p w14:paraId="47DEE819">
      <w:pPr>
        <w:spacing w:before="0" w:after="0"/>
        <w:jc w:val="both"/>
      </w:pPr>
      <w:r>
        <w:drawing>
          <wp:inline distT="0" distB="0" distL="114300" distR="114300">
            <wp:extent cx="5272405" cy="2322195"/>
            <wp:effectExtent l="0" t="0" r="444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2405" cy="2322195"/>
                    </a:xfrm>
                    <a:prstGeom prst="rect">
                      <a:avLst/>
                    </a:prstGeom>
                    <a:noFill/>
                    <a:ln>
                      <a:noFill/>
                    </a:ln>
                  </pic:spPr>
                </pic:pic>
              </a:graphicData>
            </a:graphic>
          </wp:inline>
        </w:drawing>
      </w:r>
    </w:p>
    <w:p w14:paraId="4984624C">
      <w:pPr>
        <w:spacing w:before="0" w:after="0"/>
        <w:ind w:firstLine="660" w:firstLineChars="300"/>
        <w:jc w:val="both"/>
        <w:rPr>
          <w:rFonts w:ascii="Arial" w:hAnsi="Arial" w:eastAsia="Arial" w:cs="Arial"/>
          <w:sz w:val="22"/>
          <w:szCs w:val="22"/>
        </w:rPr>
      </w:pPr>
      <w:r>
        <w:rPr>
          <w:rFonts w:hint="eastAsia" w:eastAsia="宋体"/>
          <w:lang w:val="en-US" w:eastAsia="zh-CN"/>
        </w:rPr>
        <w:t>a.</w:t>
      </w:r>
      <w:r>
        <w:rPr>
          <w:rFonts w:ascii="Arial" w:hAnsi="Arial" w:eastAsia="Arial" w:cs="Arial"/>
          <w:sz w:val="22"/>
          <w:szCs w:val="22"/>
        </w:rPr>
        <w:t>Flanged Lift Check Valve</w:t>
      </w:r>
      <w:r>
        <w:rPr>
          <w:rFonts w:hint="eastAsia" w:ascii="Arial" w:hAnsi="Arial" w:eastAsia="宋体" w:cs="Arial"/>
          <w:sz w:val="22"/>
          <w:szCs w:val="22"/>
          <w:lang w:val="en-US" w:eastAsia="zh-CN"/>
        </w:rPr>
        <w:t xml:space="preserve">                         b.</w:t>
      </w:r>
      <w:r>
        <w:rPr>
          <w:rFonts w:ascii="Arial" w:hAnsi="Arial" w:eastAsia="Arial" w:cs="Arial"/>
          <w:sz w:val="22"/>
          <w:szCs w:val="22"/>
        </w:rPr>
        <w:t>Flanged Swing Check Valve</w:t>
      </w:r>
    </w:p>
    <w:p w14:paraId="513CACAD">
      <w:pPr>
        <w:spacing w:before="0" w:after="0"/>
        <w:ind w:firstLine="660" w:firstLineChars="300"/>
        <w:jc w:val="both"/>
        <w:rPr>
          <w:rFonts w:ascii="Arial" w:hAnsi="Arial" w:eastAsia="Arial" w:cs="Arial"/>
          <w:sz w:val="22"/>
          <w:szCs w:val="22"/>
        </w:rPr>
      </w:pPr>
    </w:p>
    <w:p w14:paraId="4746507A">
      <w:pPr>
        <w:spacing w:after="60" w:line="288" w:lineRule="auto"/>
        <w:ind w:right="-37" w:rightChars="-17"/>
        <w:jc w:val="right"/>
        <w:rPr>
          <w:rFonts w:hint="eastAsia" w:eastAsia="宋体"/>
          <w:lang w:eastAsia="zh-CN"/>
        </w:rPr>
      </w:pPr>
    </w:p>
    <w:p w14:paraId="56DC8540">
      <w:pPr>
        <w:spacing w:after="60" w:line="288" w:lineRule="auto"/>
        <w:ind w:right="-37" w:rightChars="-17"/>
        <w:jc w:val="right"/>
        <w:rPr>
          <w:rFonts w:hint="eastAsia" w:eastAsia="宋体"/>
          <w:lang w:eastAsia="zh-CN"/>
        </w:rPr>
      </w:pPr>
    </w:p>
    <w:p w14:paraId="1D6E9D2F">
      <w:pPr>
        <w:spacing w:after="60" w:line="288" w:lineRule="auto"/>
        <w:ind w:right="-37" w:rightChars="-17"/>
        <w:jc w:val="right"/>
        <w:rPr>
          <w:rFonts w:hint="eastAsia" w:eastAsia="宋体"/>
          <w:lang w:eastAsia="zh-CN"/>
        </w:rPr>
      </w:pPr>
    </w:p>
    <w:p w14:paraId="6F106C49">
      <w:pPr>
        <w:spacing w:after="60" w:line="288" w:lineRule="auto"/>
        <w:ind w:right="-37" w:rightChars="-17"/>
        <w:jc w:val="right"/>
        <w:rPr>
          <w:rFonts w:hint="eastAsia" w:eastAsia="宋体"/>
          <w:lang w:eastAsia="zh-CN"/>
        </w:rPr>
      </w:pPr>
    </w:p>
    <w:p w14:paraId="29EFAD6D">
      <w:pPr>
        <w:spacing w:after="60" w:line="288" w:lineRule="auto"/>
        <w:ind w:right="-37" w:rightChars="-17"/>
        <w:jc w:val="right"/>
        <w:rPr>
          <w:rFonts w:hint="eastAsia" w:eastAsia="宋体"/>
          <w:lang w:eastAsia="zh-CN"/>
        </w:rPr>
      </w:pPr>
    </w:p>
    <w:p w14:paraId="2CEB384C">
      <w:pPr>
        <w:spacing w:after="60" w:line="288" w:lineRule="auto"/>
        <w:ind w:right="-37" w:rightChars="-17"/>
        <w:jc w:val="right"/>
        <w:rPr>
          <w:rFonts w:hint="eastAsia" w:eastAsia="宋体"/>
          <w:lang w:eastAsia="zh-CN"/>
        </w:rPr>
      </w:pPr>
    </w:p>
    <w:p w14:paraId="73705BD4">
      <w:pPr>
        <w:spacing w:after="60" w:line="288" w:lineRule="auto"/>
        <w:ind w:right="-37" w:rightChars="-17"/>
        <w:jc w:val="right"/>
        <w:rPr>
          <w:rFonts w:hint="eastAsia" w:eastAsia="宋体"/>
          <w:lang w:eastAsia="zh-CN"/>
        </w:rPr>
      </w:pPr>
    </w:p>
    <w:p w14:paraId="4BFA9BA2">
      <w:pPr>
        <w:spacing w:after="60" w:line="288" w:lineRule="auto"/>
        <w:ind w:right="-37" w:rightChars="-17"/>
        <w:jc w:val="right"/>
        <w:rPr>
          <w:rFonts w:hint="eastAsia" w:eastAsia="宋体"/>
          <w:lang w:eastAsia="zh-CN"/>
        </w:rPr>
      </w:pPr>
    </w:p>
    <w:p w14:paraId="1F254925">
      <w:pPr>
        <w:spacing w:after="60" w:line="288" w:lineRule="auto"/>
        <w:ind w:right="-37" w:rightChars="-17"/>
        <w:jc w:val="right"/>
        <w:rPr>
          <w:rFonts w:hint="eastAsia" w:eastAsia="宋体"/>
          <w:lang w:eastAsia="zh-CN"/>
        </w:rPr>
      </w:pPr>
    </w:p>
    <w:p w14:paraId="4D219750">
      <w:pPr>
        <w:spacing w:after="60" w:line="288" w:lineRule="auto"/>
        <w:ind w:right="-37" w:rightChars="-17"/>
        <w:jc w:val="right"/>
        <w:rPr>
          <w:rFonts w:hint="eastAsia" w:eastAsia="宋体"/>
          <w:lang w:eastAsia="zh-CN"/>
        </w:rPr>
      </w:pPr>
    </w:p>
    <w:p w14:paraId="1FFC6D95">
      <w:pPr>
        <w:spacing w:after="60" w:line="288" w:lineRule="auto"/>
        <w:ind w:right="-37" w:rightChars="-17"/>
        <w:jc w:val="both"/>
        <w:rPr>
          <w:rFonts w:hint="eastAsia" w:eastAsia="宋体"/>
          <w:lang w:eastAsia="zh-CN"/>
        </w:rPr>
      </w:pPr>
    </w:p>
    <w:p w14:paraId="1858A8C1">
      <w:pPr>
        <w:spacing w:after="60" w:line="288" w:lineRule="auto"/>
        <w:ind w:right="-37" w:rightChars="-17"/>
        <w:jc w:val="right"/>
        <w:rPr>
          <w:rFonts w:hint="eastAsia" w:eastAsia="宋体"/>
          <w:lang w:eastAsia="zh-CN"/>
        </w:rPr>
      </w:pPr>
    </w:p>
    <w:p w14:paraId="66128BD3">
      <w:pPr>
        <w:spacing w:after="60" w:line="288" w:lineRule="auto"/>
        <w:ind w:right="-37" w:rightChars="-17"/>
        <w:jc w:val="right"/>
        <w:rPr>
          <w:rFonts w:hint="eastAsia" w:eastAsia="宋体"/>
          <w:lang w:eastAsia="zh-CN"/>
        </w:rPr>
      </w:pPr>
    </w:p>
    <w:p w14:paraId="1627C5D3">
      <w:pPr>
        <w:spacing w:after="60" w:line="288" w:lineRule="auto"/>
        <w:ind w:right="-37" w:rightChars="-17"/>
        <w:jc w:val="right"/>
        <w:rPr>
          <w:rFonts w:hint="eastAsia" w:eastAsia="宋体"/>
          <w:lang w:eastAsia="zh-CN"/>
        </w:rPr>
      </w:pPr>
    </w:p>
    <w:p w14:paraId="162950CE">
      <w:pPr>
        <w:spacing w:after="60" w:line="288" w:lineRule="auto"/>
        <w:ind w:right="-37" w:rightChars="-17"/>
        <w:jc w:val="right"/>
        <w:rPr>
          <w:rFonts w:hint="eastAsia" w:eastAsia="宋体"/>
          <w:lang w:eastAsia="zh-CN"/>
        </w:rPr>
      </w:pPr>
      <w:r>
        <w:rPr>
          <w:rFonts w:hint="eastAsia" w:eastAsia="宋体"/>
          <w:lang w:eastAsia="zh-CN"/>
        </w:rPr>
        <w:drawing>
          <wp:inline distT="0" distB="0" distL="114300" distR="114300">
            <wp:extent cx="786765" cy="548005"/>
            <wp:effectExtent l="0" t="0" r="13335" b="4445"/>
            <wp:docPr id="15" name="图片 15"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weizidom logo"/>
                    <pic:cNvPicPr>
                      <a:picLocks noChangeAspect="1"/>
                    </pic:cNvPicPr>
                  </pic:nvPicPr>
                  <pic:blipFill>
                    <a:blip r:embed="rId7"/>
                    <a:stretch>
                      <a:fillRect/>
                    </a:stretch>
                  </pic:blipFill>
                  <pic:spPr>
                    <a:xfrm>
                      <a:off x="0" y="0"/>
                      <a:ext cx="786765" cy="548005"/>
                    </a:xfrm>
                    <a:prstGeom prst="rect">
                      <a:avLst/>
                    </a:prstGeom>
                  </pic:spPr>
                </pic:pic>
              </a:graphicData>
            </a:graphic>
          </wp:inline>
        </w:drawing>
      </w:r>
    </w:p>
    <w:p w14:paraId="4DEB1521">
      <w:pPr>
        <w:pBdr>
          <w:bottom w:val="double" w:color="auto" w:sz="4" w:space="0"/>
        </w:pBdr>
        <w:ind w:right="-37" w:rightChars="-17"/>
        <w:jc w:val="right"/>
        <w:rPr>
          <w:rFonts w:hint="eastAsia"/>
          <w:b/>
          <w:color w:val="00467F"/>
          <w:sz w:val="36"/>
          <w:szCs w:val="20"/>
          <w:lang w:val="en-US" w:eastAsia="zh-CN"/>
        </w:rPr>
      </w:pPr>
      <w:r>
        <w:rPr>
          <w:rFonts w:hint="eastAsia"/>
          <w:b/>
          <w:color w:val="00467F"/>
          <w:sz w:val="32"/>
          <w:szCs w:val="18"/>
          <w:lang w:val="en-US" w:eastAsia="zh-CN"/>
        </w:rPr>
        <w:t>WEIZIDOM GROUP</w:t>
      </w:r>
    </w:p>
    <w:p w14:paraId="4094E4BC">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fldChar w:fldCharType="begin"/>
      </w:r>
      <w:r>
        <w:rPr>
          <w:rFonts w:hint="eastAsia"/>
          <w:b/>
          <w:color w:val="00467F"/>
          <w:sz w:val="20"/>
          <w:szCs w:val="10"/>
          <w:lang w:val="en-US" w:eastAsia="zh-CN"/>
        </w:rPr>
        <w:instrText xml:space="preserve"> HYPERLINK "http://www.wsdvalves.com" </w:instrText>
      </w:r>
      <w:r>
        <w:rPr>
          <w:rFonts w:hint="eastAsia"/>
          <w:b/>
          <w:color w:val="00467F"/>
          <w:sz w:val="20"/>
          <w:szCs w:val="10"/>
          <w:lang w:val="en-US" w:eastAsia="zh-CN"/>
        </w:rPr>
        <w:fldChar w:fldCharType="separate"/>
      </w:r>
      <w:r>
        <w:rPr>
          <w:rFonts w:hint="eastAsia"/>
          <w:b/>
          <w:color w:val="00467F"/>
          <w:sz w:val="20"/>
          <w:szCs w:val="10"/>
          <w:lang w:val="en-US" w:eastAsia="zh-CN"/>
        </w:rPr>
        <w:t>www.wsdvalves.com</w:t>
      </w:r>
      <w:r>
        <w:rPr>
          <w:rFonts w:hint="eastAsia"/>
          <w:b/>
          <w:color w:val="00467F"/>
          <w:sz w:val="20"/>
          <w:szCs w:val="10"/>
          <w:lang w:val="en-US" w:eastAsia="zh-CN"/>
        </w:rPr>
        <w:fldChar w:fldCharType="end"/>
      </w:r>
    </w:p>
    <w:p w14:paraId="2D71A4AF">
      <w:pPr>
        <w:keepNext w:val="0"/>
        <w:keepLines w:val="0"/>
        <w:pageBreakBefore w:val="0"/>
        <w:widowControl/>
        <w:kinsoku/>
        <w:wordWrap/>
        <w:overflowPunct/>
        <w:topLinePunct w:val="0"/>
        <w:autoSpaceDE/>
        <w:autoSpaceDN/>
        <w:bidi w:val="0"/>
        <w:adjustRightInd/>
        <w:snapToGrid/>
        <w:spacing w:after="80"/>
        <w:ind w:right="-37" w:rightChars="-17"/>
        <w:jc w:val="right"/>
        <w:textAlignment w:val="auto"/>
        <w:rPr>
          <w:rFonts w:hint="eastAsia"/>
          <w:b/>
          <w:color w:val="00467F"/>
          <w:sz w:val="20"/>
          <w:szCs w:val="10"/>
          <w:lang w:val="en-US" w:eastAsia="zh-CN"/>
        </w:rPr>
      </w:pPr>
      <w:r>
        <w:rPr>
          <w:rFonts w:hint="eastAsia"/>
          <w:b/>
          <w:color w:val="00467F"/>
          <w:sz w:val="20"/>
          <w:szCs w:val="10"/>
          <w:lang w:val="en-US" w:eastAsia="zh-CN"/>
        </w:rPr>
        <w:t>South City, Longhu Town, Xinzheng City,</w:t>
      </w:r>
    </w:p>
    <w:p w14:paraId="3517ED1C">
      <w:pPr>
        <w:spacing w:after="60" w:line="288" w:lineRule="auto"/>
        <w:ind w:right="-37" w:rightChars="-17"/>
        <w:jc w:val="right"/>
        <w:rPr>
          <w:rFonts w:hint="default" w:eastAsia="宋体"/>
          <w:sz w:val="18"/>
          <w:szCs w:val="20"/>
          <w:lang w:val="en-US" w:eastAsia="zh-CN"/>
        </w:rPr>
      </w:pPr>
      <w:r>
        <w:rPr>
          <w:rFonts w:hint="eastAsia"/>
          <w:b/>
          <w:color w:val="00467F"/>
          <w:sz w:val="20"/>
          <w:szCs w:val="10"/>
          <w:lang w:val="en-US" w:eastAsia="zh-CN"/>
        </w:rPr>
        <w:t>Zhengzhou City, Henan Province, China</w:t>
      </w:r>
    </w:p>
    <w:p w14:paraId="3BBD0248">
      <w:pPr>
        <w:spacing w:before="0" w:after="0"/>
        <w:ind w:firstLine="660" w:firstLineChars="300"/>
        <w:jc w:val="both"/>
        <w:rPr>
          <w:rFonts w:hint="default" w:ascii="Arial" w:hAnsi="Arial" w:eastAsia="Arial" w:cs="Arial"/>
          <w:sz w:val="22"/>
          <w:szCs w:val="22"/>
          <w:lang w:val="en-US" w:eastAsia="zh-CN"/>
        </w:rPr>
      </w:pPr>
    </w:p>
    <w:sectPr>
      <w:headerReference r:id="rId3" w:type="default"/>
      <w:footerReference r:id="rId4" w:type="default"/>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C0EB0">
    <w:pPr>
      <w:pStyle w:val="9"/>
      <w:rPr>
        <w:rFonts w:hint="default" w:eastAsia="宋体"/>
        <w:sz w:val="15"/>
        <w:szCs w:val="20"/>
        <w:lang w:val="en-US" w:eastAsia="zh-CN"/>
      </w:rPr>
    </w:pPr>
    <w:r>
      <w:rPr>
        <w:rFonts w:hint="eastAsia" w:eastAsia="宋体"/>
        <w:sz w:val="15"/>
        <w:szCs w:val="20"/>
        <w:lang w:val="en-US" w:eastAsia="zh-CN"/>
      </w:rPr>
      <w:t>WEIZIDOM GROUP VLAVE MANUAL</w:t>
    </w:r>
  </w:p>
  <w:p w14:paraId="69BF0D23">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12B0F">
    <w:pPr>
      <w:spacing w:after="40"/>
      <w:jc w:val="left"/>
      <w:rPr>
        <w:rFonts w:hint="eastAsia"/>
        <w:sz w:val="18"/>
        <w:szCs w:val="20"/>
        <w:lang w:val="en-US" w:eastAsia="zh-CN"/>
      </w:rPr>
    </w:pPr>
    <w:r>
      <w:rPr>
        <w:rFonts w:hint="eastAsia"/>
        <w:sz w:val="18"/>
        <w:szCs w:val="20"/>
        <w:lang w:val="en-US"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473075" cy="329565"/>
          <wp:effectExtent l="0" t="0" r="3175" b="13970"/>
          <wp:wrapTopAndBottom/>
          <wp:docPr id="3" name="图片 3" descr="weizid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eizidom logo"/>
                  <pic:cNvPicPr>
                    <a:picLocks noChangeAspect="1"/>
                  </pic:cNvPicPr>
                </pic:nvPicPr>
                <pic:blipFill>
                  <a:blip r:embed="rId1"/>
                  <a:stretch>
                    <a:fillRect/>
                  </a:stretch>
                </pic:blipFill>
                <pic:spPr>
                  <a:xfrm>
                    <a:off x="0" y="0"/>
                    <a:ext cx="473075" cy="329565"/>
                  </a:xfrm>
                  <a:prstGeom prst="rect">
                    <a:avLst/>
                  </a:prstGeom>
                </pic:spPr>
              </pic:pic>
            </a:graphicData>
          </a:graphic>
        </wp:anchor>
      </w:drawing>
    </w:r>
    <w:r>
      <w:rPr>
        <w:color w:val="C6D9F1" w:themeColor="text2" w:themeTint="33"/>
        <w:sz w:val="18"/>
        <w:szCs w:val="20"/>
        <w14:textFill>
          <w14:solidFill>
            <w14:schemeClr w14:val="tx2">
              <w14:lumMod w14:val="20000"/>
              <w14:lumOff w14:val="80000"/>
            </w14:schemeClr>
          </w14:solidFill>
        </w14:textFill>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FBF65E6">
                    <w:pPr>
                      <w:pStyle w:val="10"/>
                      <w:tabs>
                        <w:tab w:val="center" w:pos="4680"/>
                        <w:tab w:val="right" w:pos="9360"/>
                        <w:tab w:val="clear" w:pos="4153"/>
                        <w:tab w:val="clear" w:pos="8306"/>
                      </w:tabs>
                    </w:pPr>
                    <w:r>
                      <w:rPr>
                        <w:sz w:val="18"/>
                        <w:szCs w:val="20"/>
                      </w:rPr>
                      <w:fldChar w:fldCharType="begin"/>
                    </w:r>
                    <w:r>
                      <w:rPr>
                        <w:sz w:val="18"/>
                        <w:szCs w:val="20"/>
                      </w:rPr>
                      <w:instrText xml:space="preserve"> PAGE  \* MERGEFORMAT </w:instrText>
                    </w:r>
                    <w:r>
                      <w:rPr>
                        <w:sz w:val="18"/>
                        <w:szCs w:val="20"/>
                      </w:rPr>
                      <w:fldChar w:fldCharType="separate"/>
                    </w:r>
                    <w:r>
                      <w:rPr>
                        <w:sz w:val="18"/>
                        <w:szCs w:val="20"/>
                      </w:rPr>
                      <w:t>2</w:t>
                    </w:r>
                    <w:r>
                      <w:rPr>
                        <w:sz w:val="18"/>
                        <w:szCs w:val="20"/>
                      </w:rPr>
                      <w:fldChar w:fldCharType="end"/>
                    </w:r>
                  </w:p>
                </w:txbxContent>
              </v:textbox>
            </v:shape>
          </w:pict>
        </mc:Fallback>
      </mc:AlternateContent>
    </w:r>
    <w:r>
      <w:rPr>
        <w:rFonts w:hint="eastAsia"/>
        <w:sz w:val="18"/>
        <w:szCs w:val="20"/>
        <w:lang w:val="en-US" w:eastAsia="zh-CN"/>
      </w:rPr>
      <w:t xml:space="preserve">                                                                                   </w:t>
    </w:r>
  </w:p>
  <w:p w14:paraId="4D231586">
    <w:pPr>
      <w:spacing w:after="40"/>
      <w:jc w:val="center"/>
      <w:rPr>
        <w:rFonts w:hint="default" w:asciiTheme="minorAscii" w:hAnsiTheme="minorAscii"/>
      </w:rPr>
    </w:pPr>
    <w:r>
      <w:rPr>
        <w:rFonts w:hint="default" w:asciiTheme="minorAscii" w:hAnsiTheme="minorAscii"/>
        <w:sz w:val="18"/>
        <w:szCs w:val="20"/>
        <w:lang w:val="en-US" w:eastAsia="zh-CN"/>
      </w:rPr>
      <w:t>Product Manual</w:t>
    </w:r>
  </w:p>
  <w:p w14:paraId="2FDFAF6C">
    <w:pPr>
      <w:pStyle w:val="1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CC543A4"/>
    <w:rsid w:val="7A4E1B9A"/>
    <w:rsid w:val="7B1379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4">
    <w:name w:val="Default Paragraph Font"/>
    <w:semiHidden/>
    <w:qFormat/>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Arial" w:hAnsi="Arial" w:eastAsia="Arial" w:cs="Arial"/>
      <w:sz w:val="20"/>
      <w:szCs w:val="20"/>
    </w:rPr>
  </w:style>
  <w:style w:type="paragraph" w:styleId="9">
    <w:name w:val="footer"/>
    <w:basedOn w:val="1"/>
    <w:uiPriority w:val="0"/>
    <w:pPr>
      <w:tabs>
        <w:tab w:val="center" w:pos="4153"/>
        <w:tab w:val="right" w:pos="8306"/>
      </w:tabs>
      <w:snapToGrid w:val="0"/>
      <w:jc w:val="left"/>
    </w:pPr>
    <w:rPr>
      <w:sz w:val="18"/>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footnote text"/>
    <w:link w:val="19"/>
    <w:semiHidden/>
    <w:unhideWhenUsed/>
    <w:qFormat/>
    <w:uiPriority w:val="99"/>
    <w:pPr>
      <w:spacing w:after="0" w:line="240" w:lineRule="auto"/>
    </w:pPr>
    <w:rPr>
      <w:rFonts w:ascii="Arial" w:hAnsi="Arial" w:eastAsia="Arial" w:cs="Arial"/>
      <w:sz w:val="20"/>
      <w:szCs w:val="20"/>
    </w:rPr>
  </w:style>
  <w:style w:type="paragraph" w:styleId="12">
    <w:name w:val="Title"/>
    <w:qFormat/>
    <w:uiPriority w:val="0"/>
    <w:rPr>
      <w:rFonts w:ascii="Arial" w:hAnsi="Arial" w:eastAsia="Arial" w:cs="Arial"/>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Arial" w:hAnsi="Arial" w:eastAsia="Arial" w:cs="Arial"/>
      <w:sz w:val="22"/>
      <w:szCs w:val="22"/>
    </w:rPr>
  </w:style>
  <w:style w:type="character" w:customStyle="1" w:styleId="19">
    <w:name w:val="Footnote Text Char"/>
    <w:link w:val="11"/>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475</Words>
  <Characters>2597</Characters>
  <TotalTime>0</TotalTime>
  <ScaleCrop>false</ScaleCrop>
  <LinksUpToDate>false</LinksUpToDate>
  <CharactersWithSpaces>3102</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2026-05-11T06:41:00Z</dcterms:created>
  <dc:creator>Un-named</dc:creator>
  <cp:lastModifiedBy>Azzzzhao</cp:lastModifiedBy>
  <dcterms:modified xsi:type="dcterms:W3CDTF">2026-05-14T09:12:11Z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eyJoZGlkIjoiNmE2OTY0NDU1NWM5ODY2NDU1NDc1YTAwMWYwMGE5OWMiLCJ1c2VySWQiOiIxOTc5NTM3MzAifQ==</vt:lpwstr>
  </property>
  <property fmtid="{D5CDD505-2E9C-101B-9397-08002B2CF9AE}" pid="3" name="KSOProductBuildVer">
    <vt:lpwstr>2052-12.1.0.25225</vt:lpwstr>
  </property>
  <property fmtid="{D5CDD505-2E9C-101B-9397-08002B2CF9AE}" pid="4" name="ICV">
    <vt:lpwstr>C7E9C69FC75E4D11A90610D3BDFD5211_12</vt:lpwstr>
  </property>
</Properties>
</file>