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91686">
      <w:pPr>
        <w:spacing w:before="0" w:after="0"/>
        <w:jc w:val="center"/>
      </w:pPr>
      <w:r>
        <w:rPr>
          <w:rFonts w:ascii="Arial" w:hAnsi="Arial" w:eastAsia="Arial" w:cs="Arial"/>
          <w:b/>
          <w:bCs/>
          <w:color w:val="1F497D"/>
          <w:sz w:val="24"/>
          <w:szCs w:val="24"/>
        </w:rPr>
        <w:t>Gas Gate Valve</w:t>
      </w:r>
    </w:p>
    <w:p w14:paraId="6E49AADE">
      <w:pPr>
        <w:spacing w:before="0" w:after="0"/>
        <w:jc w:val="left"/>
      </w:pPr>
      <w:r>
        <w:rPr>
          <w:rFonts w:ascii="Arial" w:hAnsi="Arial" w:eastAsia="Arial" w:cs="Arial"/>
          <w:b/>
          <w:bCs/>
          <w:sz w:val="22"/>
          <w:szCs w:val="22"/>
        </w:rPr>
        <w:t>1.  Scope</w:t>
      </w:r>
    </w:p>
    <w:p w14:paraId="14D12F21">
      <w:pPr>
        <w:spacing w:before="0" w:after="0"/>
        <w:ind w:left="440" w:firstLine="716"/>
        <w:jc w:val="left"/>
      </w:pPr>
      <w:r>
        <w:rPr>
          <w:rFonts w:ascii="Arial" w:hAnsi="Arial" w:eastAsia="Arial" w:cs="Arial"/>
          <w:sz w:val="22"/>
          <w:szCs w:val="22"/>
        </w:rPr>
        <w:t>This manual covers gas gate valves with nominal sizes DN100 mm to DN300 mm and nominal pressure PN0.8 MPa, flanged-end connection, manual operation.</w:t>
      </w:r>
    </w:p>
    <w:p w14:paraId="3B3B36CB">
      <w:pPr>
        <w:spacing w:before="200" w:after="0"/>
        <w:jc w:val="left"/>
      </w:pPr>
      <w:r>
        <w:rPr>
          <w:rFonts w:ascii="Arial" w:hAnsi="Arial" w:eastAsia="Arial" w:cs="Arial"/>
          <w:b/>
          <w:bCs/>
          <w:sz w:val="22"/>
          <w:szCs w:val="22"/>
        </w:rPr>
        <w:t>2.  Purpose</w:t>
      </w:r>
    </w:p>
    <w:p w14:paraId="3AB08256">
      <w:pPr>
        <w:spacing w:before="0" w:after="0"/>
        <w:ind w:left="440" w:firstLine="716"/>
        <w:jc w:val="left"/>
      </w:pPr>
      <w:r>
        <w:rPr>
          <w:rFonts w:ascii="Arial" w:hAnsi="Arial" w:eastAsia="Arial" w:cs="Arial"/>
          <w:sz w:val="22"/>
          <w:szCs w:val="22"/>
        </w:rPr>
        <w:t>2.1  This valve is used as an open/close device on city coal gas and natural gas pipelines.</w:t>
      </w:r>
    </w:p>
    <w:p w14:paraId="6C41C694">
      <w:pPr>
        <w:spacing w:before="0" w:after="0"/>
        <w:ind w:left="440" w:firstLine="716"/>
        <w:jc w:val="left"/>
      </w:pPr>
      <w:r>
        <w:rPr>
          <w:rFonts w:ascii="Arial" w:hAnsi="Arial" w:eastAsia="Arial" w:cs="Arial"/>
          <w:sz w:val="22"/>
          <w:szCs w:val="22"/>
        </w:rPr>
        <w:t>2.2  Valve body material shall be selected based on the medium.</w:t>
      </w:r>
    </w:p>
    <w:p w14:paraId="540424F4">
      <w:pPr>
        <w:spacing w:before="0" w:after="0"/>
        <w:ind w:left="440" w:firstLine="1432"/>
        <w:jc w:val="left"/>
      </w:pPr>
      <w:r>
        <w:rPr>
          <w:rFonts w:ascii="Arial" w:hAnsi="Arial" w:eastAsia="Arial" w:cs="Arial"/>
          <w:sz w:val="22"/>
          <w:szCs w:val="22"/>
        </w:rPr>
        <w:t>2.2.1  Ductile iron valves are suitable for coal gas and natural gas media.</w:t>
      </w:r>
    </w:p>
    <w:p w14:paraId="7D71229C">
      <w:pPr>
        <w:spacing w:before="0" w:after="0"/>
        <w:ind w:left="440" w:firstLine="716"/>
        <w:jc w:val="left"/>
      </w:pPr>
      <w:r>
        <w:rPr>
          <w:rFonts w:ascii="Arial" w:hAnsi="Arial" w:eastAsia="Arial" w:cs="Arial"/>
          <w:sz w:val="22"/>
          <w:szCs w:val="22"/>
        </w:rPr>
        <w:t>2.3  Applicable temperature:</w:t>
      </w:r>
    </w:p>
    <w:p w14:paraId="52179C23">
      <w:pPr>
        <w:spacing w:before="0" w:after="0"/>
        <w:ind w:left="440" w:firstLine="1432"/>
        <w:jc w:val="left"/>
      </w:pPr>
      <w:r>
        <w:rPr>
          <w:rFonts w:ascii="Arial" w:hAnsi="Arial" w:eastAsia="Arial" w:cs="Arial"/>
          <w:sz w:val="22"/>
          <w:szCs w:val="22"/>
        </w:rPr>
        <w:t>2.3.1  Ductile iron valves -- max. 120 C</w:t>
      </w:r>
    </w:p>
    <w:p w14:paraId="44B19C3C">
      <w:pPr>
        <w:spacing w:before="200" w:after="0"/>
        <w:jc w:val="left"/>
      </w:pPr>
      <w:r>
        <w:rPr>
          <w:rFonts w:ascii="Arial" w:hAnsi="Arial" w:eastAsia="Arial" w:cs="Arial"/>
          <w:b/>
          <w:bCs/>
          <w:sz w:val="22"/>
          <w:szCs w:val="22"/>
        </w:rPr>
        <w:t>3.  Structure</w:t>
      </w:r>
    </w:p>
    <w:p w14:paraId="7F9FE0C2">
      <w:pPr>
        <w:spacing w:before="0" w:after="0"/>
        <w:ind w:left="440" w:firstLine="716"/>
        <w:jc w:val="left"/>
      </w:pPr>
      <w:r>
        <w:rPr>
          <w:rFonts w:ascii="Arial" w:hAnsi="Arial" w:eastAsia="Arial" w:cs="Arial"/>
          <w:sz w:val="22"/>
          <w:szCs w:val="22"/>
        </w:rPr>
        <w:t>3.1  The basic structure of the gas gate valve is shown in Figure 1.</w:t>
      </w:r>
    </w:p>
    <w:p w14:paraId="553FB9BC">
      <w:pPr>
        <w:spacing w:before="0" w:after="0"/>
        <w:ind w:left="440" w:firstLine="716"/>
        <w:jc w:val="left"/>
      </w:pPr>
      <w:r>
        <w:rPr>
          <w:rFonts w:ascii="Arial" w:hAnsi="Arial" w:eastAsia="Arial" w:cs="Arial"/>
          <w:sz w:val="22"/>
          <w:szCs w:val="22"/>
        </w:rPr>
        <w:t>3.2  Wear-resistant gaskets and packing use rubber asbestos sheet and fluoro rubber (FKM), providing reliable sealing.</w:t>
      </w:r>
    </w:p>
    <w:p w14:paraId="1A33FA2F">
      <w:pPr>
        <w:spacing w:before="200" w:after="0"/>
        <w:jc w:val="left"/>
      </w:pPr>
      <w:r>
        <w:rPr>
          <w:rFonts w:ascii="Arial" w:hAnsi="Arial" w:eastAsia="Arial" w:cs="Arial"/>
          <w:b/>
          <w:bCs/>
          <w:sz w:val="22"/>
          <w:szCs w:val="22"/>
        </w:rPr>
        <w:t>4.  Operation</w:t>
      </w:r>
    </w:p>
    <w:p w14:paraId="79ACC115">
      <w:pPr>
        <w:spacing w:before="0" w:after="0"/>
        <w:ind w:left="440" w:firstLine="716"/>
        <w:jc w:val="left"/>
      </w:pPr>
      <w:r>
        <w:rPr>
          <w:rFonts w:ascii="Arial" w:hAnsi="Arial" w:eastAsia="Arial" w:cs="Arial"/>
          <w:sz w:val="22"/>
          <w:szCs w:val="22"/>
        </w:rPr>
        <w:t>Manual valves are operated by turning the handwheel by hand. The handwheel drives the stem upward and downward, which in turn moves the gate plate up and down to open or close the valve. The valve is equipped with an "OPEN" / "CLOSE" indicating mechanism. Rotating clockwise causes the gate plate to descend; the pointer points to "CLOSE" and the valve is closed. Rotating counter-clockwise causes the gate plate to rise; the pointer points to "OPEN" and the valve is open.</w:t>
      </w:r>
    </w:p>
    <w:p w14:paraId="7164C49A">
      <w:pPr>
        <w:spacing w:before="200" w:after="0"/>
        <w:jc w:val="left"/>
      </w:pPr>
      <w:r>
        <w:rPr>
          <w:rFonts w:ascii="Arial" w:hAnsi="Arial" w:eastAsia="Arial" w:cs="Arial"/>
          <w:b/>
          <w:bCs/>
          <w:sz w:val="22"/>
          <w:szCs w:val="22"/>
        </w:rPr>
        <w:t>5.  Storage, Maintenance, Installation, and Use</w:t>
      </w:r>
    </w:p>
    <w:p w14:paraId="3FEDD8AE">
      <w:pPr>
        <w:spacing w:before="0" w:after="0"/>
        <w:ind w:left="440" w:firstLine="716"/>
        <w:jc w:val="left"/>
      </w:pPr>
      <w:r>
        <w:rPr>
          <w:rFonts w:ascii="Arial" w:hAnsi="Arial" w:eastAsia="Arial" w:cs="Arial"/>
          <w:sz w:val="22"/>
          <w:szCs w:val="22"/>
        </w:rPr>
        <w:t>5.1  Valves shall be stored indoors in a dry and ventilated area. Both pipeline openings shall be sealed.</w:t>
      </w:r>
    </w:p>
    <w:p w14:paraId="1C858259">
      <w:pPr>
        <w:spacing w:before="0" w:after="0"/>
        <w:ind w:left="440" w:firstLine="716"/>
        <w:jc w:val="left"/>
      </w:pPr>
      <w:r>
        <w:rPr>
          <w:rFonts w:ascii="Arial" w:hAnsi="Arial" w:eastAsia="Arial" w:cs="Arial"/>
          <w:sz w:val="22"/>
          <w:szCs w:val="22"/>
        </w:rPr>
        <w:t>5.2  Valves stored long-term shall be inspected periodically; remove debris. Pay special attention to keeping the sealing faces clean to prevent damage.</w:t>
      </w:r>
    </w:p>
    <w:p w14:paraId="282E775E">
      <w:pPr>
        <w:spacing w:before="0" w:after="0"/>
        <w:ind w:left="440" w:firstLine="716"/>
        <w:jc w:val="left"/>
      </w:pPr>
      <w:r>
        <w:rPr>
          <w:rFonts w:ascii="Arial" w:hAnsi="Arial" w:eastAsia="Arial" w:cs="Arial"/>
          <w:sz w:val="22"/>
          <w:szCs w:val="22"/>
        </w:rPr>
        <w:t>5.3  Before installation, verify that the valve markings match the service requirements.</w:t>
      </w:r>
    </w:p>
    <w:p w14:paraId="480B58CC">
      <w:pPr>
        <w:spacing w:before="0" w:after="0"/>
        <w:ind w:left="440" w:firstLine="716"/>
        <w:jc w:val="left"/>
      </w:pPr>
      <w:r>
        <w:rPr>
          <w:rFonts w:ascii="Arial" w:hAnsi="Arial" w:eastAsia="Arial" w:cs="Arial"/>
          <w:sz w:val="22"/>
          <w:szCs w:val="22"/>
        </w:rPr>
        <w:t>5.4  Before installation, inspect the valve bore and sealing faces; if any contaminants are present, wipe clean with a soft cloth.</w:t>
      </w:r>
    </w:p>
    <w:p w14:paraId="42CD19C7">
      <w:pPr>
        <w:spacing w:before="0" w:after="0"/>
        <w:ind w:left="440" w:firstLine="716"/>
        <w:jc w:val="left"/>
      </w:pPr>
      <w:r>
        <w:rPr>
          <w:rFonts w:ascii="Arial" w:hAnsi="Arial" w:eastAsia="Arial" w:cs="Arial"/>
          <w:sz w:val="22"/>
          <w:szCs w:val="22"/>
        </w:rPr>
        <w:t>5.5  Before and after installation, the pipeline must be blown clean to ensure no residual matter remains in the pipeline.</w:t>
      </w:r>
    </w:p>
    <w:p w14:paraId="06E1328D">
      <w:pPr>
        <w:spacing w:before="0" w:after="0"/>
        <w:ind w:left="440" w:firstLine="716"/>
        <w:jc w:val="left"/>
      </w:pPr>
      <w:r>
        <w:rPr>
          <w:rFonts w:ascii="Arial" w:hAnsi="Arial" w:eastAsia="Arial" w:cs="Arial"/>
          <w:sz w:val="22"/>
          <w:szCs w:val="22"/>
        </w:rPr>
        <w:t>5.6  During pipeline pressure testing, an extended-handle handwheel must be used. Ensure the valve is fully closed (observe the pointer position). Clockwise rotation closes the valve; counter-clockwise rotation opens.</w:t>
      </w:r>
    </w:p>
    <w:p w14:paraId="7EB6998D">
      <w:pPr>
        <w:spacing w:before="0" w:after="0"/>
        <w:ind w:left="440" w:firstLine="716"/>
        <w:jc w:val="left"/>
      </w:pPr>
      <w:r>
        <w:rPr>
          <w:rFonts w:ascii="Arial" w:hAnsi="Arial" w:eastAsia="Arial" w:cs="Arial"/>
          <w:sz w:val="22"/>
          <w:szCs w:val="22"/>
        </w:rPr>
        <w:t>5.7  Valves shall be periodically drained and blown clean to prevent coking (fouling).</w:t>
      </w:r>
    </w:p>
    <w:p w14:paraId="254EEFF0">
      <w:pPr>
        <w:spacing w:before="0" w:after="0"/>
        <w:ind w:left="440" w:firstLine="716"/>
        <w:jc w:val="left"/>
      </w:pPr>
      <w:r>
        <w:rPr>
          <w:rFonts w:ascii="Arial" w:hAnsi="Arial" w:eastAsia="Arial" w:cs="Arial"/>
          <w:sz w:val="22"/>
          <w:szCs w:val="22"/>
        </w:rPr>
        <w:t>5.8  Valves shall be regularly lubricated (every 10 to 15 days) on sealing pairs and stem moving parts, to reduce operating torque and protect sealing pairs.</w:t>
      </w:r>
    </w:p>
    <w:p w14:paraId="170AB3BF">
      <w:pPr>
        <w:spacing w:before="200" w:after="0"/>
        <w:ind w:left="440"/>
        <w:jc w:val="left"/>
      </w:pPr>
      <w:r>
        <w:rPr>
          <w:rFonts w:ascii="Arial" w:hAnsi="Arial" w:eastAsia="Arial" w:cs="Arial"/>
          <w:b/>
          <w:bCs/>
          <w:sz w:val="22"/>
          <w:szCs w:val="22"/>
        </w:rPr>
        <w:t>6.  Possible Faults, Cause</w:t>
      </w:r>
      <w:bookmarkStart w:id="0" w:name="_GoBack"/>
      <w:bookmarkEnd w:id="0"/>
      <w:r>
        <w:rPr>
          <w:rFonts w:ascii="Arial" w:hAnsi="Arial" w:eastAsia="Arial" w:cs="Arial"/>
          <w:b/>
          <w:bCs/>
          <w:sz w:val="22"/>
          <w:szCs w:val="22"/>
        </w:rPr>
        <w:t>s, and Resolutions  --  See Table 1</w:t>
      </w:r>
    </w:p>
    <w:p w14:paraId="66849B80">
      <w:pPr>
        <w:spacing w:before="0" w:after="120"/>
        <w:jc w:val="center"/>
      </w:pPr>
      <w:r>
        <w:rPr>
          <w:rFonts w:ascii="Arial" w:hAnsi="Arial" w:eastAsia="Arial" w:cs="Arial"/>
          <w:sz w:val="22"/>
          <w:szCs w:val="22"/>
        </w:rPr>
        <w:t>Table 1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0"/>
        <w:gridCol w:w="4090"/>
        <w:gridCol w:w="2895"/>
      </w:tblGrid>
      <w:tr w14:paraId="6BFF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62DD26A">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9B08871">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4E3658B8">
            <w:pPr>
              <w:jc w:val="center"/>
            </w:pPr>
            <w:r>
              <w:rPr>
                <w:rFonts w:ascii="Arial" w:hAnsi="Arial" w:eastAsia="Arial" w:cs="Arial"/>
                <w:b/>
                <w:bCs/>
                <w:sz w:val="20"/>
                <w:szCs w:val="20"/>
              </w:rPr>
              <w:t>Resolution</w:t>
            </w:r>
          </w:p>
        </w:tc>
      </w:tr>
      <w:tr w14:paraId="76FA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6B4BDDC">
            <w:pPr>
              <w:jc w:val="left"/>
            </w:pPr>
            <w:r>
              <w:rPr>
                <w:rFonts w:ascii="Arial" w:hAnsi="Arial" w:eastAsia="Arial" w:cs="Arial"/>
                <w:sz w:val="20"/>
                <w:szCs w:val="20"/>
              </w:rPr>
              <w:t>Packing leakage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737B35A">
            <w:pPr>
              <w:jc w:val="left"/>
            </w:pPr>
            <w:r>
              <w:rPr>
                <w:rFonts w:ascii="Arial" w:hAnsi="Arial" w:eastAsia="Arial" w:cs="Arial"/>
                <w:sz w:val="20"/>
                <w:szCs w:val="20"/>
              </w:rPr>
              <w:t>1. Packing has failed due to prolonged use or improper storage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B7F470">
            <w:pPr>
              <w:jc w:val="left"/>
            </w:pPr>
            <w:r>
              <w:rPr>
                <w:rFonts w:ascii="Arial" w:hAnsi="Arial" w:eastAsia="Arial" w:cs="Arial"/>
                <w:sz w:val="20"/>
                <w:szCs w:val="20"/>
              </w:rPr>
              <w:t>1. Replace packing</w:t>
            </w:r>
          </w:p>
        </w:tc>
      </w:tr>
      <w:tr w14:paraId="39B7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9EA7DEA">
            <w:pPr>
              <w:jc w:val="left"/>
            </w:pPr>
            <w:r>
              <w:rPr>
                <w:rFonts w:ascii="Arial" w:hAnsi="Arial" w:eastAsia="Arial" w:cs="Arial"/>
                <w:sz w:val="20"/>
                <w:szCs w:val="20"/>
              </w:rPr>
              <w:t>Leakage between sealing faces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8D42D45">
            <w:pPr>
              <w:spacing w:before="0" w:after="0"/>
              <w:jc w:val="left"/>
            </w:pPr>
            <w:r>
              <w:rPr>
                <w:rFonts w:ascii="Arial" w:hAnsi="Arial" w:eastAsia="Arial" w:cs="Arial"/>
                <w:sz w:val="20"/>
                <w:szCs w:val="20"/>
              </w:rPr>
              <w:t>1. Sealing face contaminated with foreign matter</w:t>
            </w:r>
          </w:p>
          <w:p w14:paraId="4F1F1324">
            <w:pPr>
              <w:spacing w:before="0" w:after="0"/>
              <w:jc w:val="left"/>
            </w:pPr>
            <w:r>
              <w:rPr>
                <w:rFonts w:ascii="Arial" w:hAnsi="Arial" w:eastAsia="Arial" w:cs="Arial"/>
                <w:sz w:val="20"/>
                <w:szCs w:val="20"/>
              </w:rPr>
              <w:t>2. Sealing face damaged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AF0664">
            <w:pPr>
              <w:spacing w:before="0" w:after="0"/>
              <w:jc w:val="left"/>
            </w:pPr>
            <w:r>
              <w:rPr>
                <w:rFonts w:ascii="Arial" w:hAnsi="Arial" w:eastAsia="Arial" w:cs="Arial"/>
                <w:sz w:val="20"/>
                <w:szCs w:val="20"/>
              </w:rPr>
              <w:t>1. Clean foreign matter from sealing faces</w:t>
            </w:r>
          </w:p>
          <w:p w14:paraId="4AA5BC20">
            <w:pPr>
              <w:spacing w:before="0" w:after="0"/>
              <w:jc w:val="left"/>
            </w:pPr>
            <w:r>
              <w:rPr>
                <w:rFonts w:ascii="Arial" w:hAnsi="Arial" w:eastAsia="Arial" w:cs="Arial"/>
                <w:sz w:val="20"/>
                <w:szCs w:val="20"/>
              </w:rPr>
              <w:t>2. Re-machine / repair or replace</w:t>
            </w:r>
          </w:p>
        </w:tc>
      </w:tr>
      <w:tr w14:paraId="5875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7E9D9DA">
            <w:pPr>
              <w:jc w:val="left"/>
            </w:pPr>
            <w:r>
              <w:rPr>
                <w:rFonts w:ascii="Arial" w:hAnsi="Arial" w:eastAsia="Arial" w:cs="Arial"/>
                <w:sz w:val="20"/>
                <w:szCs w:val="20"/>
              </w:rPr>
              <w:t>Leakage at body-bonnet joint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DC3556">
            <w:pPr>
              <w:spacing w:before="0" w:after="0"/>
              <w:jc w:val="left"/>
            </w:pPr>
            <w:r>
              <w:rPr>
                <w:rFonts w:ascii="Arial" w:hAnsi="Arial" w:eastAsia="Arial" w:cs="Arial"/>
                <w:sz w:val="20"/>
                <w:szCs w:val="20"/>
              </w:rPr>
              <w:t>1. Connection bolts not tightened evenly</w:t>
            </w:r>
          </w:p>
          <w:p w14:paraId="7E9637BF">
            <w:pPr>
              <w:spacing w:before="0" w:after="0"/>
              <w:jc w:val="left"/>
            </w:pPr>
            <w:r>
              <w:rPr>
                <w:rFonts w:ascii="Arial" w:hAnsi="Arial" w:eastAsia="Arial" w:cs="Arial"/>
                <w:sz w:val="20"/>
                <w:szCs w:val="20"/>
              </w:rPr>
              <w:t>2. Flange sealing face damaged</w:t>
            </w:r>
          </w:p>
          <w:p w14:paraId="1E7C85F7">
            <w:pPr>
              <w:spacing w:before="0" w:after="0"/>
              <w:jc w:val="left"/>
            </w:pPr>
            <w:r>
              <w:rPr>
                <w:rFonts w:ascii="Arial" w:hAnsi="Arial" w:eastAsia="Arial" w:cs="Arial"/>
                <w:sz w:val="20"/>
                <w:szCs w:val="20"/>
              </w:rPr>
              <w:t>3. Gasket fractured or failed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8B66E6">
            <w:pPr>
              <w:spacing w:before="0" w:after="0"/>
              <w:jc w:val="left"/>
            </w:pPr>
            <w:r>
              <w:rPr>
                <w:rFonts w:ascii="Arial" w:hAnsi="Arial" w:eastAsia="Arial" w:cs="Arial"/>
                <w:sz w:val="20"/>
                <w:szCs w:val="20"/>
              </w:rPr>
              <w:t>1. Tighten evenly</w:t>
            </w:r>
          </w:p>
          <w:p w14:paraId="10E5F557">
            <w:pPr>
              <w:spacing w:before="0" w:after="0"/>
              <w:jc w:val="left"/>
            </w:pPr>
            <w:r>
              <w:rPr>
                <w:rFonts w:ascii="Arial" w:hAnsi="Arial" w:eastAsia="Arial" w:cs="Arial"/>
                <w:sz w:val="20"/>
                <w:szCs w:val="20"/>
              </w:rPr>
              <w:t>2. Re-machine</w:t>
            </w:r>
          </w:p>
          <w:p w14:paraId="64D8238F">
            <w:pPr>
              <w:spacing w:before="0" w:after="0"/>
              <w:jc w:val="left"/>
            </w:pPr>
            <w:r>
              <w:rPr>
                <w:rFonts w:ascii="Arial" w:hAnsi="Arial" w:eastAsia="Arial" w:cs="Arial"/>
                <w:sz w:val="20"/>
                <w:szCs w:val="20"/>
              </w:rPr>
              <w:t>3. Replace with new gasket</w:t>
            </w:r>
          </w:p>
        </w:tc>
      </w:tr>
    </w:tbl>
    <w:p w14:paraId="68D518A6">
      <w:pPr>
        <w:spacing w:before="200" w:after="0"/>
        <w:jc w:val="left"/>
      </w:pPr>
      <w:r>
        <w:rPr>
          <w:rFonts w:ascii="Arial" w:hAnsi="Arial" w:eastAsia="Arial" w:cs="Arial"/>
          <w:b/>
          <w:bCs/>
          <w:sz w:val="22"/>
          <w:szCs w:val="22"/>
        </w:rPr>
        <w:t>7.  Warranty</w:t>
      </w:r>
    </w:p>
    <w:p w14:paraId="12389BFE">
      <w:pPr>
        <w:spacing w:before="0" w:after="0"/>
        <w:ind w:left="440" w:firstLine="716"/>
        <w:jc w:val="left"/>
      </w:pPr>
      <w:r>
        <w:rPr>
          <w:rFonts w:ascii="Arial" w:hAnsi="Arial" w:eastAsia="Arial" w:cs="Arial"/>
          <w:sz w:val="22"/>
          <w:szCs w:val="22"/>
        </w:rPr>
        <w:t>The manufacturer provides warranty for valves placed into service for up to one (1) year from start of use, but no longer than eighteen (18) months from date of shipment. During the warranty period, any failures attributable to product quality will be repaired or have parts replaced at no charge.</w:t>
      </w:r>
    </w:p>
    <w:p w14:paraId="57FB5D3F">
      <w:pPr>
        <w:spacing w:before="200" w:after="0"/>
        <w:jc w:val="left"/>
      </w:pPr>
      <w:r>
        <w:rPr>
          <w:rFonts w:ascii="Arial" w:hAnsi="Arial" w:eastAsia="Arial" w:cs="Arial"/>
          <w:b/>
          <w:bCs/>
          <w:sz w:val="22"/>
          <w:szCs w:val="22"/>
        </w:rPr>
        <w:t>8.  Ordering Information</w:t>
      </w:r>
    </w:p>
    <w:p w14:paraId="4B7A49DD">
      <w:pPr>
        <w:spacing w:before="0" w:after="0"/>
        <w:ind w:left="440" w:firstLine="716"/>
        <w:jc w:val="left"/>
      </w:pPr>
      <w:r>
        <w:rPr>
          <w:rFonts w:ascii="Arial" w:hAnsi="Arial" w:eastAsia="Arial" w:cs="Arial"/>
          <w:sz w:val="22"/>
          <w:szCs w:val="22"/>
        </w:rPr>
        <w:t>When ordering, please specify:</w:t>
      </w:r>
    </w:p>
    <w:p w14:paraId="624716B3">
      <w:pPr>
        <w:spacing w:before="0" w:after="0"/>
        <w:ind w:left="440" w:firstLine="720"/>
        <w:jc w:val="left"/>
      </w:pPr>
      <w:r>
        <w:rPr>
          <w:rFonts w:ascii="Arial" w:hAnsi="Arial" w:eastAsia="Arial" w:cs="Arial"/>
          <w:sz w:val="22"/>
          <w:szCs w:val="22"/>
        </w:rPr>
        <w:t>• Nominal pressure (MPa)</w:t>
      </w:r>
    </w:p>
    <w:p w14:paraId="04422BBF">
      <w:pPr>
        <w:spacing w:before="0" w:after="0"/>
        <w:ind w:left="440" w:firstLine="720"/>
        <w:jc w:val="left"/>
      </w:pPr>
      <w:r>
        <w:rPr>
          <w:rFonts w:ascii="Arial" w:hAnsi="Arial" w:eastAsia="Arial" w:cs="Arial"/>
          <w:sz w:val="22"/>
          <w:szCs w:val="22"/>
        </w:rPr>
        <w:t>• Nominal size (mm)</w:t>
      </w:r>
    </w:p>
    <w:p w14:paraId="42852B13">
      <w:pPr>
        <w:spacing w:before="0" w:after="0"/>
        <w:ind w:left="440" w:firstLine="720"/>
        <w:jc w:val="left"/>
      </w:pPr>
      <w:r>
        <w:rPr>
          <w:rFonts w:ascii="Arial" w:hAnsi="Arial" w:eastAsia="Arial" w:cs="Arial"/>
          <w:sz w:val="22"/>
          <w:szCs w:val="22"/>
        </w:rPr>
        <w:t>• Face-to-face length standard</w:t>
      </w:r>
    </w:p>
    <w:p w14:paraId="2EF6ED3A">
      <w:pPr>
        <w:spacing w:before="0" w:after="0"/>
        <w:ind w:left="440" w:firstLine="720"/>
        <w:jc w:val="left"/>
      </w:pPr>
      <w:r>
        <w:rPr>
          <w:rFonts w:ascii="Arial" w:hAnsi="Arial" w:eastAsia="Arial" w:cs="Arial"/>
          <w:sz w:val="22"/>
          <w:szCs w:val="22"/>
        </w:rPr>
        <w:t>• Flange connection dimension standard</w:t>
      </w:r>
    </w:p>
    <w:p w14:paraId="2C9D2CAC">
      <w:pPr>
        <w:spacing w:before="0" w:after="0"/>
        <w:ind w:left="440" w:firstLine="720"/>
        <w:jc w:val="left"/>
      </w:pPr>
      <w:r>
        <w:rPr>
          <w:rFonts w:ascii="Arial" w:hAnsi="Arial" w:eastAsia="Arial" w:cs="Arial"/>
          <w:sz w:val="22"/>
          <w:szCs w:val="22"/>
        </w:rPr>
        <w:t>• Whether or not an oil injection device is required</w:t>
      </w:r>
    </w:p>
    <w:p w14:paraId="26770110">
      <w:pPr>
        <w:spacing w:before="0" w:after="0"/>
        <w:ind w:left="440" w:firstLine="720"/>
        <w:jc w:val="left"/>
        <w:rPr>
          <w:rFonts w:ascii="Arial" w:hAnsi="Arial" w:eastAsia="Arial" w:cs="Arial"/>
          <w:sz w:val="22"/>
          <w:szCs w:val="22"/>
        </w:rPr>
      </w:pPr>
      <w:r>
        <w:rPr>
          <w:rFonts w:ascii="Arial" w:hAnsi="Arial" w:eastAsia="Arial" w:cs="Arial"/>
          <w:sz w:val="22"/>
          <w:szCs w:val="22"/>
        </w:rPr>
        <w:t>• Whether or not an extended-handle handwheel assembly is required, and its dimensions</w:t>
      </w:r>
    </w:p>
    <w:p w14:paraId="3353A39A">
      <w:pPr>
        <w:spacing w:before="0" w:after="0"/>
        <w:jc w:val="center"/>
      </w:pPr>
    </w:p>
    <w:p w14:paraId="27DEB7C5">
      <w:pPr>
        <w:spacing w:before="0" w:after="0"/>
        <w:jc w:val="center"/>
      </w:pPr>
    </w:p>
    <w:p w14:paraId="69AA0349">
      <w:pPr>
        <w:spacing w:before="0" w:after="0"/>
        <w:jc w:val="center"/>
        <w:rPr>
          <w:rFonts w:ascii="Arial" w:hAnsi="Arial" w:eastAsia="Arial" w:cs="Arial"/>
          <w:sz w:val="22"/>
          <w:szCs w:val="22"/>
        </w:rPr>
      </w:pPr>
      <w:r>
        <w:drawing>
          <wp:inline distT="0" distB="0" distL="114300" distR="114300">
            <wp:extent cx="5732145" cy="4344670"/>
            <wp:effectExtent l="0" t="0" r="1905" b="1778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6"/>
                    <a:stretch>
                      <a:fillRect/>
                    </a:stretch>
                  </pic:blipFill>
                  <pic:spPr>
                    <a:xfrm>
                      <a:off x="0" y="0"/>
                      <a:ext cx="5732145" cy="4344670"/>
                    </a:xfrm>
                    <a:prstGeom prst="rect">
                      <a:avLst/>
                    </a:prstGeom>
                    <a:noFill/>
                    <a:ln>
                      <a:noFill/>
                    </a:ln>
                  </pic:spPr>
                </pic:pic>
              </a:graphicData>
            </a:graphic>
          </wp:inline>
        </w:drawing>
      </w:r>
    </w:p>
    <w:p w14:paraId="3E68BC2A">
      <w:pPr>
        <w:spacing w:before="200" w:after="120"/>
        <w:jc w:val="center"/>
        <w:rPr>
          <w:rFonts w:ascii="Arial" w:hAnsi="Arial" w:eastAsia="Arial" w:cs="Arial"/>
          <w:i/>
          <w:iCs/>
          <w:sz w:val="22"/>
          <w:szCs w:val="22"/>
        </w:rPr>
      </w:pPr>
      <w:r>
        <w:rPr>
          <w:rFonts w:ascii="Arial" w:hAnsi="Arial" w:eastAsia="Arial" w:cs="Arial"/>
          <w:i/>
          <w:iCs/>
          <w:sz w:val="22"/>
          <w:szCs w:val="22"/>
        </w:rPr>
        <w:t>Figure 1  Manual Flanged Gas Gate Valve</w:t>
      </w:r>
    </w:p>
    <w:p w14:paraId="2CFB91D9">
      <w:pPr>
        <w:spacing w:before="200" w:after="120"/>
        <w:jc w:val="center"/>
        <w:rPr>
          <w:rFonts w:ascii="Arial" w:hAnsi="Arial" w:eastAsia="Arial" w:cs="Arial"/>
          <w:i/>
          <w:iCs/>
          <w:sz w:val="22"/>
          <w:szCs w:val="22"/>
        </w:rPr>
      </w:pPr>
    </w:p>
    <w:p w14:paraId="4AC92B4C">
      <w:pPr>
        <w:spacing w:before="200" w:after="120"/>
        <w:jc w:val="center"/>
        <w:rPr>
          <w:rFonts w:ascii="Arial" w:hAnsi="Arial" w:eastAsia="Arial" w:cs="Arial"/>
          <w:i/>
          <w:iCs/>
          <w:sz w:val="22"/>
          <w:szCs w:val="22"/>
        </w:rPr>
      </w:pPr>
    </w:p>
    <w:p w14:paraId="75AF5B30">
      <w:pPr>
        <w:spacing w:before="200" w:after="120"/>
        <w:jc w:val="center"/>
        <w:rPr>
          <w:rFonts w:ascii="Arial" w:hAnsi="Arial" w:eastAsia="Arial" w:cs="Arial"/>
          <w:i/>
          <w:iCs/>
          <w:sz w:val="22"/>
          <w:szCs w:val="22"/>
        </w:rPr>
      </w:pPr>
    </w:p>
    <w:p w14:paraId="66128BD3">
      <w:pPr>
        <w:spacing w:after="60" w:line="288" w:lineRule="auto"/>
        <w:ind w:right="-37" w:rightChars="-17"/>
        <w:jc w:val="right"/>
        <w:rPr>
          <w:rFonts w:hint="eastAsia" w:eastAsia="宋体"/>
          <w:lang w:eastAsia="zh-CN"/>
        </w:rPr>
      </w:pPr>
    </w:p>
    <w:p w14:paraId="0546129B">
      <w:pPr>
        <w:spacing w:after="60" w:line="288" w:lineRule="auto"/>
        <w:ind w:right="-37" w:rightChars="-17"/>
        <w:jc w:val="right"/>
        <w:rPr>
          <w:rFonts w:hint="eastAsia" w:eastAsia="宋体"/>
          <w:lang w:eastAsia="zh-CN"/>
        </w:rPr>
      </w:pPr>
    </w:p>
    <w:p w14:paraId="2650BD5F">
      <w:pPr>
        <w:spacing w:after="60" w:line="288" w:lineRule="auto"/>
        <w:ind w:right="-37" w:rightChars="-17"/>
        <w:jc w:val="right"/>
        <w:rPr>
          <w:rFonts w:hint="eastAsia" w:eastAsia="宋体"/>
          <w:lang w:eastAsia="zh-CN"/>
        </w:rPr>
      </w:pPr>
    </w:p>
    <w:p w14:paraId="3DBDC92E">
      <w:pPr>
        <w:spacing w:after="60" w:line="288" w:lineRule="auto"/>
        <w:ind w:right="-37" w:rightChars="-17"/>
        <w:jc w:val="both"/>
        <w:rPr>
          <w:rFonts w:hint="eastAsia" w:eastAsia="宋体"/>
          <w:lang w:eastAsia="zh-CN"/>
        </w:rPr>
      </w:pPr>
    </w:p>
    <w:p w14:paraId="1627C5D3">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7"/>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50BBB6BF">
      <w:pPr>
        <w:spacing w:before="200" w:after="120"/>
        <w:jc w:val="center"/>
        <w:rPr>
          <w:rFonts w:ascii="Arial" w:hAnsi="Arial" w:eastAsia="Arial" w:cs="Arial"/>
          <w:i/>
          <w:iCs/>
          <w:sz w:val="22"/>
          <w:szCs w:val="22"/>
        </w:rPr>
      </w:pPr>
    </w:p>
    <w:sectPr>
      <w:headerReference r:id="rId3" w:type="default"/>
      <w:footerReference r:id="rId4"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C0EB0">
    <w:pPr>
      <w:pStyle w:val="9"/>
      <w:rPr>
        <w:rFonts w:hint="default" w:eastAsia="宋体"/>
        <w:sz w:val="15"/>
        <w:szCs w:val="20"/>
        <w:lang w:val="en-US" w:eastAsia="zh-CN"/>
      </w:rPr>
    </w:pPr>
    <w:r>
      <w:rPr>
        <w:rFonts w:hint="eastAsia" w:eastAsia="宋体"/>
        <w:sz w:val="15"/>
        <w:szCs w:val="20"/>
        <w:lang w:val="en-US" w:eastAsia="zh-CN"/>
      </w:rPr>
      <w:t>WEIZIDOM GROUP VLAVE MANUAL</w:t>
    </w:r>
  </w:p>
  <w:p w14:paraId="50F4086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44225">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6F2918">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F6F2918">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2BF92419">
    <w:pPr>
      <w:spacing w:after="40"/>
      <w:jc w:val="center"/>
      <w:rPr>
        <w:rFonts w:hint="default" w:asciiTheme="minorAscii" w:hAnsiTheme="minorAscii"/>
      </w:rPr>
    </w:pPr>
    <w:r>
      <w:rPr>
        <w:rFonts w:hint="default" w:asciiTheme="minorAscii" w:hAnsiTheme="minorAscii"/>
        <w:sz w:val="18"/>
        <w:szCs w:val="20"/>
        <w:lang w:val="en-US" w:eastAsia="zh-CN"/>
      </w:rPr>
      <w:t>Product Manual</w:t>
    </w:r>
  </w:p>
  <w:p w14:paraId="3C8AA487">
    <w:pPr>
      <w:pStyle w:val="10"/>
    </w:pPr>
  </w:p>
  <w:p w14:paraId="1244AAFA">
    <w:pPr>
      <w:pStyle w:val="10"/>
    </w:pPr>
  </w:p>
  <w:p w14:paraId="5AA30365">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01094326"/>
    <w:rsid w:val="45544DBE"/>
    <w:rsid w:val="765835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qFormat/>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579</Words>
  <Characters>3070</Characters>
  <TotalTime>0</TotalTime>
  <ScaleCrop>false</ScaleCrop>
  <LinksUpToDate>false</LinksUpToDate>
  <CharactersWithSpaces>3618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2026-05-11T07:56:00Z</dcterms:created>
  <dc:creator>Un-named</dc:creator>
  <cp:lastModifiedBy>Azzzzhao</cp:lastModifiedBy>
  <dcterms:modified xsi:type="dcterms:W3CDTF">2026-05-14T09:12:09Z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FD91C5ED304244F99EFFF53BC4237ADC_12</vt:lpwstr>
  </property>
</Properties>
</file>