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E5BD3">
      <w:pPr>
        <w:spacing w:before="0" w:after="120"/>
        <w:jc w:val="center"/>
      </w:pPr>
      <w:r>
        <w:rPr>
          <w:rFonts w:ascii="Arial" w:hAnsi="Arial" w:eastAsia="Arial" w:cs="Arial"/>
          <w:b/>
          <w:bCs/>
          <w:color w:val="1F497D"/>
          <w:sz w:val="28"/>
          <w:szCs w:val="28"/>
        </w:rPr>
        <w:t>Triple Offset Metal-Seated Butterfly Valve Manual</w:t>
      </w:r>
    </w:p>
    <w:p w14:paraId="3FC1DCC3">
      <w:pPr>
        <w:spacing w:before="0" w:after="200"/>
        <w:ind w:firstLine="716"/>
        <w:jc w:val="left"/>
      </w:pPr>
      <w:r>
        <w:rPr>
          <w:rFonts w:ascii="Arial" w:hAnsi="Arial" w:eastAsia="Arial" w:cs="Arial"/>
          <w:sz w:val="22"/>
          <w:szCs w:val="22"/>
        </w:rPr>
        <w:t>The triple offset metal-seated butterfly valve series is our company's flagship product, widely applied in metallurgy, light industry, power, petrochemical, and city gas / water pipeline sectors.</w:t>
      </w:r>
    </w:p>
    <w:p w14:paraId="3C83928C">
      <w:pPr>
        <w:spacing w:before="0" w:after="0"/>
        <w:jc w:val="left"/>
      </w:pPr>
      <w:r>
        <w:rPr>
          <w:rFonts w:ascii="Arial" w:hAnsi="Arial" w:eastAsia="Arial" w:cs="Arial"/>
          <w:b/>
          <w:bCs/>
          <w:sz w:val="22"/>
          <w:szCs w:val="22"/>
        </w:rPr>
        <w:t>1.  Features and Applications</w:t>
      </w:r>
    </w:p>
    <w:p w14:paraId="1B522503">
      <w:pPr>
        <w:spacing w:before="0" w:after="0"/>
        <w:ind w:left="440" w:firstLine="716"/>
        <w:jc w:val="left"/>
      </w:pPr>
      <w:r>
        <w:rPr>
          <w:rFonts w:ascii="Arial" w:hAnsi="Arial" w:eastAsia="Arial" w:cs="Arial"/>
          <w:sz w:val="22"/>
          <w:szCs w:val="22"/>
        </w:rPr>
        <w:t>This valve employs a triple offset metal sealing structure, providing excellent sealing performance at both room temperature and high temperature. Compared to gate valves or globe valves of the same规格, it offers smaller volume, lighter weight, flexible opening/closing, and longer service life. It is widely suitable for metallurgy, light industry, power, petrochemical, and city gas/water pipeline sectors. Safe and reliable in operation, it represents the ideal choice for modern enterprises.</w:t>
      </w:r>
    </w:p>
    <w:p w14:paraId="643145C8">
      <w:pPr>
        <w:spacing w:before="200" w:after="0"/>
        <w:jc w:val="left"/>
      </w:pPr>
      <w:r>
        <w:rPr>
          <w:rFonts w:ascii="Arial" w:hAnsi="Arial" w:eastAsia="Arial" w:cs="Arial"/>
          <w:b/>
          <w:bCs/>
          <w:sz w:val="22"/>
          <w:szCs w:val="22"/>
        </w:rPr>
        <w:t>2.  Standards</w:t>
      </w:r>
    </w:p>
    <w:p w14:paraId="79ADD95E">
      <w:pPr>
        <w:spacing w:before="0" w:after="0"/>
        <w:ind w:left="440" w:firstLine="716"/>
        <w:jc w:val="left"/>
      </w:pPr>
      <w:r>
        <w:rPr>
          <w:rFonts w:ascii="Arial" w:hAnsi="Arial" w:eastAsia="Arial" w:cs="Arial"/>
          <w:sz w:val="22"/>
          <w:szCs w:val="22"/>
        </w:rPr>
        <w:t>D343H-16C/25  D373H-16C/25  --  conform to the following standards:</w:t>
      </w:r>
    </w:p>
    <w:p w14:paraId="7B9020E6">
      <w:pPr>
        <w:spacing w:before="0" w:after="0"/>
        <w:ind w:left="880" w:firstLine="716"/>
        <w:jc w:val="left"/>
      </w:pPr>
      <w:r>
        <w:rPr>
          <w:rFonts w:ascii="Arial" w:hAnsi="Arial" w:eastAsia="Arial" w:cs="Arial"/>
          <w:sz w:val="22"/>
          <w:szCs w:val="22"/>
        </w:rPr>
        <w:t>1.  Design, manufacture, and inspection per JB/T8527-1997.</w:t>
      </w:r>
    </w:p>
    <w:p w14:paraId="48984F6F">
      <w:pPr>
        <w:spacing w:before="0" w:after="0"/>
        <w:ind w:left="880" w:firstLine="716"/>
        <w:jc w:val="left"/>
      </w:pPr>
      <w:r>
        <w:rPr>
          <w:rFonts w:ascii="Arial" w:hAnsi="Arial" w:eastAsia="Arial" w:cs="Arial"/>
          <w:sz w:val="22"/>
          <w:szCs w:val="22"/>
        </w:rPr>
        <w:t>2.  Flange connection dimensions per GB9113.3-88 and GB9113.4-88.</w:t>
      </w:r>
    </w:p>
    <w:p w14:paraId="30CAE369">
      <w:pPr>
        <w:spacing w:before="0" w:after="0"/>
        <w:ind w:left="880" w:firstLine="716"/>
        <w:jc w:val="left"/>
      </w:pPr>
      <w:r>
        <w:rPr>
          <w:rFonts w:ascii="Arial" w:hAnsi="Arial" w:eastAsia="Arial" w:cs="Arial"/>
          <w:sz w:val="22"/>
          <w:szCs w:val="22"/>
        </w:rPr>
        <w:t>3.  Face-to-face length per GB12221-89.</w:t>
      </w:r>
    </w:p>
    <w:p w14:paraId="04BA6CA0">
      <w:pPr>
        <w:spacing w:before="0" w:after="0"/>
        <w:ind w:left="880" w:firstLine="716"/>
        <w:jc w:val="left"/>
      </w:pPr>
      <w:r>
        <w:rPr>
          <w:rFonts w:ascii="Arial" w:hAnsi="Arial" w:eastAsia="Arial" w:cs="Arial"/>
          <w:sz w:val="22"/>
          <w:szCs w:val="22"/>
        </w:rPr>
        <w:t>4.  Valve pressure testing per GB/T13927-92.</w:t>
      </w:r>
    </w:p>
    <w:p w14:paraId="639CE47C">
      <w:pPr>
        <w:spacing w:before="160" w:after="0"/>
        <w:ind w:left="440" w:firstLine="716"/>
        <w:jc w:val="left"/>
      </w:pPr>
      <w:r>
        <w:rPr>
          <w:rFonts w:ascii="Arial" w:hAnsi="Arial" w:eastAsia="Arial" w:cs="Arial"/>
          <w:sz w:val="22"/>
          <w:szCs w:val="22"/>
        </w:rPr>
        <w:t>D343H-150Lb  D373H-150Lb  --  conform to the following standards:</w:t>
      </w:r>
    </w:p>
    <w:p w14:paraId="6A555DEB">
      <w:pPr>
        <w:spacing w:before="0" w:after="0"/>
        <w:ind w:left="880" w:firstLine="716"/>
        <w:jc w:val="left"/>
      </w:pPr>
      <w:r>
        <w:rPr>
          <w:rFonts w:ascii="Arial" w:hAnsi="Arial" w:eastAsia="Arial" w:cs="Arial"/>
          <w:sz w:val="22"/>
          <w:szCs w:val="22"/>
        </w:rPr>
        <w:t>1.  Design, manufacture, and inspection per API 609.</w:t>
      </w:r>
    </w:p>
    <w:p w14:paraId="44DA70BB">
      <w:pPr>
        <w:spacing w:before="0" w:after="0"/>
        <w:ind w:left="880" w:firstLine="716"/>
        <w:jc w:val="left"/>
      </w:pPr>
      <w:r>
        <w:rPr>
          <w:rFonts w:ascii="Arial" w:hAnsi="Arial" w:eastAsia="Arial" w:cs="Arial"/>
          <w:sz w:val="22"/>
          <w:szCs w:val="22"/>
        </w:rPr>
        <w:t>2.  Flange connection dimensions per API 609.</w:t>
      </w:r>
    </w:p>
    <w:p w14:paraId="33101FDB">
      <w:pPr>
        <w:spacing w:before="0" w:after="0"/>
        <w:ind w:left="880" w:firstLine="716"/>
        <w:jc w:val="left"/>
      </w:pPr>
      <w:r>
        <w:rPr>
          <w:rFonts w:ascii="Arial" w:hAnsi="Arial" w:eastAsia="Arial" w:cs="Arial"/>
          <w:sz w:val="22"/>
          <w:szCs w:val="22"/>
        </w:rPr>
        <w:t>3.  Face-to-face length per API 609.</w:t>
      </w:r>
    </w:p>
    <w:p w14:paraId="4AA51BE9">
      <w:pPr>
        <w:spacing w:before="0" w:after="0"/>
        <w:ind w:left="880" w:firstLine="716"/>
        <w:jc w:val="left"/>
      </w:pPr>
      <w:r>
        <w:rPr>
          <w:rFonts w:ascii="Arial" w:hAnsi="Arial" w:eastAsia="Arial" w:cs="Arial"/>
          <w:sz w:val="22"/>
          <w:szCs w:val="22"/>
        </w:rPr>
        <w:t>4.  Valve pressure testing per API 598.</w:t>
      </w:r>
    </w:p>
    <w:p w14:paraId="40FDB13F">
      <w:pPr>
        <w:spacing w:before="200" w:after="0"/>
        <w:jc w:val="left"/>
      </w:pPr>
      <w:r>
        <w:rPr>
          <w:rFonts w:ascii="Arial" w:hAnsi="Arial" w:eastAsia="Arial" w:cs="Arial"/>
          <w:b/>
          <w:bCs/>
          <w:sz w:val="22"/>
          <w:szCs w:val="22"/>
        </w:rPr>
        <w:t>3.  Main Performance Specifications  --  See Table 1</w:t>
      </w:r>
    </w:p>
    <w:p w14:paraId="6625802A">
      <w:pPr>
        <w:spacing w:before="0" w:after="120"/>
        <w:jc w:val="center"/>
      </w:pPr>
      <w:r>
        <w:rPr>
          <w:rFonts w:ascii="Arial" w:hAnsi="Arial" w:eastAsia="Arial" w:cs="Arial"/>
          <w:sz w:val="22"/>
          <w:szCs w:val="22"/>
        </w:rPr>
        <w:t>Table 1  Main Performance Specifications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26"/>
        <w:gridCol w:w="808"/>
        <w:gridCol w:w="852"/>
        <w:gridCol w:w="808"/>
        <w:gridCol w:w="1875"/>
        <w:gridCol w:w="676"/>
      </w:tblGrid>
      <w:tr w14:paraId="05ED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vMerge w:val="restart"/>
            <w:tcBorders>
              <w:top w:val="single" w:color="999999" w:sz="0" w:space="0"/>
              <w:left w:val="single" w:color="999999" w:sz="0" w:space="0"/>
              <w:right w:val="single" w:color="999999" w:sz="0" w:space="0"/>
            </w:tcBorders>
            <w:shd w:val="clear" w:color="auto" w:fill="D9E1F2"/>
            <w:tcMar>
              <w:top w:w="80" w:type="dxa"/>
              <w:left w:w="120" w:type="dxa"/>
              <w:bottom w:w="80" w:type="dxa"/>
              <w:right w:w="120" w:type="dxa"/>
            </w:tcMar>
            <w:vAlign w:val="center"/>
          </w:tcPr>
          <w:p w14:paraId="37371A84">
            <w:pPr>
              <w:jc w:val="left"/>
              <w:rPr>
                <w:rFonts w:ascii="Arial" w:hAnsi="Arial" w:eastAsia="Arial" w:cs="Arial"/>
                <w:sz w:val="20"/>
                <w:szCs w:val="20"/>
              </w:rPr>
            </w:pPr>
            <w:r>
              <w:rPr>
                <w:rFonts w:ascii="Arial" w:hAnsi="Arial" w:eastAsia="Arial" w:cs="Arial"/>
                <w:sz w:val="20"/>
                <w:szCs w:val="20"/>
              </w:rPr>
              <w:t>Nominal Pressure PN</w:t>
            </w:r>
          </w:p>
        </w:tc>
        <w:tc>
          <w:tcPr>
            <w:tcW w:w="2626" w:type="dxa"/>
            <w:gridSpan w:val="3"/>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9D290AA">
            <w:pPr>
              <w:jc w:val="center"/>
            </w:pPr>
            <w:r>
              <w:rPr>
                <w:rFonts w:hint="eastAsia" w:ascii="Arial" w:hAnsi="Arial" w:eastAsia="Arial" w:cs="Arial"/>
                <w:b/>
                <w:bCs/>
                <w:sz w:val="20"/>
                <w:szCs w:val="20"/>
              </w:rPr>
              <w:t>GB1048</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D32CA35">
            <w:pPr>
              <w:jc w:val="center"/>
            </w:pPr>
            <w:r>
              <w:rPr>
                <w:rFonts w:ascii="Arial" w:hAnsi="Arial" w:eastAsia="Arial" w:cs="Arial"/>
                <w:b/>
                <w:bCs/>
                <w:sz w:val="20"/>
                <w:szCs w:val="20"/>
              </w:rPr>
              <w:t>ANSI 150Lb</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A8D187C">
            <w:pPr>
              <w:jc w:val="center"/>
            </w:pPr>
            <w:r>
              <w:rPr>
                <w:rFonts w:ascii="Arial" w:hAnsi="Arial" w:eastAsia="Arial" w:cs="Arial"/>
                <w:b/>
                <w:bCs/>
                <w:sz w:val="20"/>
                <w:szCs w:val="20"/>
              </w:rPr>
              <w:t>Unit</w:t>
            </w:r>
          </w:p>
        </w:tc>
      </w:tr>
      <w:tr w14:paraId="7913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vMerge w:val="continue"/>
            <w:tcBorders>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9A45666">
            <w:pPr>
              <w:jc w:val="left"/>
              <w:rPr>
                <w:rFonts w:ascii="Arial" w:hAnsi="Arial" w:eastAsia="Arial" w:cs="Arial"/>
                <w:sz w:val="20"/>
                <w:szCs w:val="20"/>
              </w:rPr>
            </w:pP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3CCF07C">
            <w:pPr>
              <w:jc w:val="center"/>
            </w:pPr>
            <w:r>
              <w:rPr>
                <w:rFonts w:ascii="Arial" w:hAnsi="Arial" w:eastAsia="Arial" w:cs="Arial"/>
                <w:sz w:val="20"/>
                <w:szCs w:val="20"/>
              </w:rPr>
              <w:t>1.0</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F3180D">
            <w:pPr>
              <w:jc w:val="center"/>
            </w:pPr>
            <w:r>
              <w:rPr>
                <w:rFonts w:ascii="Arial" w:hAnsi="Arial" w:eastAsia="Arial" w:cs="Arial"/>
                <w:sz w:val="20"/>
                <w:szCs w:val="20"/>
              </w:rPr>
              <w:t>1.6</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411C39">
            <w:pPr>
              <w:jc w:val="center"/>
            </w:pPr>
            <w:r>
              <w:rPr>
                <w:rFonts w:ascii="Arial" w:hAnsi="Arial" w:eastAsia="Arial" w:cs="Arial"/>
                <w:sz w:val="20"/>
                <w:szCs w:val="20"/>
              </w:rPr>
              <w:t>2.5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AEA6866">
            <w:pPr>
              <w:jc w:val="center"/>
            </w:pPr>
            <w:r>
              <w:rPr>
                <w:rFonts w:ascii="Arial" w:hAnsi="Arial" w:eastAsia="Arial" w:cs="Arial"/>
                <w:sz w:val="20"/>
                <w:szCs w:val="20"/>
              </w:rPr>
              <w:t>2.0</w:t>
            </w:r>
          </w:p>
        </w:tc>
        <w:tc>
          <w:tcPr>
            <w:vMerge w:val="restart"/>
            <w:tcBorders>
              <w:top w:val="single" w:color="999999" w:sz="0" w:space="0"/>
              <w:left w:val="single" w:color="999999" w:sz="0" w:space="0"/>
              <w:right w:val="single" w:color="999999" w:sz="0" w:space="0"/>
            </w:tcBorders>
            <w:shd w:val="clear" w:color="auto" w:fill="FFFFFF"/>
            <w:tcMar>
              <w:top w:w="80" w:type="dxa"/>
              <w:left w:w="120" w:type="dxa"/>
              <w:bottom w:w="80" w:type="dxa"/>
              <w:right w:w="120" w:type="dxa"/>
            </w:tcMar>
            <w:vAlign w:val="center"/>
          </w:tcPr>
          <w:p w14:paraId="351D88FF">
            <w:pPr>
              <w:jc w:val="center"/>
            </w:pPr>
            <w:r>
              <w:rPr>
                <w:rFonts w:ascii="Arial" w:hAnsi="Arial" w:eastAsia="Arial" w:cs="Arial"/>
                <w:sz w:val="20"/>
                <w:szCs w:val="20"/>
              </w:rPr>
              <w:t>MPa</w:t>
            </w:r>
          </w:p>
        </w:tc>
      </w:tr>
      <w:tr w14:paraId="1131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4BD7BF6">
            <w:pPr>
              <w:jc w:val="left"/>
              <w:rPr>
                <w:rFonts w:ascii="Arial" w:hAnsi="Arial" w:eastAsia="Arial" w:cs="Arial"/>
                <w:sz w:val="20"/>
                <w:szCs w:val="20"/>
              </w:rPr>
            </w:pPr>
            <w:r>
              <w:rPr>
                <w:rFonts w:ascii="Arial" w:hAnsi="Arial" w:eastAsia="Arial" w:cs="Arial"/>
                <w:sz w:val="20"/>
                <w:szCs w:val="20"/>
              </w:rPr>
              <w:t>Strength and tightness test pressure PS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CC8DAB">
            <w:pPr>
              <w:jc w:val="center"/>
            </w:pPr>
            <w:r>
              <w:rPr>
                <w:rFonts w:ascii="Arial" w:hAnsi="Arial" w:eastAsia="Arial" w:cs="Arial"/>
                <w:sz w:val="20"/>
                <w:szCs w:val="20"/>
              </w:rPr>
              <w:t>1.5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9242A90">
            <w:pPr>
              <w:jc w:val="center"/>
            </w:pPr>
            <w:r>
              <w:rPr>
                <w:rFonts w:ascii="Arial" w:hAnsi="Arial" w:eastAsia="Arial" w:cs="Arial"/>
                <w:sz w:val="20"/>
                <w:szCs w:val="20"/>
              </w:rPr>
              <w:t>2.4</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B3389A">
            <w:pPr>
              <w:jc w:val="center"/>
            </w:pPr>
            <w:r>
              <w:rPr>
                <w:rFonts w:ascii="Arial" w:hAnsi="Arial" w:eastAsia="Arial" w:cs="Arial"/>
                <w:sz w:val="20"/>
                <w:szCs w:val="20"/>
              </w:rPr>
              <w:t>3.8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74BDC1">
            <w:pPr>
              <w:jc w:val="center"/>
            </w:pPr>
            <w:r>
              <w:rPr>
                <w:rFonts w:ascii="Arial" w:hAnsi="Arial" w:eastAsia="Arial" w:cs="Arial"/>
                <w:sz w:val="20"/>
                <w:szCs w:val="20"/>
              </w:rPr>
              <w:t>3.0</w:t>
            </w:r>
          </w:p>
        </w:tc>
        <w:tc>
          <w:tcPr>
            <w:vMerge w:val="continue"/>
            <w:tcBorders>
              <w:left w:val="single" w:color="999999" w:sz="0" w:space="0"/>
              <w:right w:val="single" w:color="999999" w:sz="0" w:space="0"/>
            </w:tcBorders>
            <w:shd w:val="clear" w:color="auto" w:fill="FFFFFF"/>
            <w:tcMar>
              <w:top w:w="80" w:type="dxa"/>
              <w:left w:w="120" w:type="dxa"/>
              <w:bottom w:w="80" w:type="dxa"/>
              <w:right w:w="120" w:type="dxa"/>
            </w:tcMar>
            <w:vAlign w:val="center"/>
          </w:tcPr>
          <w:p w14:paraId="0E82F830">
            <w:pPr>
              <w:jc w:val="center"/>
            </w:pPr>
          </w:p>
        </w:tc>
      </w:tr>
      <w:tr w14:paraId="133E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61A63C">
            <w:pPr>
              <w:jc w:val="left"/>
              <w:rPr>
                <w:rFonts w:ascii="Arial" w:hAnsi="Arial" w:eastAsia="Arial" w:cs="Arial"/>
                <w:sz w:val="22"/>
                <w:szCs w:val="22"/>
              </w:rPr>
            </w:pPr>
            <w:r>
              <w:rPr>
                <w:rFonts w:ascii="Arial" w:hAnsi="Arial" w:eastAsia="Arial" w:cs="Arial"/>
                <w:sz w:val="20"/>
                <w:szCs w:val="20"/>
              </w:rPr>
              <w:t>High-Pressure Strength / Sealing Test Pressure PS</w:t>
            </w:r>
          </w:p>
        </w:tc>
        <w:tc>
          <w:tcPr>
            <w:tcW w:w="86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02E09D">
            <w:pPr>
              <w:jc w:val="center"/>
              <w:rPr>
                <w:rFonts w:ascii="Arial" w:hAnsi="Arial" w:eastAsia="Arial" w:cs="Arial"/>
                <w:sz w:val="20"/>
                <w:szCs w:val="20"/>
              </w:rPr>
            </w:pPr>
            <w:r>
              <w:rPr>
                <w:rFonts w:hint="eastAsia" w:ascii="Arial" w:hAnsi="Arial" w:eastAsia="Arial" w:cs="Arial"/>
                <w:sz w:val="20"/>
                <w:szCs w:val="20"/>
                <w:lang w:val="en-US" w:eastAsia="zh-CN"/>
              </w:rPr>
              <w:t>1.1</w:t>
            </w:r>
          </w:p>
        </w:tc>
        <w:tc>
          <w:tcPr>
            <w:tcW w:w="89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718FE5C">
            <w:pPr>
              <w:jc w:val="center"/>
              <w:rPr>
                <w:rFonts w:ascii="Arial" w:hAnsi="Arial" w:eastAsia="Arial" w:cs="Arial"/>
                <w:sz w:val="20"/>
                <w:szCs w:val="20"/>
              </w:rPr>
            </w:pPr>
            <w:r>
              <w:rPr>
                <w:rFonts w:hint="eastAsia" w:ascii="Arial" w:hAnsi="Arial" w:eastAsia="Arial" w:cs="Arial"/>
                <w:sz w:val="20"/>
                <w:szCs w:val="20"/>
                <w:lang w:val="en-US" w:eastAsia="zh-CN"/>
              </w:rPr>
              <w:t>1.76</w:t>
            </w:r>
          </w:p>
        </w:tc>
        <w:tc>
          <w:tcPr>
            <w:tcW w:w="86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2A3EB62">
            <w:pPr>
              <w:jc w:val="center"/>
              <w:rPr>
                <w:rFonts w:ascii="Arial" w:hAnsi="Arial" w:eastAsia="Arial" w:cs="Arial"/>
                <w:sz w:val="20"/>
                <w:szCs w:val="20"/>
              </w:rPr>
            </w:pPr>
            <w:r>
              <w:rPr>
                <w:rFonts w:hint="eastAsia" w:ascii="Arial" w:hAnsi="Arial" w:eastAsia="Arial" w:cs="Arial"/>
                <w:sz w:val="20"/>
                <w:szCs w:val="20"/>
                <w:lang w:val="en-US" w:eastAsia="zh-CN"/>
              </w:rPr>
              <w:t>2.8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2A34F23">
            <w:pPr>
              <w:jc w:val="center"/>
              <w:rPr>
                <w:rFonts w:hint="default" w:eastAsia="宋体"/>
                <w:lang w:val="en-US" w:eastAsia="zh-CN"/>
              </w:rPr>
            </w:pPr>
            <w:r>
              <w:rPr>
                <w:rFonts w:hint="eastAsia" w:ascii="Arial" w:hAnsi="Arial" w:eastAsia="Arial" w:cs="Arial"/>
                <w:sz w:val="20"/>
                <w:szCs w:val="20"/>
                <w:lang w:val="en-US" w:eastAsia="zh-CN"/>
              </w:rPr>
              <w:t>2.2</w:t>
            </w:r>
          </w:p>
        </w:tc>
        <w:tc>
          <w:tcPr>
            <w:vMerge w:val="continue"/>
            <w:tcBorders>
              <w:left w:val="single" w:color="999999" w:sz="0" w:space="0"/>
              <w:right w:val="single" w:color="999999" w:sz="0" w:space="0"/>
            </w:tcBorders>
            <w:shd w:val="clear" w:color="auto" w:fill="FFFFFF"/>
            <w:tcMar>
              <w:top w:w="80" w:type="dxa"/>
              <w:left w:w="120" w:type="dxa"/>
              <w:bottom w:w="80" w:type="dxa"/>
              <w:right w:w="120" w:type="dxa"/>
            </w:tcMar>
            <w:vAlign w:val="center"/>
          </w:tcPr>
          <w:p w14:paraId="7705757B">
            <w:pPr>
              <w:jc w:val="center"/>
            </w:pPr>
          </w:p>
        </w:tc>
      </w:tr>
      <w:tr w14:paraId="7679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D496CA">
            <w:pPr>
              <w:jc w:val="left"/>
            </w:pPr>
            <w:r>
              <w:rPr>
                <w:rFonts w:ascii="Arial" w:hAnsi="Arial" w:eastAsia="Arial" w:cs="Arial"/>
                <w:sz w:val="20"/>
                <w:szCs w:val="20"/>
              </w:rPr>
              <w:t>Low-Pressure Gas Sealing Test Pressure PS</w:t>
            </w:r>
          </w:p>
        </w:tc>
        <w:tc>
          <w:tcPr>
            <w:tcW w:w="4710" w:type="dxa"/>
            <w:gridSpan w:val="4"/>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20B0283">
            <w:pPr>
              <w:jc w:val="center"/>
            </w:pPr>
            <w:r>
              <w:rPr>
                <w:rFonts w:ascii="Arial" w:hAnsi="Arial" w:eastAsia="Arial" w:cs="Arial"/>
                <w:sz w:val="20"/>
                <w:szCs w:val="20"/>
              </w:rPr>
              <w:t>0.6</w:t>
            </w:r>
          </w:p>
        </w:tc>
        <w:tc>
          <w:tcPr>
            <w:vMerge w:val="continue"/>
            <w:tcBorders>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AA4417">
            <w:pPr>
              <w:jc w:val="left"/>
            </w:pPr>
          </w:p>
        </w:tc>
      </w:tr>
      <w:tr w14:paraId="56BC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499FE5">
            <w:pPr>
              <w:jc w:val="left"/>
            </w:pPr>
            <w:r>
              <w:rPr>
                <w:rFonts w:ascii="Arial" w:hAnsi="Arial" w:eastAsia="Arial" w:cs="Arial"/>
                <w:sz w:val="20"/>
                <w:szCs w:val="20"/>
              </w:rPr>
              <w:t>Body Material</w:t>
            </w:r>
          </w:p>
        </w:tc>
        <w:tc>
          <w:tcPr>
            <w:tcW w:w="5390" w:type="dxa"/>
            <w:gridSpan w:val="5"/>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FD6CDFC">
            <w:pPr>
              <w:jc w:val="center"/>
            </w:pPr>
            <w:r>
              <w:rPr>
                <w:rFonts w:ascii="Arial" w:hAnsi="Arial" w:eastAsia="Arial" w:cs="Arial"/>
                <w:sz w:val="20"/>
                <w:szCs w:val="20"/>
              </w:rPr>
              <w:t>WCB</w:t>
            </w:r>
          </w:p>
        </w:tc>
      </w:tr>
      <w:tr w14:paraId="2BAC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2240DF2">
            <w:pPr>
              <w:jc w:val="left"/>
            </w:pPr>
            <w:r>
              <w:rPr>
                <w:rFonts w:ascii="Arial" w:hAnsi="Arial" w:eastAsia="Arial" w:cs="Arial"/>
                <w:sz w:val="20"/>
                <w:szCs w:val="20"/>
              </w:rPr>
              <w:t>Applicable Temperature</w:t>
            </w:r>
          </w:p>
        </w:tc>
        <w:tc>
          <w:tcPr>
            <w:tcW w:w="5390" w:type="dxa"/>
            <w:gridSpan w:val="5"/>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2C9CA92">
            <w:pPr>
              <w:jc w:val="center"/>
              <w:rPr>
                <w:rFonts w:hint="eastAsia" w:eastAsia="宋体"/>
                <w:lang w:val="en-US" w:eastAsia="zh-CN"/>
              </w:rPr>
            </w:pPr>
            <w:r>
              <w:rPr>
                <w:rFonts w:ascii="Arial" w:hAnsi="Arial" w:eastAsia="Arial" w:cs="Arial"/>
                <w:sz w:val="20"/>
                <w:szCs w:val="20"/>
              </w:rPr>
              <w:t>-29~425</w:t>
            </w:r>
            <w:r>
              <w:rPr>
                <w:rFonts w:hint="eastAsia" w:ascii="Arial" w:hAnsi="Arial" w:eastAsia="宋体" w:cs="Arial"/>
                <w:sz w:val="20"/>
                <w:szCs w:val="20"/>
                <w:lang w:val="en-US" w:eastAsia="zh-CN"/>
              </w:rPr>
              <w:t>°</w:t>
            </w:r>
          </w:p>
        </w:tc>
      </w:tr>
      <w:tr w14:paraId="7A4B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46D26B3">
            <w:pPr>
              <w:jc w:val="left"/>
              <w:rPr>
                <w:rFonts w:ascii="Arial" w:hAnsi="Arial" w:eastAsia="Arial" w:cs="Arial"/>
                <w:sz w:val="22"/>
                <w:szCs w:val="22"/>
              </w:rPr>
            </w:pPr>
            <w:r>
              <w:rPr>
                <w:rFonts w:ascii="Arial" w:hAnsi="Arial" w:eastAsia="Arial" w:cs="Arial"/>
                <w:sz w:val="20"/>
                <w:szCs w:val="20"/>
              </w:rPr>
              <w:t>Applicable Media</w:t>
            </w:r>
          </w:p>
        </w:tc>
        <w:tc>
          <w:tcPr>
            <w:tcW w:w="5390" w:type="dxa"/>
            <w:gridSpan w:val="5"/>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76E053">
            <w:pPr>
              <w:jc w:val="center"/>
              <w:rPr>
                <w:rFonts w:ascii="Arial" w:hAnsi="Arial" w:eastAsia="Arial" w:cs="Arial"/>
                <w:sz w:val="22"/>
                <w:szCs w:val="22"/>
              </w:rPr>
            </w:pPr>
            <w:r>
              <w:rPr>
                <w:rFonts w:ascii="Arial" w:hAnsi="Arial" w:eastAsia="Arial" w:cs="Arial"/>
                <w:sz w:val="20"/>
                <w:szCs w:val="20"/>
              </w:rPr>
              <w:t>Water / Steam / Oil</w:t>
            </w:r>
          </w:p>
        </w:tc>
      </w:tr>
    </w:tbl>
    <w:p w14:paraId="35986604">
      <w:pPr>
        <w:spacing w:before="200" w:after="0"/>
        <w:jc w:val="left"/>
      </w:pPr>
      <w:r>
        <w:rPr>
          <w:rFonts w:ascii="Arial" w:hAnsi="Arial" w:eastAsia="Arial" w:cs="Arial"/>
          <w:b/>
          <w:bCs/>
          <w:sz w:val="22"/>
          <w:szCs w:val="22"/>
        </w:rPr>
        <w:t>4.  Main Component Materials</w:t>
      </w:r>
    </w:p>
    <w:p w14:paraId="68388274">
      <w:pPr>
        <w:spacing w:before="0" w:after="120"/>
        <w:jc w:val="center"/>
      </w:pPr>
      <w:r>
        <w:rPr>
          <w:rFonts w:ascii="Arial" w:hAnsi="Arial" w:eastAsia="Arial" w:cs="Arial"/>
          <w:sz w:val="22"/>
          <w:szCs w:val="22"/>
        </w:rPr>
        <w:t>Table 2  D343H-16C/25  D373H-16C/25  (GB Standard Models)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3"/>
        <w:gridCol w:w="2374"/>
        <w:gridCol w:w="859"/>
        <w:gridCol w:w="836"/>
        <w:gridCol w:w="1973"/>
      </w:tblGrid>
      <w:tr w14:paraId="52BB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E44EA52">
            <w:pPr>
              <w:jc w:val="center"/>
            </w:pPr>
            <w:r>
              <w:rPr>
                <w:rFonts w:ascii="Arial" w:hAnsi="Arial" w:eastAsia="Arial" w:cs="Arial"/>
                <w:b/>
                <w:bCs/>
                <w:sz w:val="20"/>
                <w:szCs w:val="20"/>
              </w:rPr>
              <w:t>Model</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EA3058D">
            <w:pPr>
              <w:jc w:val="center"/>
            </w:pPr>
            <w:r>
              <w:rPr>
                <w:rFonts w:ascii="Arial" w:hAnsi="Arial" w:eastAsia="Arial" w:cs="Arial"/>
                <w:b/>
                <w:bCs/>
                <w:sz w:val="20"/>
                <w:szCs w:val="20"/>
              </w:rPr>
              <w:t>Body / Disc / Bracket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5E5DA10">
            <w:pPr>
              <w:jc w:val="center"/>
            </w:pPr>
            <w:r>
              <w:rPr>
                <w:rFonts w:ascii="Arial" w:hAnsi="Arial" w:eastAsia="Arial" w:cs="Arial"/>
                <w:b/>
                <w:bCs/>
                <w:sz w:val="20"/>
                <w:szCs w:val="20"/>
              </w:rPr>
              <w:t>Gland</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E227E7A">
            <w:pPr>
              <w:jc w:val="center"/>
            </w:pPr>
            <w:r>
              <w:rPr>
                <w:rFonts w:ascii="Arial" w:hAnsi="Arial" w:eastAsia="Arial" w:cs="Arial"/>
                <w:b/>
                <w:bCs/>
                <w:sz w:val="20"/>
                <w:szCs w:val="20"/>
              </w:rPr>
              <w:t>Stem</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E7B0B68">
            <w:pPr>
              <w:jc w:val="center"/>
            </w:pPr>
            <w:r>
              <w:rPr>
                <w:rFonts w:ascii="Arial" w:hAnsi="Arial" w:eastAsia="Arial" w:cs="Arial"/>
                <w:b/>
                <w:bCs/>
                <w:sz w:val="20"/>
                <w:szCs w:val="20"/>
              </w:rPr>
              <w:t>Sealing Ring</w:t>
            </w:r>
          </w:p>
        </w:tc>
      </w:tr>
      <w:tr w14:paraId="7EB9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1BA0E7E">
            <w:pPr>
              <w:jc w:val="center"/>
            </w:pPr>
            <w:r>
              <w:rPr>
                <w:rFonts w:ascii="Arial" w:hAnsi="Arial" w:eastAsia="Arial" w:cs="Arial"/>
                <w:sz w:val="20"/>
                <w:szCs w:val="20"/>
              </w:rPr>
              <w:t>D343H-16C/25
D373H-16C/25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FDCCEBD">
            <w:pPr>
              <w:jc w:val="center"/>
            </w:pPr>
            <w:r>
              <w:rPr>
                <w:rFonts w:ascii="Arial" w:hAnsi="Arial" w:eastAsia="Arial" w:cs="Arial"/>
                <w:sz w:val="20"/>
                <w:szCs w:val="20"/>
              </w:rPr>
              <w:t>WCB</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47A0C04">
            <w:pPr>
              <w:jc w:val="center"/>
            </w:pPr>
            <w:r>
              <w:rPr>
                <w:rFonts w:ascii="Arial" w:hAnsi="Arial" w:eastAsia="Arial" w:cs="Arial"/>
                <w:sz w:val="20"/>
                <w:szCs w:val="20"/>
              </w:rPr>
              <w:t>25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E8BFBA">
            <w:pPr>
              <w:jc w:val="center"/>
            </w:pPr>
            <w:r>
              <w:rPr>
                <w:rFonts w:ascii="Arial" w:hAnsi="Arial" w:eastAsia="Arial" w:cs="Arial"/>
                <w:sz w:val="20"/>
                <w:szCs w:val="20"/>
              </w:rPr>
              <w:t>2Cr13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42DBA23">
            <w:pPr>
              <w:jc w:val="center"/>
            </w:pPr>
            <w:r>
              <w:rPr>
                <w:rFonts w:ascii="Arial" w:hAnsi="Arial" w:eastAsia="Arial" w:cs="Arial"/>
                <w:sz w:val="20"/>
                <w:szCs w:val="20"/>
              </w:rPr>
              <w:t>1Cr18Ni9 / XB450</w:t>
            </w:r>
          </w:p>
        </w:tc>
      </w:tr>
    </w:tbl>
    <w:p w14:paraId="69BD69F7">
      <w:pPr>
        <w:spacing w:before="120" w:after="120"/>
        <w:jc w:val="center"/>
      </w:pPr>
      <w:r>
        <w:rPr>
          <w:rFonts w:ascii="Arial" w:hAnsi="Arial" w:eastAsia="Arial" w:cs="Arial"/>
          <w:sz w:val="22"/>
          <w:szCs w:val="22"/>
        </w:rPr>
        <w:t>Table 3  D343H-150Lb  D373H-150Lb  (ANSI Standard Models)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29"/>
        <w:gridCol w:w="2544"/>
        <w:gridCol w:w="921"/>
        <w:gridCol w:w="895"/>
        <w:gridCol w:w="1656"/>
      </w:tblGrid>
      <w:tr w14:paraId="06CB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B72D203">
            <w:pPr>
              <w:jc w:val="center"/>
            </w:pPr>
            <w:r>
              <w:rPr>
                <w:rFonts w:ascii="Arial" w:hAnsi="Arial" w:eastAsia="Arial" w:cs="Arial"/>
                <w:b/>
                <w:bCs/>
                <w:sz w:val="20"/>
                <w:szCs w:val="20"/>
              </w:rPr>
              <w:t>Model</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4C18A581">
            <w:pPr>
              <w:jc w:val="center"/>
            </w:pPr>
            <w:r>
              <w:rPr>
                <w:rFonts w:ascii="Arial" w:hAnsi="Arial" w:eastAsia="Arial" w:cs="Arial"/>
                <w:b/>
                <w:bCs/>
                <w:sz w:val="20"/>
                <w:szCs w:val="20"/>
              </w:rPr>
              <w:t>Body / Disc / Bracket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20A0744">
            <w:pPr>
              <w:jc w:val="center"/>
            </w:pPr>
            <w:r>
              <w:rPr>
                <w:rFonts w:ascii="Arial" w:hAnsi="Arial" w:eastAsia="Arial" w:cs="Arial"/>
                <w:b/>
                <w:bCs/>
                <w:sz w:val="20"/>
                <w:szCs w:val="20"/>
              </w:rPr>
              <w:t>Gland</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12A3896">
            <w:pPr>
              <w:jc w:val="center"/>
            </w:pPr>
            <w:r>
              <w:rPr>
                <w:rFonts w:ascii="Arial" w:hAnsi="Arial" w:eastAsia="Arial" w:cs="Arial"/>
                <w:b/>
                <w:bCs/>
                <w:sz w:val="20"/>
                <w:szCs w:val="20"/>
              </w:rPr>
              <w:t>Stem</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D0B9371">
            <w:pPr>
              <w:jc w:val="center"/>
            </w:pPr>
            <w:r>
              <w:rPr>
                <w:rFonts w:ascii="Arial" w:hAnsi="Arial" w:eastAsia="Arial" w:cs="Arial"/>
                <w:b/>
                <w:bCs/>
                <w:sz w:val="20"/>
                <w:szCs w:val="20"/>
              </w:rPr>
              <w:t>Sealing Ring</w:t>
            </w:r>
          </w:p>
        </w:tc>
      </w:tr>
      <w:tr w14:paraId="7461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D900FF8">
            <w:pPr>
              <w:jc w:val="center"/>
            </w:pPr>
            <w:r>
              <w:rPr>
                <w:rFonts w:ascii="Arial" w:hAnsi="Arial" w:eastAsia="Arial" w:cs="Arial"/>
                <w:sz w:val="20"/>
                <w:szCs w:val="20"/>
              </w:rPr>
              <w:t>D343H-150Lb
D373H-150Lb</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CF0323">
            <w:pPr>
              <w:jc w:val="center"/>
            </w:pPr>
            <w:r>
              <w:rPr>
                <w:rFonts w:ascii="Arial" w:hAnsi="Arial" w:eastAsia="Arial" w:cs="Arial"/>
                <w:sz w:val="20"/>
                <w:szCs w:val="20"/>
              </w:rPr>
              <w:t>WCB</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8C0C1F8">
            <w:pPr>
              <w:jc w:val="center"/>
            </w:pPr>
            <w:r>
              <w:rPr>
                <w:rFonts w:ascii="Arial" w:hAnsi="Arial" w:eastAsia="Arial" w:cs="Arial"/>
                <w:sz w:val="20"/>
                <w:szCs w:val="20"/>
              </w:rPr>
              <w:t>25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C9D5CB">
            <w:pPr>
              <w:jc w:val="center"/>
            </w:pPr>
            <w:r>
              <w:rPr>
                <w:rFonts w:ascii="Arial" w:hAnsi="Arial" w:eastAsia="Arial" w:cs="Arial"/>
                <w:sz w:val="20"/>
                <w:szCs w:val="20"/>
              </w:rPr>
              <w:t>2Cr13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C1FB2B8">
            <w:pPr>
              <w:jc w:val="center"/>
            </w:pPr>
            <w:r>
              <w:rPr>
                <w:rFonts w:ascii="Arial" w:hAnsi="Arial" w:eastAsia="Arial" w:cs="Arial"/>
                <w:sz w:val="20"/>
                <w:szCs w:val="20"/>
              </w:rPr>
              <w:t>304 / 316</w:t>
            </w:r>
          </w:p>
        </w:tc>
      </w:tr>
    </w:tbl>
    <w:p w14:paraId="2A713673">
      <w:pPr>
        <w:spacing w:before="200" w:after="0"/>
        <w:jc w:val="left"/>
      </w:pPr>
      <w:r>
        <w:rPr>
          <w:rFonts w:ascii="Arial" w:hAnsi="Arial" w:eastAsia="Arial" w:cs="Arial"/>
          <w:b/>
          <w:bCs/>
          <w:sz w:val="22"/>
          <w:szCs w:val="22"/>
        </w:rPr>
        <w:t>5.  Triple Offset Metal Sealing Principle</w:t>
      </w:r>
    </w:p>
    <w:p w14:paraId="517929C6">
      <w:pPr>
        <w:spacing w:before="0" w:after="0"/>
        <w:ind w:left="440" w:firstLine="716"/>
        <w:jc w:val="left"/>
      </w:pPr>
      <w:r>
        <w:rPr>
          <w:rFonts w:ascii="Arial" w:hAnsi="Arial" w:eastAsia="Arial" w:cs="Arial"/>
          <w:sz w:val="22"/>
          <w:szCs w:val="22"/>
        </w:rPr>
        <w:t>Figure 1 shows the typical triple offset metal sealing pair structure of our company's butterfly valve.</w:t>
      </w:r>
    </w:p>
    <w:p w14:paraId="1C7B5EBD">
      <w:pPr>
        <w:spacing w:before="120" w:after="0"/>
        <w:ind w:left="440" w:firstLine="716"/>
        <w:jc w:val="left"/>
      </w:pPr>
      <w:r>
        <w:rPr>
          <w:rFonts w:ascii="Arial" w:hAnsi="Arial" w:eastAsia="Arial" w:cs="Arial"/>
          <w:sz w:val="22"/>
          <w:szCs w:val="22"/>
        </w:rPr>
        <w:t>(1)  Structural characteristics. The disc rotation center (i.e., valve shaft center) is offset from the disc sealing face by dimension A, and is offset from the body centerline by dimension B. The body sealing face centerline forms an angle beta with the seat centerline (i.e., body centerline).</w:t>
      </w:r>
    </w:p>
    <w:p w14:paraId="01A80821">
      <w:pPr>
        <w:spacing w:before="120" w:after="0"/>
        <w:ind w:left="440" w:firstLine="716"/>
        <w:jc w:val="left"/>
        <w:rPr>
          <w:rFonts w:ascii="Arial" w:hAnsi="Arial" w:eastAsia="Arial" w:cs="Arial"/>
          <w:sz w:val="22"/>
          <w:szCs w:val="22"/>
        </w:rPr>
      </w:pPr>
      <w:r>
        <w:rPr>
          <w:rFonts w:ascii="Arial" w:hAnsi="Arial" w:eastAsia="Arial" w:cs="Arial"/>
          <w:sz w:val="22"/>
          <w:szCs w:val="22"/>
        </w:rPr>
        <w:t>(2)  Sealing principle. By formi</w:t>
      </w:r>
      <w:bookmarkStart w:id="0" w:name="_GoBack"/>
      <w:bookmarkEnd w:id="0"/>
      <w:r>
        <w:rPr>
          <w:rFonts w:ascii="Arial" w:hAnsi="Arial" w:eastAsia="Arial" w:cs="Arial"/>
          <w:sz w:val="22"/>
          <w:szCs w:val="22"/>
        </w:rPr>
        <w:t>ng a beta angle between the seat centerline and the body centerline on the basis of the double offset sealing butterfly valve, the result of this offset is visible in the A-A cross-sectional view (Figure 2). When the triple offset sealing butterfly valve is in the fully open position, the disc sealing face completely separates from the seat sealing face, and a clearance Y identical to that of the double offset sealing butterfly valve is formed between the disc sealing face and the body sealing face. As visible in Figure 3, due to the formation of the beta angle position, on the large and small semicircles of the disc's rotation arc, the tangent of the disc sealing face's rotational trajectory forms angles theta-1 and theta-2 with the seat sealing face. This causes the disc sealing face to gradually disengage and engage with the seat sealing face during opening and closing, thereby completely eliminating mechanical wear and scoring of the sealing pair during disc operation. When this valve opens from 0 deg to 90 deg, the disc sealing face separates from the seat sealing face immediately upon opening. When closing from 90 deg to 0 deg, the disc sealing face only contacts and compresses the seat sealing face at the moment of closing. As visible in Figure 2, due to the formation of the theta-1 and theta-2 angles, the sealing contact pressure between the two sealing faces during closing can be generated by the externally applied drive torque on the valve shaft instead of by the elastic deformation of the conventional valve seat. This eliminates the reduction or loss of sealing contact pressure caused by aging, cold flow, or elastic failure of the conventional elastic seat material. Moreover, by adjusting the externally applied drive torque, the sealing contact pressure can be freely adjusted, thereby greatly improving the sealing performance and service life of the triple offset butterfly valve.</w:t>
      </w:r>
    </w:p>
    <w:p w14:paraId="53E64B40">
      <w:pPr>
        <w:spacing w:before="120" w:after="0"/>
        <w:jc w:val="center"/>
        <w:rPr>
          <w:rFonts w:ascii="Arial" w:hAnsi="Arial" w:eastAsia="Arial" w:cs="Arial"/>
          <w:sz w:val="22"/>
          <w:szCs w:val="22"/>
        </w:rPr>
      </w:pPr>
      <w:r>
        <w:drawing>
          <wp:inline distT="0" distB="0" distL="114300" distR="114300">
            <wp:extent cx="5730240" cy="3004185"/>
            <wp:effectExtent l="0" t="0" r="3810" b="571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5"/>
                    <a:stretch>
                      <a:fillRect/>
                    </a:stretch>
                  </pic:blipFill>
                  <pic:spPr>
                    <a:xfrm>
                      <a:off x="0" y="0"/>
                      <a:ext cx="5730240" cy="3004185"/>
                    </a:xfrm>
                    <a:prstGeom prst="rect">
                      <a:avLst/>
                    </a:prstGeom>
                    <a:noFill/>
                    <a:ln>
                      <a:noFill/>
                    </a:ln>
                  </pic:spPr>
                </pic:pic>
              </a:graphicData>
            </a:graphic>
          </wp:inline>
        </w:drawing>
      </w:r>
    </w:p>
    <w:p w14:paraId="4385BB1D">
      <w:pPr>
        <w:spacing w:before="0" w:after="120"/>
        <w:jc w:val="center"/>
      </w:pPr>
      <w:r>
        <w:rPr>
          <w:rFonts w:ascii="Arial" w:hAnsi="Arial" w:eastAsia="Arial" w:cs="Arial"/>
          <w:sz w:val="22"/>
          <w:szCs w:val="22"/>
        </w:rPr>
        <w:t>Figure 1  Triple Offset Metal-Seated Butterfly Valve</w:t>
      </w:r>
    </w:p>
    <w:p w14:paraId="0C5CEEA6">
      <w:pPr>
        <w:spacing w:before="0" w:after="120"/>
        <w:jc w:val="center"/>
      </w:pPr>
      <w:r>
        <w:drawing>
          <wp:inline distT="0" distB="0" distL="114300" distR="114300">
            <wp:extent cx="5729605" cy="3502660"/>
            <wp:effectExtent l="0" t="0" r="4445" b="254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6"/>
                    <a:stretch>
                      <a:fillRect/>
                    </a:stretch>
                  </pic:blipFill>
                  <pic:spPr>
                    <a:xfrm>
                      <a:off x="0" y="0"/>
                      <a:ext cx="5729605" cy="3502660"/>
                    </a:xfrm>
                    <a:prstGeom prst="rect">
                      <a:avLst/>
                    </a:prstGeom>
                    <a:noFill/>
                    <a:ln>
                      <a:noFill/>
                    </a:ln>
                  </pic:spPr>
                </pic:pic>
              </a:graphicData>
            </a:graphic>
          </wp:inline>
        </w:drawing>
      </w:r>
      <w:r>
        <w:rPr>
          <w:rFonts w:ascii="Arial" w:hAnsi="Arial" w:eastAsia="Arial" w:cs="Arial"/>
          <w:sz w:val="22"/>
          <w:szCs w:val="22"/>
        </w:rPr>
        <w:t>Figure 2  Triple Offset Butterfly Valve -- Open State</w:t>
      </w:r>
    </w:p>
    <w:p w14:paraId="3A3004C5">
      <w:pPr>
        <w:tabs>
          <w:tab w:val="left" w:pos="2653"/>
        </w:tabs>
        <w:spacing w:before="0" w:after="200"/>
        <w:jc w:val="center"/>
        <w:rPr>
          <w:rFonts w:hint="eastAsia" w:ascii="Arial" w:hAnsi="Arial" w:eastAsia="宋体" w:cs="Arial"/>
          <w:sz w:val="22"/>
          <w:szCs w:val="22"/>
          <w:lang w:eastAsia="zh-CN"/>
        </w:rPr>
      </w:pPr>
      <w:r>
        <w:drawing>
          <wp:inline distT="0" distB="0" distL="114300" distR="114300">
            <wp:extent cx="4772025" cy="4486275"/>
            <wp:effectExtent l="0" t="0" r="9525" b="952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7"/>
                    <a:stretch>
                      <a:fillRect/>
                    </a:stretch>
                  </pic:blipFill>
                  <pic:spPr>
                    <a:xfrm>
                      <a:off x="0" y="0"/>
                      <a:ext cx="4772025" cy="4486275"/>
                    </a:xfrm>
                    <a:prstGeom prst="rect">
                      <a:avLst/>
                    </a:prstGeom>
                    <a:noFill/>
                    <a:ln>
                      <a:noFill/>
                    </a:ln>
                  </pic:spPr>
                </pic:pic>
              </a:graphicData>
            </a:graphic>
          </wp:inline>
        </w:drawing>
      </w:r>
    </w:p>
    <w:p w14:paraId="4270D108">
      <w:pPr>
        <w:spacing w:before="0" w:after="200"/>
        <w:jc w:val="center"/>
      </w:pPr>
      <w:r>
        <w:rPr>
          <w:rFonts w:ascii="Arial" w:hAnsi="Arial" w:eastAsia="Arial" w:cs="Arial"/>
          <w:sz w:val="22"/>
          <w:szCs w:val="22"/>
        </w:rPr>
        <w:t>Figure 3  Triple Offset Butterfly Valve -- Closed State</w:t>
      </w:r>
    </w:p>
    <w:p w14:paraId="1CB2218C">
      <w:pPr>
        <w:spacing w:before="0" w:after="0"/>
        <w:jc w:val="left"/>
      </w:pPr>
      <w:r>
        <w:rPr>
          <w:rFonts w:ascii="Arial" w:hAnsi="Arial" w:eastAsia="Arial" w:cs="Arial"/>
          <w:b/>
          <w:bCs/>
          <w:sz w:val="22"/>
          <w:szCs w:val="22"/>
        </w:rPr>
        <w:t>6.  Main Outline Dimensions, Connection Dimensions, and Weights -- See Figure 4</w:t>
      </w:r>
    </w:p>
    <w:p w14:paraId="21761E7D">
      <w:pPr>
        <w:spacing w:before="0" w:after="120"/>
        <w:jc w:val="center"/>
        <w:rPr>
          <w:rFonts w:ascii="Arial" w:hAnsi="Arial" w:eastAsia="Arial" w:cs="Arial"/>
          <w:sz w:val="22"/>
          <w:szCs w:val="22"/>
        </w:rPr>
      </w:pPr>
      <w:r>
        <w:drawing>
          <wp:inline distT="0" distB="0" distL="114300" distR="114300">
            <wp:extent cx="5257800" cy="4362450"/>
            <wp:effectExtent l="0" t="0" r="0" b="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8"/>
                    <a:stretch>
                      <a:fillRect/>
                    </a:stretch>
                  </pic:blipFill>
                  <pic:spPr>
                    <a:xfrm>
                      <a:off x="0" y="0"/>
                      <a:ext cx="5257800" cy="4362450"/>
                    </a:xfrm>
                    <a:prstGeom prst="rect">
                      <a:avLst/>
                    </a:prstGeom>
                    <a:noFill/>
                    <a:ln>
                      <a:noFill/>
                    </a:ln>
                  </pic:spPr>
                </pic:pic>
              </a:graphicData>
            </a:graphic>
          </wp:inline>
        </w:drawing>
      </w:r>
    </w:p>
    <w:p w14:paraId="17F0BAD9">
      <w:pPr>
        <w:spacing w:before="0" w:after="120"/>
        <w:jc w:val="center"/>
      </w:pPr>
      <w:r>
        <w:rPr>
          <w:rFonts w:ascii="Arial" w:hAnsi="Arial" w:eastAsia="Arial" w:cs="Arial"/>
          <w:sz w:val="22"/>
          <w:szCs w:val="22"/>
        </w:rPr>
        <w:t>Figure 4  Flanged Triple Offset Metal-Seated Butterfly Valve Structural Outline Drawing</w:t>
      </w:r>
    </w:p>
    <w:p w14:paraId="09A42C98">
      <w:pPr>
        <w:spacing w:before="0" w:after="120"/>
        <w:jc w:val="center"/>
        <w:rPr>
          <w:rFonts w:ascii="Arial" w:hAnsi="Arial" w:eastAsia="Arial" w:cs="Arial"/>
          <w:sz w:val="22"/>
          <w:szCs w:val="22"/>
        </w:rPr>
      </w:pPr>
      <w:r>
        <w:drawing>
          <wp:inline distT="0" distB="0" distL="114300" distR="114300">
            <wp:extent cx="5067300" cy="4638675"/>
            <wp:effectExtent l="0" t="0" r="0" b="952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9"/>
                    <a:stretch>
                      <a:fillRect/>
                    </a:stretch>
                  </pic:blipFill>
                  <pic:spPr>
                    <a:xfrm>
                      <a:off x="0" y="0"/>
                      <a:ext cx="5067300" cy="4638675"/>
                    </a:xfrm>
                    <a:prstGeom prst="rect">
                      <a:avLst/>
                    </a:prstGeom>
                    <a:noFill/>
                    <a:ln>
                      <a:noFill/>
                    </a:ln>
                  </pic:spPr>
                </pic:pic>
              </a:graphicData>
            </a:graphic>
          </wp:inline>
        </w:drawing>
      </w:r>
    </w:p>
    <w:p w14:paraId="579F3AD9">
      <w:pPr>
        <w:spacing w:before="0" w:after="120"/>
        <w:jc w:val="center"/>
        <w:rPr>
          <w:rFonts w:ascii="Arial" w:hAnsi="Arial" w:eastAsia="Arial" w:cs="Arial"/>
          <w:sz w:val="22"/>
          <w:szCs w:val="22"/>
        </w:rPr>
      </w:pPr>
      <w:r>
        <w:rPr>
          <w:rFonts w:ascii="Arial" w:hAnsi="Arial" w:eastAsia="Arial" w:cs="Arial"/>
          <w:sz w:val="22"/>
          <w:szCs w:val="22"/>
        </w:rPr>
        <w:t>Figure 5  Wafer-Type Triple Offset Metal-Seated Butterfly Valve Structural Outline Drawing</w:t>
      </w:r>
    </w:p>
    <w:p w14:paraId="2895F7AB">
      <w:pPr>
        <w:spacing w:before="0" w:after="120"/>
        <w:jc w:val="center"/>
        <w:rPr>
          <w:rFonts w:ascii="Arial" w:hAnsi="Arial" w:eastAsia="Arial" w:cs="Arial"/>
          <w:sz w:val="22"/>
          <w:szCs w:val="22"/>
        </w:rPr>
      </w:pPr>
    </w:p>
    <w:p w14:paraId="73BBEEE8">
      <w:pPr>
        <w:spacing w:after="60" w:line="288" w:lineRule="auto"/>
        <w:ind w:right="-37" w:rightChars="-17"/>
        <w:jc w:val="right"/>
        <w:rPr>
          <w:rFonts w:hint="eastAsia" w:eastAsia="宋体"/>
          <w:lang w:eastAsia="zh-CN"/>
        </w:rPr>
      </w:pPr>
    </w:p>
    <w:p w14:paraId="671239E1">
      <w:pPr>
        <w:spacing w:after="60" w:line="288" w:lineRule="auto"/>
        <w:ind w:right="-37" w:rightChars="-17"/>
        <w:jc w:val="right"/>
        <w:rPr>
          <w:rFonts w:hint="eastAsia" w:eastAsia="宋体"/>
          <w:lang w:eastAsia="zh-CN"/>
        </w:rPr>
      </w:pPr>
    </w:p>
    <w:p w14:paraId="4AD4BB47">
      <w:pPr>
        <w:spacing w:after="60" w:line="288" w:lineRule="auto"/>
        <w:ind w:right="-37" w:rightChars="-17"/>
        <w:jc w:val="right"/>
        <w:rPr>
          <w:rFonts w:hint="eastAsia" w:eastAsia="宋体"/>
          <w:lang w:eastAsia="zh-CN"/>
        </w:rPr>
      </w:pPr>
    </w:p>
    <w:p w14:paraId="78DABB3B">
      <w:pPr>
        <w:spacing w:after="60" w:line="288" w:lineRule="auto"/>
        <w:ind w:right="-37" w:rightChars="-17"/>
        <w:jc w:val="right"/>
        <w:rPr>
          <w:rFonts w:hint="eastAsia" w:eastAsia="宋体"/>
          <w:lang w:eastAsia="zh-CN"/>
        </w:rPr>
      </w:pPr>
    </w:p>
    <w:p w14:paraId="32BE4F3D">
      <w:pPr>
        <w:spacing w:after="60" w:line="288" w:lineRule="auto"/>
        <w:ind w:right="-37" w:rightChars="-17"/>
        <w:jc w:val="both"/>
        <w:rPr>
          <w:rFonts w:hint="eastAsia" w:eastAsia="宋体"/>
          <w:lang w:eastAsia="zh-CN"/>
        </w:rPr>
      </w:pPr>
    </w:p>
    <w:p w14:paraId="47B4C2CB">
      <w:pPr>
        <w:spacing w:after="60" w:line="288" w:lineRule="auto"/>
        <w:ind w:right="-37" w:rightChars="-17"/>
        <w:jc w:val="right"/>
        <w:rPr>
          <w:rFonts w:hint="eastAsia" w:eastAsia="宋体"/>
          <w:lang w:eastAsia="zh-CN"/>
        </w:rPr>
      </w:pPr>
    </w:p>
    <w:p w14:paraId="56C25BFF">
      <w:pPr>
        <w:spacing w:after="60" w:line="288" w:lineRule="auto"/>
        <w:ind w:right="-37" w:rightChars="-17"/>
        <w:jc w:val="right"/>
        <w:rPr>
          <w:rFonts w:hint="eastAsia" w:eastAsia="宋体"/>
          <w:lang w:eastAsia="zh-CN"/>
        </w:rPr>
      </w:pPr>
    </w:p>
    <w:p w14:paraId="20545280">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10"/>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25467FAD">
      <w:pPr>
        <w:spacing w:after="60" w:line="288" w:lineRule="auto"/>
        <w:ind w:right="-37" w:rightChars="-17"/>
        <w:jc w:val="right"/>
        <w:rPr>
          <w:rFonts w:ascii="Arial" w:hAnsi="Arial" w:eastAsia="Arial" w:cs="Arial"/>
          <w:i/>
          <w:iCs/>
          <w:sz w:val="22"/>
          <w:szCs w:val="22"/>
        </w:rPr>
      </w:pPr>
      <w:r>
        <w:rPr>
          <w:rFonts w:hint="eastAsia"/>
          <w:b/>
          <w:color w:val="00467F"/>
          <w:sz w:val="20"/>
          <w:szCs w:val="10"/>
          <w:lang w:val="en-US" w:eastAsia="zh-CN"/>
        </w:rPr>
        <w:t>Zhengzhou City, Henan Province, China</w:t>
      </w:r>
    </w:p>
    <w:p w14:paraId="01204464">
      <w:pPr>
        <w:spacing w:before="0" w:after="120"/>
        <w:jc w:val="center"/>
        <w:rPr>
          <w:rFonts w:ascii="Arial" w:hAnsi="Arial" w:eastAsia="Arial" w:cs="Arial"/>
          <w:sz w:val="22"/>
          <w:szCs w:val="22"/>
        </w:rPr>
      </w:pPr>
    </w:p>
    <w:sectPr>
      <w:headerReference r:id="rId3"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EDECB">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1" name="图片 1"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BD6A7">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26BD6A7">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1BABA0E4">
    <w:pPr>
      <w:spacing w:after="40"/>
      <w:jc w:val="center"/>
    </w:pPr>
    <w:r>
      <w:rPr>
        <w:rFonts w:hint="default" w:asciiTheme="minorAscii" w:hAnsiTheme="minorAscii"/>
        <w:sz w:val="18"/>
        <w:szCs w:val="20"/>
        <w:lang w:val="en-US" w:eastAsia="zh-CN"/>
      </w:rPr>
      <w:t>Product Manual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0DC1612"/>
    <w:rsid w:val="2DFB1A8B"/>
    <w:rsid w:val="32D323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0"/>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table" w:styleId="14">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750</Words>
  <Characters>4108</Characters>
  <TotalTime>0</TotalTime>
  <ScaleCrop>false</ScaleCrop>
  <LinksUpToDate>false</LinksUpToDate>
  <CharactersWithSpaces>4813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2026-05-11T08:04:00Z</dcterms:created>
  <dc:creator>Un-named</dc:creator>
  <cp:lastModifiedBy>Azzzzhao</cp:lastModifiedBy>
  <dcterms:modified xsi:type="dcterms:W3CDTF">2026-05-14T09:16:58Z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58258D8320C045C8B96C7B909B1B36DA_12</vt:lpwstr>
  </property>
</Properties>
</file>