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 Light" w:cs="Calibri Light" w:eastAsia="Calibri Light" w:hAnsi="Calibri Light"/>
          <w:b/>
          <w:bCs/>
          <w:color w:val="1565C0"/>
          <w:sz w:val="40"/>
          <w:szCs w:val="40"/>
        </w:rPr>
        <w:t xml:space="preserve">Section 2 : Tableau de bord (Dashboard)</w:t>
      </w:r>
    </w:p>
    <w:p>
      <w:pPr>
        <w:spacing w:after="400"/>
        <w:jc w:val="center"/>
      </w:pPr>
      <w:r>
        <w:rPr>
          <w:i/>
          <w:iCs/>
          <w:color w:val="757575"/>
          <w:sz w:val="22"/>
          <w:szCs w:val="22"/>
        </w:rPr>
        <w:t xml:space="preserve">Document complémentaire à insérer dans le Guide Utilisateur</w:t>
      </w:r>
    </w:p>
    <w:p>
      <w:pPr>
        <w:pStyle w:val="Heading1"/>
      </w:pPr>
      <w:r>
        <w:t xml:space="preserve">2.2 Tableau de bord (Dashboard)</w:t>
      </w:r>
    </w:p>
    <w:p>
      <w:pPr>
        <w:spacing w:after="150"/>
      </w:pPr>
      <w:r>
        <w:rPr>
          <w:b/>
          <w:bCs/>
        </w:rPr>
        <w:t xml:space="preserve">Accès : </w:t>
      </w:r>
      <w:r>
        <w:t xml:space="preserve">Après connexion, cette page s'affiche automatiquement. Elle est également accessible via le menu « Accueil ».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Vue d'ensemble du tableau de bord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2.2.1 En-tête et navigation</w:t>
      </w:r>
    </w:p>
    <w:p>
      <w:pPr>
        <w:spacing w:after="150"/>
      </w:pPr>
      <w:r>
        <w:t xml:space="preserve">L'en-tête de l'application affiche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Logo et nom de l'application : </w:t>
      </w:r>
      <w:r>
        <w:t xml:space="preserve">« CDBHS Tournois V2.0 » (à gauche)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Menu de navigation principal : </w:t>
      </w:r>
      <w:r>
        <w:t xml:space="preserve">Accueil, Classements, Compétitions, Calendrier, Com joueurs, Paramètres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Bouton Déconnexion : </w:t>
      </w:r>
      <w:r>
        <w:t xml:space="preserve">En rouge, pour quitter l'application</w:t>
      </w:r>
    </w:p>
    <w:p>
      <w:pPr>
        <w:spacing w:after="200"/>
      </w:pP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Barre de navigation principale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2.2.2 Bandeau d'alertes (Relances)</w:t>
      </w:r>
    </w:p>
    <w:p>
      <w:pPr>
        <w:spacing w:after="150"/>
      </w:pPr>
      <w:r>
        <w:t xml:space="preserve">Un bandeau jaune apparaît en haut du tableau de bord pour signaler les compétitions nécessitant une action. Il indique :</w:t>
      </w:r>
    </w:p>
    <w:p>
      <w:pPr>
        <w:pStyle w:val="ListParagraph"/>
        <w:numPr>
          <w:ilvl w:val="0"/>
          <w:numId w:val="2"/>
        </w:numPr>
      </w:pPr>
      <w:r>
        <w:t xml:space="preserve">Le nom du tournoi et sa catégorie (ex: « Tournoi 3 LIBRE R2 »)</w:t>
      </w:r>
    </w:p>
    <w:p>
      <w:pPr>
        <w:pStyle w:val="ListParagraph"/>
        <w:numPr>
          <w:ilvl w:val="0"/>
          <w:numId w:val="2"/>
        </w:numPr>
      </w:pPr>
      <w:r>
        <w:t xml:space="preserve">Le lieu</w:t>
      </w:r>
    </w:p>
    <w:p>
      <w:pPr>
        <w:pStyle w:val="ListParagraph"/>
        <w:numPr>
          <w:ilvl w:val="0"/>
          <w:numId w:val="2"/>
        </w:numPr>
      </w:pPr>
      <w:r>
        <w:t xml:space="preserve">Le nombre de jours restants avant la compétition</w:t>
      </w:r>
    </w:p>
    <w:p>
      <w:pPr>
        <w:pStyle w:val="ListParagraph"/>
        <w:numPr>
          <w:ilvl w:val="0"/>
          <w:numId w:val="2"/>
        </w:numPr>
      </w:pPr>
      <w:r>
        <w:t xml:space="preserve">Le statut d'envoi des convocations (badge vert « Envoyé » si déjà traitées)</w:t>
      </w:r>
    </w:p>
    <w:p>
      <w:pPr>
        <w:spacing w:after="200"/>
      </w:pP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Bandeau d'alerte avec relance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976D2" w:sz="1"/>
              <w:left w:val="single" w:color="1976D2" w:sz="24"/>
              <w:bottom w:val="single" w:color="1976D2" w:sz="1"/>
              <w:right w:val="single" w:color="1976D2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Action rapide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Cliquez sur une relance pour accéder directement à la page de génération des poules et convocations pour cette compétition.</w:t>
            </w:r>
          </w:p>
        </w:tc>
      </w:tr>
    </w:tbl>
    <w:p>
      <w:pPr>
        <w:pStyle w:val="Heading2"/>
      </w:pPr>
      <w:r>
        <w:t xml:space="preserve">2.2.3 Section « Actions Rapides »</w:t>
      </w:r>
    </w:p>
    <w:p>
      <w:pPr>
        <w:spacing w:after="150"/>
      </w:pPr>
      <w:r>
        <w:t xml:space="preserve">Cette section présente 6 boutons colorés permettant d'accéder rapidement aux fonctionnalités principales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Bouton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Couleur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Compétitions à jouer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Rouge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Accès aux compétitions à venir pour générer les poules et envoyer les convocations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Inscriptions Hors Classement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Jaune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Gérer les inscriptions des joueurs non classés dans une catégorie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Importer une compétition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Importer les résultats d'un tournoi terminé (fichier CSV)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Compétitions jouées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Consulter l'historique des compétitions passées et leurs résultats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Voir les Classements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Violet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Consulter les classements saison par catégorie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Calendrier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Gris/Blanc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Afficher le calendrier complet des compétitions</w:t>
            </w:r>
          </w:p>
        </w:tc>
      </w:tr>
    </w:tbl>
    <w:p>
      <w:pPr>
        <w:spacing w:after="200"/>
      </w:pP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Boutons d'actions rapides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2.2.4 Sélecteur de saison</w:t>
      </w:r>
    </w:p>
    <w:p>
      <w:pPr>
        <w:spacing w:after="150"/>
      </w:pPr>
      <w:r>
        <w:t xml:space="preserve">Un menu déroulant « Saison » permet de sélectionner la saison sportive affichée (ex: 2025-2026). Les statistiques et données du tableau de bord se mettent à jour automatiquement en fonction de la saison sélectionnée.</w:t>
      </w: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Sélecteur de saison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2.2.5 Statistiques globales</w:t>
      </w:r>
    </w:p>
    <w:p>
      <w:pPr>
        <w:spacing w:after="150"/>
      </w:pPr>
      <w:r>
        <w:t xml:space="preserve">La première ligne de statistiques présente 3 indicateurs généraux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Indicateur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Couleur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Joueurs actifs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Bleu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Nombre total de joueurs actifs dans la base de données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Compétitions jouées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Nombre de tournois déjà disputés cette saison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Participants cumulés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Violet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des participations (un joueur peut être compté plusieurs fois s'il participe à plusieurs tournois)</w:t>
            </w:r>
          </w:p>
        </w:tc>
      </w:tr>
    </w:tbl>
    <w:p>
      <w:pPr>
        <w:spacing w:after="200"/>
      </w:pP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Indicateurs statistiques globaux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2.2.6 Inscriptions de la saison</w:t>
      </w:r>
    </w:p>
    <w:p>
      <w:pPr>
        <w:spacing w:after="150"/>
      </w:pPr>
      <w:r>
        <w:t xml:space="preserve">La section « Inscriptions saison [année] » affiche 3 compteurs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Indicateur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Couleur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Rouge/Orange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Nombre total d'inscriptions enregistrées pour la saison (toutes sources confondues)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Convoqués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Bleu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Nombre de joueurs ayant reçu une convocation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Forfaits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Violet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Nombre de joueurs ayant déclaré forfait après convocation</w:t>
            </w:r>
          </w:p>
        </w:tc>
      </w:tr>
    </w:tbl>
    <w:p>
      <w:pPr>
        <w:spacing w:after="200"/>
      </w:pP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Statistiques des inscriptions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976D2" w:sz="1"/>
              <w:left w:val="single" w:color="1976D2" w:sz="24"/>
              <w:bottom w:val="single" w:color="1976D2" w:sz="1"/>
              <w:right w:val="single" w:color="1976D2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Sources des inscriptions</w:t>
            </w:r>
          </w:p>
          <w:p>
            <w:pPr>
              <w:spacing w:before="80"/>
            </w:pPr>
            <w:r>
              <w:rPr>
                <w:sz w:val="22"/>
                <w:szCs w:val="22"/>
              </w:rPr>
              <w:t xml:space="preserve">Le total inclut les inscriptions manuelles, les imports CSV et les inscriptions effectuées par les joueurs via l'Application Joueur (Espace Joueur).</w:t>
            </w:r>
          </w:p>
        </w:tc>
      </w:tr>
    </w:tbl>
    <w:p>
      <w:pPr>
        <w:pStyle w:val="Heading2"/>
      </w:pPr>
      <w:r>
        <w:t xml:space="preserve">2.2.7 Compétitions de la saison</w:t>
      </w:r>
    </w:p>
    <w:p>
      <w:pPr>
        <w:spacing w:after="150"/>
      </w:pPr>
      <w:r>
        <w:t xml:space="preserve">La section « Compétitions saison [année] » affiche 3 compteurs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Indicateur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Couleur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Vert clair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Nombre total de compétitions prévues sur la saison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À venir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Nombre de compétitions restant à jouer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Vert foncé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Nombre de compétitions déjà disputées</w:t>
            </w:r>
          </w:p>
        </w:tc>
      </w:tr>
    </w:tbl>
    <w:p>
      <w:pPr>
        <w:spacing w:after="200"/>
      </w:pPr>
    </w:p>
    <w:p>
      <w:pPr>
        <w:spacing w:before="2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 xml:space="preserve">📷 CAPTURE D'ÉCRAN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Statistiques des compétitions de la saison</w:t>
            </w:r>
          </w:p>
          <w:p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[Insérer la capture ici]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2.2.8 Utilisation typique du tableau de bord</w:t>
      </w:r>
    </w:p>
    <w:p>
      <w:pPr>
        <w:spacing w:after="150"/>
      </w:pPr>
      <w:r>
        <w:t xml:space="preserve">Le tableau de bord est conçu pour vous permettre de 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Identifier rapidement les actions urgentes </w:t>
      </w:r>
      <w:r>
        <w:t xml:space="preserve">grâce au bandeau de relances (compétitions proches)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Accéder aux fonctions principales </w:t>
      </w:r>
      <w:r>
        <w:t xml:space="preserve">via les boutons d'actions rapides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Suivre l'activité de la saison </w:t>
      </w:r>
      <w:r>
        <w:t xml:space="preserve">grâce aux indicateurs statistiques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Comparer les saisons </w:t>
      </w:r>
      <w:r>
        <w:t xml:space="preserve">en changeant la saison via le sélecteur</w:t>
      </w:r>
    </w:p>
    <w:p>
      <w:pPr>
        <w:spacing w:after="200"/>
      </w:pPr>
    </w:p>
    <w:p>
      <w:pPr>
        <w:pStyle w:val="Heading2"/>
      </w:pPr>
      <w:r>
        <w:t xml:space="preserve">2.2.9 Flux de travail recommandé</w:t>
      </w:r>
    </w:p>
    <w:p>
      <w:pPr>
        <w:spacing w:after="150"/>
      </w:pPr>
      <w:r>
        <w:t xml:space="preserve">En arrivant sur le tableau de bord, voici la procédure recommandée 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Vérifier les relances : </w:t>
      </w:r>
      <w:r>
        <w:t xml:space="preserve">Des compétitions approchent-elles et nécessitent-elles des convocations 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 oui, cliquer sur la relance </w:t>
      </w:r>
      <w:r>
        <w:t xml:space="preserve">pour traiter la compétition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Vérifier les statistiques : </w:t>
      </w:r>
      <w:r>
        <w:t xml:space="preserve">Les inscriptions sont-elles conformes aux attentes 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Utiliser les actions rapides </w:t>
      </w:r>
      <w:r>
        <w:t xml:space="preserve">pour les tâches courantes</w:t>
      </w:r>
    </w:p>
    <w:p>
      <w:pPr>
        <w:spacing w:after="400"/>
      </w:pPr>
    </w:p>
    <w:p>
      <w:pPr>
        <w:jc w:val="center"/>
      </w:pPr>
      <w:r>
        <w:rPr>
          <w:i/>
          <w:iCs/>
          <w:color w:val="757575"/>
          <w:sz w:val="24"/>
          <w:szCs w:val="24"/>
        </w:rPr>
        <w:t xml:space="preserve">— Fin de la section Tableau de bord —</w:t>
      </w:r>
    </w:p>
    <w:p>
      <w:pPr>
        <w:spacing w:before="200"/>
        <w:jc w:val="center"/>
      </w:pPr>
      <w:r>
        <w:rPr>
          <w:color w:val="999999"/>
          <w:sz w:val="20"/>
          <w:szCs w:val="20"/>
        </w:rPr>
        <w:t xml:space="preserve">Ce contenu peut être copié/collé dans votre document principal.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sur </w:t>
    </w:r>
    <w:r>
      <w:rPr>
        <w:color w:val="666666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Guide Utilisateur - Section Tableau de bord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 Light" w:cs="Calibri Light" w:eastAsia="Calibri Light" w:hAnsi="Calibri Light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Calibri Light" w:cs="Calibri Light" w:eastAsia="Calibri Light" w:hAnsi="Calibri Light"/>
      <w:b/>
      <w:bCs/>
      <w:color w:val="2196F3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424242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50" w:after="80"/>
      <w:outlineLvl w:val="3"/>
    </w:pPr>
    <w:rPr>
      <w:rFonts w:ascii="Calibri" w:cs="Calibri" w:eastAsia="Calibri" w:hAnsi="Calibri"/>
      <w:b/>
      <w:bCs/>
      <w:i/>
      <w:iCs/>
      <w:color w:val="6161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2026-01-28T14:40:56.829Z</dcterms:created>
  <dcterms:modified xsi:type="dcterms:W3CDTF">2026-01-28T14:40:56.829Z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