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Consolas" w:cs="Consolas" w:eastAsia="Consolas" w:hAnsi="Consolas"/>
          <w:b/>
          <w:bCs/>
          <w:color w:val="0E6B60"/>
          <w:spacing w:val="40"/>
          <w:sz w:val="16"/>
          <w:szCs w:val="16"/>
        </w:rPr>
        <w:t xml:space="preserve">KTP DEVOPS  ·  FINASTRA  ·  PRE-BUILD SUBMISSION TO THE AI COE</w:t>
      </w:r>
    </w:p>
    <w:p>
      <w:pPr>
        <w:spacing w:after="200"/>
      </w:pPr>
      <w:r>
        <w:rPr>
          <w:rFonts w:ascii="Calibri" w:cs="Calibri" w:eastAsia="Calibri" w:hAnsi="Calibri"/>
          <w:b/>
          <w:bCs/>
          <w:color w:val="131A18"/>
          <w:sz w:val="60"/>
          <w:szCs w:val="60"/>
        </w:rPr>
        <w:t xml:space="preserve">Kortex AI Initiative</w:t>
      </w:r>
    </w:p>
    <w:p>
      <w:pPr>
        <w:pBdr>
          <w:bottom w:val="single" w:color="131A18" w:sz="12" w:space="14"/>
        </w:pBdr>
        <w:spacing w:after="300" w:line="300"/>
      </w:pPr>
      <w:r>
        <w:rPr>
          <w:rFonts w:ascii="Calibri" w:cs="Calibri" w:eastAsia="Calibri" w:hAnsi="Calibri"/>
          <w:color w:val="33403D"/>
          <w:sz w:val="24"/>
          <w:szCs w:val="24"/>
        </w:rPr>
        <w:t xml:space="preserve">A single working entry point for the KTP DevOps team — where the day's status is reviewed, product and vulnerability questions are answered from Finastra's own knowledge, and operational work is carried out. We are bringing this to the AI Centre of Excellence before building further, as the policy asks.</w:t>
      </w:r>
    </w:p>
    <w:p>
      <w:pPr>
        <w:spacing w:after="200"/>
      </w:pPr>
    </w:p>
    <w:tbl>
      <w:tblPr>
        <w:tblW w:type="dxa" w:w="9360"/>
        <w:tblBorders>
          <w:top w:val="single" w:color="D9E0DE" w:sz="4"/>
          <w:left w:val="single" w:color="D9E0DE" w:sz="4"/>
          <w:bottom w:val="single" w:color="D9E0DE" w:sz="4"/>
          <w:right w:val="single" w:color="D9E0DE" w:sz="4"/>
          <w:insideH w:val="single" w:color="D9E0DE" w:sz="4"/>
          <w:insideV w:val="single" w:color="D9E0DE" w:sz="4"/>
        </w:tblBorders>
      </w:tblPr>
      <w:tblGrid>
        <w:gridCol w:w="2600"/>
        <w:gridCol w:w="6760"/>
      </w:tblGrid>
      <w:tr>
        <w:trPr>
          <w:tblHeader/>
        </w:trPr>
        <w:tc>
          <w:tcPr>
            <w:tcW w:type="dxa" w:w="2600"/>
            <w:shd w:fill="F2F6F5" w:val="clear"/>
            <w:tcMar>
              <w:top w:type="dxa" w:w="100"/>
              <w:left w:type="dxa" w:w="140"/>
              <w:bottom w:type="dxa" w:w="100"/>
              <w:right w:type="dxa" w:w="140"/>
            </w:tcMar>
          </w:tcPr>
          <w:p>
            <w:pPr>
              <w:spacing w:after="0"/>
            </w:pPr>
            <w:r>
              <w:rPr>
                <w:rFonts w:ascii="Consolas" w:cs="Consolas" w:eastAsia="Consolas" w:hAnsi="Consolas"/>
                <w:b/>
                <w:bCs/>
                <w:color w:val="5B6764"/>
                <w:spacing w:val="20"/>
                <w:sz w:val="15"/>
                <w:szCs w:val="15"/>
              </w:rPr>
              <w:t xml:space="preserve">FIELD</w:t>
            </w:r>
          </w:p>
        </w:tc>
        <w:tc>
          <w:tcPr>
            <w:tcW w:type="dxa" w:w="6760"/>
            <w:shd w:fill="F2F6F5" w:val="clear"/>
            <w:tcMar>
              <w:top w:type="dxa" w:w="100"/>
              <w:left w:type="dxa" w:w="140"/>
              <w:bottom w:type="dxa" w:w="100"/>
              <w:right w:type="dxa" w:w="140"/>
            </w:tcMar>
          </w:tcPr>
          <w:p>
            <w:pPr>
              <w:spacing w:after="0"/>
            </w:pPr>
            <w:r>
              <w:rPr>
                <w:rFonts w:ascii="Consolas" w:cs="Consolas" w:eastAsia="Consolas" w:hAnsi="Consolas"/>
                <w:b/>
                <w:bCs/>
                <w:color w:val="5B6764"/>
                <w:spacing w:val="20"/>
                <w:sz w:val="15"/>
                <w:szCs w:val="15"/>
              </w:rPr>
              <w:t xml:space="preserve">DETAIL</w:t>
            </w:r>
          </w:p>
        </w:tc>
      </w:tr>
      <w:tr>
        <w:tc>
          <w:tcPr>
            <w:tcW w:type="dxa" w:w="26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Initiative</w:t>
            </w:r>
          </w:p>
        </w:tc>
        <w:tc>
          <w:tcPr>
            <w:tcW w:type="dxa" w:w="67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Kortex Agentic Platform</w:t>
            </w:r>
          </w:p>
        </w:tc>
      </w:tr>
      <w:tr>
        <w:tc>
          <w:tcPr>
            <w:tcW w:type="dxa" w:w="26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Owner</w:t>
            </w:r>
          </w:p>
        </w:tc>
        <w:tc>
          <w:tcPr>
            <w:tcW w:type="dxa" w:w="67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KTP DevOps team</w:t>
            </w:r>
          </w:p>
        </w:tc>
      </w:tr>
      <w:tr>
        <w:tc>
          <w:tcPr>
            <w:tcW w:type="dxa" w:w="26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Stage</w:t>
            </w:r>
          </w:p>
        </w:tc>
        <w:tc>
          <w:tcPr>
            <w:tcW w:type="dxa" w:w="67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Early development — paused, see Section 4</w:t>
            </w:r>
          </w:p>
        </w:tc>
      </w:tr>
      <w:tr>
        <w:tc>
          <w:tcPr>
            <w:tcW w:type="dxa" w:w="26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Pilot population</w:t>
            </w:r>
          </w:p>
        </w:tc>
        <w:tc>
          <w:tcPr>
            <w:tcW w:type="dxa" w:w="67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DevOps and Client Services teams</w:t>
            </w:r>
          </w:p>
        </w:tc>
      </w:tr>
      <w:tr>
        <w:tc>
          <w:tcPr>
            <w:tcW w:type="dxa" w:w="26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Client data</w:t>
            </w:r>
          </w:p>
        </w:tc>
        <w:tc>
          <w:tcPr>
            <w:tcW w:type="dxa" w:w="67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Never ingested into the corpus — see Section 7</w:t>
            </w:r>
          </w:p>
        </w:tc>
      </w:tr>
      <w:tr>
        <w:tc>
          <w:tcPr>
            <w:tcW w:type="dxa" w:w="26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Date</w:t>
            </w:r>
          </w:p>
        </w:tc>
        <w:tc>
          <w:tcPr>
            <w:tcW w:type="dxa" w:w="67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27 August 2026</w:t>
            </w:r>
          </w:p>
        </w:tc>
      </w:tr>
    </w:tbl>
    <w:p>
      <w:pPr>
        <w:spacing w:after="240"/>
      </w:pPr>
    </w:p>
    <w:tbl>
      <w:tblPr>
        <w:tblW w:type="dxa" w:w="9360"/>
        <w:tblBorders>
          <w:top w:val="none" w:color="FFFFFF" w:sz="0"/>
          <w:left w:val="single" w:color="0E6B60" w:sz="12"/>
          <w:bottom w:val="none" w:color="FFFFFF" w:sz="0"/>
          <w:right w:val="none" w:color="FFFFFF" w:sz="0"/>
          <w:insideH w:val="none" w:color="FFFFFF" w:sz="0"/>
          <w:insideV w:val="none" w:color="FFFFFF" w:sz="0"/>
        </w:tblBorders>
      </w:tblPr>
      <w:tblGrid>
        <w:gridCol w:w="9360"/>
      </w:tblGrid>
      <w:tr>
        <w:tc>
          <w:tcPr>
            <w:tcW w:type="dxa" w:w="9360"/>
            <w:shd w:fill="F2F6F5" w:val="clear"/>
            <w:tcMar>
              <w:top w:type="dxa" w:w="160"/>
              <w:left w:type="dxa" w:w="220"/>
              <w:bottom w:type="dxa" w:w="160"/>
              <w:right w:type="dxa" w:w="220"/>
            </w:tcMar>
          </w:tcPr>
          <w:p>
            <w:pPr>
              <w:spacing w:after="80"/>
            </w:pPr>
            <w:r>
              <w:rPr>
                <w:rFonts w:ascii="Consolas" w:cs="Consolas" w:eastAsia="Consolas" w:hAnsi="Consolas"/>
                <w:b/>
                <w:bCs/>
                <w:color w:val="0E6B60"/>
                <w:spacing w:val="30"/>
                <w:sz w:val="15"/>
                <w:szCs w:val="15"/>
              </w:rPr>
              <w:t xml:space="preserve">WHAT WE ARE ASKING FOR</w:t>
            </w:r>
          </w:p>
          <w:p>
            <w:pPr>
              <w:spacing w:after="100" w:line="276"/>
            </w:pPr>
            <w:r>
              <w:rPr>
                <w:rFonts w:ascii="Calibri" w:cs="Calibri" w:eastAsia="Calibri" w:hAnsi="Calibri"/>
                <w:color w:val="131A18"/>
                <w:sz w:val="20"/>
                <w:szCs w:val="20"/>
              </w:rPr>
              <w:t xml:space="preserve">A sanctioned model service so development can resume; confirmation that the data flows in Section 5 and the protections in Section 7 meet the required standard; and agreement on the readiness gate in Section 9 that must be cleared before anyone outside the pilot team uses this.</w:t>
            </w:r>
          </w:p>
          <w:p>
            <w:pPr>
              <w:spacing w:after="0" w:line="276"/>
            </w:pPr>
            <w:r>
              <w:rPr>
                <w:rFonts w:ascii="Calibri" w:cs="Calibri" w:eastAsia="Calibri" w:hAnsi="Calibri"/>
                <w:color w:val="131A18"/>
                <w:sz w:val="20"/>
                <w:szCs w:val="20"/>
              </w:rPr>
              <w:t xml:space="preserve">We are not asking for production approval, and we are not presenting a finished system. What we are asking the CoE to judge is whether the idea is sound, whether the approach is the right one, and what conditions we should build to.</w:t>
            </w:r>
          </w:p>
        </w:tc>
      </w:tr>
    </w:tbl>
    <w:p>
      <w:r>
        <w:br w:type="page"/>
      </w:r>
    </w:p>
    <w:p>
      <w:pPr>
        <w:pStyle w:val="Heading1"/>
        <w:pBdr>
          <w:bottom w:val="single" w:color="D9E0DE" w:sz="6" w:space="6"/>
        </w:pBdr>
        <w:spacing w:after="180" w:before="420"/>
      </w:pPr>
      <w:r>
        <w:rPr>
          <w:rFonts w:ascii="Calibri" w:cs="Calibri" w:eastAsia="Calibri" w:hAnsi="Calibri"/>
          <w:b/>
          <w:bCs/>
          <w:color w:val="131A18"/>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Bdr>
          <w:bottom w:val="single" w:color="D9E0DE" w:sz="6" w:space="6"/>
        </w:pBdr>
        <w:spacing w:after="180" w:before="420"/>
      </w:pPr>
      <w:r>
        <w:rPr>
          <w:rFonts w:ascii="Calibri" w:cs="Calibri" w:eastAsia="Calibri" w:hAnsi="Calibri"/>
          <w:b/>
          <w:bCs/>
          <w:color w:val="131A18"/>
          <w:sz w:val="30"/>
          <w:szCs w:val="30"/>
        </w:rPr>
        <w:t xml:space="preserve">1. Executive summary</w:t>
      </w:r>
    </w:p>
    <w:p>
      <w:pPr>
        <w:spacing w:after="140" w:line="276"/>
      </w:pPr>
      <w:r>
        <w:rPr>
          <w:rFonts w:ascii="Calibri" w:cs="Calibri" w:eastAsia="Calibri" w:hAnsi="Calibri"/>
          <w:color w:val="131A18"/>
          <w:sz w:val="21"/>
          <w:szCs w:val="21"/>
        </w:rPr>
        <w:t xml:space="preserve">The KTP DevOps team is developing </w:t>
      </w:r>
      <w:r>
        <w:rPr>
          <w:rFonts w:ascii="Calibri" w:cs="Calibri" w:eastAsia="Calibri" w:hAnsi="Calibri"/>
          <w:b/>
          <w:bCs/>
          <w:color w:val="131A18"/>
          <w:sz w:val="21"/>
          <w:szCs w:val="21"/>
        </w:rPr>
        <w:t xml:space="preserve">Kortex</w:t>
      </w:r>
      <w:r>
        <w:rPr>
          <w:rFonts w:ascii="Calibri" w:cs="Calibri" w:eastAsia="Calibri" w:hAnsi="Calibri"/>
          <w:color w:val="131A18"/>
          <w:sz w:val="21"/>
          <w:szCs w:val="21"/>
        </w:rPr>
        <w:t xml:space="preserve">, an internal platform for the KTP Suite — the family of treasury and payments products comprising CTI, KTP, FFC, Payment Factory, KTPWeb and Cargo.</w:t>
      </w:r>
    </w:p>
    <w:p>
      <w:pPr>
        <w:spacing w:after="140" w:line="276"/>
      </w:pPr>
      <w:r>
        <w:rPr>
          <w:rFonts w:ascii="Calibri" w:cs="Calibri" w:eastAsia="Calibri" w:hAnsi="Calibri"/>
          <w:color w:val="131A18"/>
          <w:sz w:val="21"/>
          <w:szCs w:val="21"/>
        </w:rPr>
        <w:t xml:space="preserve">Kortex is not a question-and-answer assistant, and we want that clear from the outset. The intent is </w:t>
      </w:r>
      <w:r>
        <w:rPr>
          <w:rFonts w:ascii="Calibri" w:cs="Calibri" w:eastAsia="Calibri" w:hAnsi="Calibri"/>
          <w:b/>
          <w:bCs/>
          <w:color w:val="131A18"/>
          <w:sz w:val="21"/>
          <w:szCs w:val="21"/>
        </w:rPr>
        <w:t xml:space="preserve">an alternative entry point for the team's daily work</w:t>
      </w:r>
      <w:r>
        <w:rPr>
          <w:rFonts w:ascii="Calibri" w:cs="Calibri" w:eastAsia="Calibri" w:hAnsi="Calibri"/>
          <w:color w:val="131A18"/>
          <w:sz w:val="21"/>
          <w:szCs w:val="21"/>
        </w:rPr>
        <w:t xml:space="preserve">: open it to see what needs attention today, ask what a product does and get an answer sourced from our own documentation, look up a support case or a vulnerability — and act on it. Some of that acting changes state in downstream systems. Section 7 sets out exactly where, and what we propose to do about it.</w:t>
      </w:r>
    </w:p>
    <w:p>
      <w:pPr>
        <w:spacing w:after="140" w:line="276"/>
      </w:pPr>
      <w:r>
        <w:rPr>
          <w:rFonts w:ascii="Calibri" w:cs="Calibri" w:eastAsia="Calibri" w:hAnsi="Calibri"/>
          <w:color w:val="131A18"/>
          <w:sz w:val="21"/>
          <w:szCs w:val="21"/>
        </w:rPr>
        <w:t xml:space="preserve">The initiative is at an </w:t>
      </w:r>
      <w:r>
        <w:rPr>
          <w:rFonts w:ascii="Calibri" w:cs="Calibri" w:eastAsia="Calibri" w:hAnsi="Calibri"/>
          <w:b/>
          <w:bCs/>
          <w:color w:val="131A18"/>
          <w:sz w:val="21"/>
          <w:szCs w:val="21"/>
        </w:rPr>
        <w:t xml:space="preserve">early development stage</w:t>
      </w:r>
      <w:r>
        <w:rPr>
          <w:rFonts w:ascii="Calibri" w:cs="Calibri" w:eastAsia="Calibri" w:hAnsi="Calibri"/>
          <w:color w:val="131A18"/>
          <w:sz w:val="21"/>
          <w:szCs w:val="21"/>
        </w:rPr>
        <w:t xml:space="preserve">. A working prototype demonstrates the core pattern end to end; the multi-agent extension is written but has not been validated. </w:t>
      </w:r>
      <w:r>
        <w:rPr>
          <w:rFonts w:ascii="Calibri" w:cs="Calibri" w:eastAsia="Calibri" w:hAnsi="Calibri"/>
          <w:b/>
          <w:bCs/>
          <w:color w:val="131A18"/>
          <w:sz w:val="21"/>
          <w:szCs w:val="21"/>
        </w:rPr>
        <w:t xml:space="preserve">Development is currently paused</w:t>
      </w:r>
      <w:r>
        <w:rPr>
          <w:rFonts w:ascii="Calibri" w:cs="Calibri" w:eastAsia="Calibri" w:hAnsi="Calibri"/>
          <w:color w:val="131A18"/>
          <w:sz w:val="21"/>
          <w:szCs w:val="21"/>
        </w:rPr>
        <w:t xml:space="preserve"> because the model service the prototype was built against — GitHub Models — has been fully retired.</w:t>
      </w:r>
    </w:p>
    <w:p>
      <w:pPr>
        <w:spacing w:after="60"/>
      </w:pPr>
    </w:p>
    <w:tbl>
      <w:tblPr>
        <w:tblW w:type="dxa" w:w="9360"/>
        <w:tblBorders>
          <w:top w:val="single" w:color="D9E0DE" w:sz="4"/>
          <w:left w:val="single" w:color="D9E0DE" w:sz="4"/>
          <w:bottom w:val="single" w:color="D9E0DE" w:sz="4"/>
          <w:right w:val="single" w:color="D9E0DE" w:sz="4"/>
          <w:insideH w:val="single" w:color="D9E0DE" w:sz="4"/>
          <w:insideV w:val="single" w:color="D9E0DE" w:sz="4"/>
        </w:tblBorders>
      </w:tblPr>
      <w:tblGrid>
        <w:gridCol w:w="1400"/>
        <w:gridCol w:w="7960"/>
      </w:tblGrid>
      <w:tr>
        <w:trPr>
          <w:tblHeader/>
        </w:trPr>
        <w:tc>
          <w:tcPr>
            <w:tcW w:type="dxa" w:w="1400"/>
            <w:shd w:fill="F2F6F5" w:val="clear"/>
            <w:tcMar>
              <w:top w:type="dxa" w:w="100"/>
              <w:left w:type="dxa" w:w="140"/>
              <w:bottom w:type="dxa" w:w="100"/>
              <w:right w:type="dxa" w:w="140"/>
            </w:tcMar>
          </w:tcPr>
          <w:p>
            <w:pPr>
              <w:spacing w:after="0"/>
            </w:pPr>
            <w:r>
              <w:rPr>
                <w:rFonts w:ascii="Consolas" w:cs="Consolas" w:eastAsia="Consolas" w:hAnsi="Consolas"/>
                <w:b/>
                <w:bCs/>
                <w:color w:val="5B6764"/>
                <w:spacing w:val="20"/>
                <w:sz w:val="15"/>
                <w:szCs w:val="15"/>
              </w:rPr>
              <w:t xml:space="preserve">FIGURE</w:t>
            </w:r>
          </w:p>
        </w:tc>
        <w:tc>
          <w:tcPr>
            <w:tcW w:type="dxa" w:w="7960"/>
            <w:shd w:fill="F2F6F5" w:val="clear"/>
            <w:tcMar>
              <w:top w:type="dxa" w:w="100"/>
              <w:left w:type="dxa" w:w="140"/>
              <w:bottom w:type="dxa" w:w="100"/>
              <w:right w:type="dxa" w:w="140"/>
            </w:tcMar>
          </w:tcPr>
          <w:p>
            <w:pPr>
              <w:spacing w:after="0"/>
            </w:pPr>
            <w:r>
              <w:rPr>
                <w:rFonts w:ascii="Consolas" w:cs="Consolas" w:eastAsia="Consolas" w:hAnsi="Consolas"/>
                <w:b/>
                <w:bCs/>
                <w:color w:val="5B6764"/>
                <w:spacing w:val="20"/>
                <w:sz w:val="15"/>
                <w:szCs w:val="15"/>
              </w:rPr>
              <w:t xml:space="preserve">WHAT IT COUNTS</w:t>
            </w:r>
          </w:p>
        </w:tc>
      </w:tr>
      <w:tr>
        <w:tc>
          <w:tcPr>
            <w:tcW w:type="dxa" w:w="14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7</w:t>
            </w:r>
          </w:p>
        </w:tc>
        <w:tc>
          <w:tcPr>
            <w:tcW w:type="dxa" w:w="79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Use cases identified</w:t>
            </w:r>
          </w:p>
        </w:tc>
      </w:tr>
      <w:tr>
        <w:tc>
          <w:tcPr>
            <w:tcW w:type="dxa" w:w="14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3</w:t>
            </w:r>
          </w:p>
        </w:tc>
        <w:tc>
          <w:tcPr>
            <w:tcW w:type="dxa" w:w="79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Specialised agents</w:t>
            </w:r>
          </w:p>
        </w:tc>
      </w:tr>
      <w:tr>
        <w:tc>
          <w:tcPr>
            <w:tcW w:type="dxa" w:w="14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2</w:t>
            </w:r>
          </w:p>
        </w:tc>
        <w:tc>
          <w:tcPr>
            <w:tcW w:type="dxa" w:w="79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Capabilities that change state, not just report</w:t>
            </w:r>
          </w:p>
        </w:tc>
      </w:tr>
      <w:tr>
        <w:tc>
          <w:tcPr>
            <w:tcW w:type="dxa" w:w="14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1</w:t>
            </w:r>
          </w:p>
        </w:tc>
        <w:tc>
          <w:tcPr>
            <w:tcW w:type="dxa" w:w="79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Data flow carrying Finastra content out</w:t>
            </w:r>
          </w:p>
        </w:tc>
      </w:tr>
    </w:tbl>
    <w:p>
      <w:pPr>
        <w:spacing w:after="180"/>
      </w:pPr>
    </w:p>
    <w:p>
      <w:pPr>
        <w:spacing w:after="140" w:line="276"/>
      </w:pPr>
      <w:r>
        <w:rPr>
          <w:rFonts w:ascii="Calibri" w:cs="Calibri" w:eastAsia="Calibri" w:hAnsi="Calibri"/>
          <w:color w:val="131A18"/>
          <w:sz w:val="21"/>
          <w:szCs w:val="21"/>
        </w:rPr>
        <w:t xml:space="preserve">We are presenting now rather than later for three reasons, each of which maps to something the CoE exists to do. We are </w:t>
      </w:r>
      <w:r>
        <w:rPr>
          <w:rFonts w:ascii="Calibri" w:cs="Calibri" w:eastAsia="Calibri" w:hAnsi="Calibri"/>
          <w:b/>
          <w:bCs/>
          <w:color w:val="131A18"/>
          <w:sz w:val="21"/>
          <w:szCs w:val="21"/>
        </w:rPr>
        <w:t xml:space="preserve">asking before we build</w:t>
      </w:r>
      <w:r>
        <w:rPr>
          <w:rFonts w:ascii="Calibri" w:cs="Calibri" w:eastAsia="Calibri" w:hAnsi="Calibri"/>
          <w:color w:val="131A18"/>
          <w:sz w:val="21"/>
          <w:szCs w:val="21"/>
        </w:rPr>
        <w:t xml:space="preserve">, while the design decisions that are expensive to reverse are still open. We are </w:t>
      </w:r>
      <w:r>
        <w:rPr>
          <w:rFonts w:ascii="Calibri" w:cs="Calibri" w:eastAsia="Calibri" w:hAnsi="Calibri"/>
          <w:b/>
          <w:bCs/>
          <w:color w:val="131A18"/>
          <w:sz w:val="21"/>
          <w:szCs w:val="21"/>
        </w:rPr>
        <w:t xml:space="preserve">asking whether this has already been solved</w:t>
      </w:r>
      <w:r>
        <w:rPr>
          <w:rFonts w:ascii="Calibri" w:cs="Calibri" w:eastAsia="Calibri" w:hAnsi="Calibri"/>
          <w:color w:val="131A18"/>
          <w:sz w:val="21"/>
          <w:szCs w:val="21"/>
        </w:rPr>
        <w:t xml:space="preserve"> at Finastra, particularly on model procurement, where we are stuck on a problem another team has probably already worked through. And we want the </w:t>
      </w:r>
      <w:r>
        <w:rPr>
          <w:rFonts w:ascii="Calibri" w:cs="Calibri" w:eastAsia="Calibri" w:hAnsi="Calibri"/>
          <w:b/>
          <w:bCs/>
          <w:color w:val="131A18"/>
          <w:sz w:val="21"/>
          <w:szCs w:val="21"/>
        </w:rPr>
        <w:t xml:space="preserve">security, privacy and regulatory standards</w:t>
      </w:r>
      <w:r>
        <w:rPr>
          <w:rFonts w:ascii="Calibri" w:cs="Calibri" w:eastAsia="Calibri" w:hAnsi="Calibri"/>
          <w:color w:val="131A18"/>
          <w:sz w:val="21"/>
          <w:szCs w:val="21"/>
        </w:rPr>
        <w:t xml:space="preserve"> designed in from the start rather than retrofitted, which is why Section 7 leads on data protection rather than treating it as an annex.</w:t>
      </w:r>
    </w:p>
    <w:p>
      <w:pPr>
        <w:pStyle w:val="Heading1"/>
        <w:pBdr>
          <w:bottom w:val="single" w:color="D9E0DE" w:sz="6" w:space="6"/>
        </w:pBdr>
        <w:spacing w:after="180" w:before="420"/>
      </w:pPr>
      <w:r>
        <w:rPr>
          <w:rFonts w:ascii="Calibri" w:cs="Calibri" w:eastAsia="Calibri" w:hAnsi="Calibri"/>
          <w:b/>
          <w:bCs/>
          <w:color w:val="131A18"/>
          <w:sz w:val="30"/>
          <w:szCs w:val="30"/>
        </w:rPr>
        <w:t xml:space="preserve">2. Objectives and business value</w:t>
      </w:r>
    </w:p>
    <w:p>
      <w:pPr>
        <w:spacing w:after="140" w:line="276"/>
      </w:pPr>
      <w:r>
        <w:rPr>
          <w:rFonts w:ascii="Calibri" w:cs="Calibri" w:eastAsia="Calibri" w:hAnsi="Calibri"/>
          <w:color w:val="131A18"/>
          <w:sz w:val="21"/>
          <w:szCs w:val="21"/>
        </w:rPr>
        <w:t xml:space="preserve">The KTP DevOps team supports a product family whose knowledge is fragmented across product documentation, Salesforce cases, ServiceNow vulnerability records, Jira issues and the experience held by individual engineers. Four objectives follow from that.</w:t>
      </w:r>
    </w:p>
    <w:p>
      <w:pPr>
        <w:pStyle w:val="Heading2"/>
        <w:spacing w:after="110" w:before="280"/>
      </w:pPr>
      <w:r>
        <w:rPr>
          <w:rFonts w:ascii="Calibri" w:cs="Calibri" w:eastAsia="Calibri" w:hAnsi="Calibri"/>
          <w:b/>
          <w:bCs/>
          <w:color w:val="131A18"/>
          <w:sz w:val="23"/>
          <w:szCs w:val="23"/>
        </w:rPr>
        <w:t xml:space="preserve">Who this is for</w:t>
      </w:r>
    </w:p>
    <w:p>
      <w:pPr>
        <w:spacing w:after="140" w:line="276"/>
      </w:pPr>
      <w:r>
        <w:rPr>
          <w:rFonts w:ascii="Calibri" w:cs="Calibri" w:eastAsia="Calibri" w:hAnsi="Calibri"/>
          <w:color w:val="131A18"/>
          <w:sz w:val="21"/>
          <w:szCs w:val="21"/>
        </w:rPr>
        <w:t xml:space="preserve">The pilot population is the </w:t>
      </w:r>
      <w:r>
        <w:rPr>
          <w:rFonts w:ascii="Calibri" w:cs="Calibri" w:eastAsia="Calibri" w:hAnsi="Calibri"/>
          <w:b/>
          <w:bCs/>
          <w:color w:val="131A18"/>
          <w:sz w:val="21"/>
          <w:szCs w:val="21"/>
        </w:rPr>
        <w:t xml:space="preserve">DevOps and Client Services teams</w:t>
      </w:r>
      <w:r>
        <w:rPr>
          <w:rFonts w:ascii="Calibri" w:cs="Calibri" w:eastAsia="Calibri" w:hAnsi="Calibri"/>
          <w:color w:val="131A18"/>
          <w:sz w:val="21"/>
          <w:szCs w:val="21"/>
        </w:rPr>
        <w:t xml:space="preserve"> — a mix of technical and client-facing roles, each of which uses the platform differently.</w:t>
      </w:r>
    </w:p>
    <w:tbl>
      <w:tblPr>
        <w:tblW w:type="dxa" w:w="9360"/>
        <w:tblBorders>
          <w:top w:val="single" w:color="D9E0DE" w:sz="4"/>
          <w:left w:val="single" w:color="D9E0DE" w:sz="4"/>
          <w:bottom w:val="single" w:color="D9E0DE" w:sz="4"/>
          <w:right w:val="single" w:color="D9E0DE" w:sz="4"/>
          <w:insideH w:val="single" w:color="D9E0DE" w:sz="4"/>
          <w:insideV w:val="single" w:color="D9E0DE" w:sz="4"/>
        </w:tblBorders>
      </w:tblPr>
      <w:tblGrid>
        <w:gridCol w:w="3200"/>
        <w:gridCol w:w="6160"/>
      </w:tblGrid>
      <w:tr>
        <w:trPr>
          <w:tblHeader/>
        </w:trPr>
        <w:tc>
          <w:tcPr>
            <w:tcW w:type="dxa" w:w="3200"/>
            <w:shd w:fill="F2F6F5" w:val="clear"/>
            <w:tcMar>
              <w:top w:type="dxa" w:w="100"/>
              <w:left w:type="dxa" w:w="140"/>
              <w:bottom w:type="dxa" w:w="100"/>
              <w:right w:type="dxa" w:w="140"/>
            </w:tcMar>
          </w:tcPr>
          <w:p>
            <w:pPr>
              <w:spacing w:after="0"/>
            </w:pPr>
            <w:r>
              <w:rPr>
                <w:rFonts w:ascii="Consolas" w:cs="Consolas" w:eastAsia="Consolas" w:hAnsi="Consolas"/>
                <w:b/>
                <w:bCs/>
                <w:color w:val="5B6764"/>
                <w:spacing w:val="20"/>
                <w:sz w:val="15"/>
                <w:szCs w:val="15"/>
              </w:rPr>
              <w:t xml:space="preserve">PROFILE</w:t>
            </w:r>
          </w:p>
        </w:tc>
        <w:tc>
          <w:tcPr>
            <w:tcW w:type="dxa" w:w="6160"/>
            <w:shd w:fill="F2F6F5" w:val="clear"/>
            <w:tcMar>
              <w:top w:type="dxa" w:w="100"/>
              <w:left w:type="dxa" w:w="140"/>
              <w:bottom w:type="dxa" w:w="100"/>
              <w:right w:type="dxa" w:w="140"/>
            </w:tcMar>
          </w:tcPr>
          <w:p>
            <w:pPr>
              <w:spacing w:after="0"/>
            </w:pPr>
            <w:r>
              <w:rPr>
                <w:rFonts w:ascii="Consolas" w:cs="Consolas" w:eastAsia="Consolas" w:hAnsi="Consolas"/>
                <w:b/>
                <w:bCs/>
                <w:color w:val="5B6764"/>
                <w:spacing w:val="20"/>
                <w:sz w:val="15"/>
                <w:szCs w:val="15"/>
              </w:rPr>
              <w:t xml:space="preserve">WHAT KORTEX DOES FOR THEM</w:t>
            </w:r>
          </w:p>
        </w:tc>
      </w:tr>
      <w:tr>
        <w:tc>
          <w:tcPr>
            <w:tcW w:type="dxa" w:w="32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Support</w:t>
            </w:r>
          </w:p>
        </w:tc>
        <w:tc>
          <w:tcPr>
            <w:tcW w:type="dxa" w:w="61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Diagnose issues, find solutions in documentation, work through case resolution</w:t>
            </w:r>
          </w:p>
        </w:tc>
      </w:tr>
      <w:tr>
        <w:tc>
          <w:tcPr>
            <w:tcW w:type="dxa" w:w="32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Consultants and project managers</w:t>
            </w:r>
          </w:p>
        </w:tc>
        <w:tc>
          <w:tcPr>
            <w:tcW w:type="dxa" w:w="61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Implementation guidance, case follow-up, go-live support</w:t>
            </w:r>
          </w:p>
        </w:tc>
      </w:tr>
      <w:tr>
        <w:tc>
          <w:tcPr>
            <w:tcW w:type="dxa" w:w="32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DevOps and SRE</w:t>
            </w:r>
          </w:p>
        </w:tc>
        <w:tc>
          <w:tcPr>
            <w:tcW w:type="dxa" w:w="61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Technical ticket triage, vulnerability management, database operations</w:t>
            </w:r>
          </w:p>
        </w:tc>
      </w:tr>
      <w:tr>
        <w:tc>
          <w:tcPr>
            <w:tcW w:type="dxa" w:w="32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Management</w:t>
            </w:r>
          </w:p>
        </w:tc>
        <w:tc>
          <w:tcPr>
            <w:tcW w:type="dxa" w:w="61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Status summaries, dashboard insight, escalation support</w:t>
            </w:r>
          </w:p>
        </w:tc>
      </w:tr>
    </w:tbl>
    <w:p>
      <w:pPr>
        <w:spacing w:after="200"/>
      </w:pPr>
    </w:p>
    <w:p>
      <w:pPr>
        <w:pStyle w:val="Heading2"/>
        <w:spacing w:after="110" w:before="280"/>
      </w:pPr>
      <w:r>
        <w:rPr>
          <w:rFonts w:ascii="Calibri" w:cs="Calibri" w:eastAsia="Calibri" w:hAnsi="Calibri"/>
          <w:b/>
          <w:bCs/>
          <w:color w:val="131A18"/>
          <w:sz w:val="23"/>
          <w:szCs w:val="23"/>
        </w:rPr>
        <w:t xml:space="preserve">Objective 1 — Cut the search that precedes the fix</w:t>
      </w:r>
    </w:p>
    <w:p>
      <w:pPr>
        <w:spacing w:after="140" w:line="276"/>
      </w:pPr>
      <w:r>
        <w:rPr>
          <w:rFonts w:ascii="Calibri" w:cs="Calibri" w:eastAsia="Calibri" w:hAnsi="Calibri"/>
          <w:color w:val="131A18"/>
          <w:sz w:val="21"/>
          <w:szCs w:val="21"/>
        </w:rPr>
        <w:t xml:space="preserve">The pattern we want to change is specific. When an engineer picks up an application bug or error, the work divides into two parts: finding out what is going on, and fixing it. The second part is often minutes. The first routinely takes days.</w:t>
      </w:r>
    </w:p>
    <w:p>
      <w:pPr>
        <w:spacing w:after="140" w:line="276"/>
      </w:pPr>
      <w:r>
        <w:rPr>
          <w:rFonts w:ascii="Calibri" w:cs="Calibri" w:eastAsia="Calibri" w:hAnsi="Calibri"/>
          <w:color w:val="131A18"/>
          <w:sz w:val="21"/>
          <w:szCs w:val="21"/>
        </w:rPr>
        <w:t xml:space="preserve">It takes days because there is no way to know whether a precedent exists. So the engineer reads through the application's documentation, searches related email threads, and asks colleagues whether anyone has seen it before — and does that whole sweep before establishing whether the answer was already written down by someone else months ago. When it was, the exploration was wasted. When it was not, the exploration was necessary but nobody else benefits from it next time.</w:t>
      </w:r>
    </w:p>
    <w:p>
      <w:pPr>
        <w:spacing w:after="140" w:line="276"/>
      </w:pPr>
      <w:r>
        <w:rPr>
          <w:rFonts w:ascii="Calibri" w:cs="Calibri" w:eastAsia="Calibri" w:hAnsi="Calibri"/>
          <w:color w:val="131A18"/>
          <w:sz w:val="21"/>
          <w:szCs w:val="21"/>
        </w:rPr>
        <w:t xml:space="preserve">Kortex is intended to answer the precedent question first, from the documentation and from our own troubleshooting write-ups, with citations back to the source so the engineer can verify rather than trust. Getting to the fix in minutes instead of days is the outcome we are aiming at.</w:t>
      </w:r>
    </w:p>
    <w:p>
      <w:pPr>
        <w:pStyle w:val="Heading2"/>
        <w:spacing w:after="110" w:before="280"/>
      </w:pPr>
      <w:r>
        <w:rPr>
          <w:rFonts w:ascii="Calibri" w:cs="Calibri" w:eastAsia="Calibri" w:hAnsi="Calibri"/>
          <w:b/>
          <w:bCs/>
          <w:color w:val="131A18"/>
          <w:sz w:val="23"/>
          <w:szCs w:val="23"/>
        </w:rPr>
        <w:t xml:space="preserve">Objective 2 — Reuse what we already know about vulnerabilities</w:t>
      </w:r>
    </w:p>
    <w:p>
      <w:pPr>
        <w:spacing w:after="140" w:line="276"/>
      </w:pPr>
      <w:r>
        <w:rPr>
          <w:rFonts w:ascii="Calibri" w:cs="Calibri" w:eastAsia="Calibri" w:hAnsi="Calibri"/>
          <w:color w:val="131A18"/>
          <w:sz w:val="21"/>
          <w:szCs w:val="21"/>
        </w:rPr>
        <w:t xml:space="preserve">Vulnerability reports reach us from our source, are distributed across the team, and each engineer investigates and remediates for their own case or server. Each investigation is written up. Over time that has produced a substantial body of knowledge about how vulnerabilities actually affect our products and what we did about them — but it lives in individual reports and individual memories, so the same ground gets covered more than once.</w:t>
      </w:r>
    </w:p>
    <w:p>
      <w:pPr>
        <w:spacing w:after="140" w:line="276"/>
      </w:pPr>
      <w:r>
        <w:rPr>
          <w:rFonts w:ascii="Calibri" w:cs="Calibri" w:eastAsia="Calibri" w:hAnsi="Calibri"/>
          <w:color w:val="131A18"/>
          <w:sz w:val="21"/>
          <w:szCs w:val="21"/>
        </w:rPr>
        <w:t xml:space="preserve">The planned agent draws on two sources: the vulnerability report data for current status, and </w:t>
      </w:r>
      <w:r>
        <w:rPr>
          <w:rFonts w:ascii="Calibri" w:cs="Calibri" w:eastAsia="Calibri" w:hAnsi="Calibri"/>
          <w:b/>
          <w:bCs/>
          <w:color w:val="131A18"/>
          <w:sz w:val="21"/>
          <w:szCs w:val="21"/>
        </w:rPr>
        <w:t xml:space="preserve">our own investigation and resolution history</w:t>
      </w:r>
      <w:r>
        <w:rPr>
          <w:rFonts w:ascii="Calibri" w:cs="Calibri" w:eastAsia="Calibri" w:hAnsi="Calibri"/>
          <w:color w:val="131A18"/>
          <w:sz w:val="21"/>
          <w:szCs w:val="21"/>
        </w:rPr>
        <w:t xml:space="preserve">. That second source is the valuable one, because it lets the assistant answer a question no general-purpose tool can — have we seen something like this before, and what did we actually do?</w:t>
      </w:r>
    </w:p>
    <w:p>
      <w:pPr>
        <w:pStyle w:val="Heading2"/>
        <w:spacing w:after="110" w:before="280"/>
      </w:pPr>
      <w:r>
        <w:rPr>
          <w:rFonts w:ascii="Calibri" w:cs="Calibri" w:eastAsia="Calibri" w:hAnsi="Calibri"/>
          <w:b/>
          <w:bCs/>
          <w:color w:val="131A18"/>
          <w:sz w:val="23"/>
          <w:szCs w:val="23"/>
        </w:rPr>
        <w:t xml:space="preserve">Objective 3 — Connect AI to the systems the team already uses</w:t>
      </w:r>
    </w:p>
    <w:p>
      <w:pPr>
        <w:spacing w:after="140" w:line="276"/>
      </w:pPr>
      <w:r>
        <w:rPr>
          <w:rFonts w:ascii="Calibri" w:cs="Calibri" w:eastAsia="Calibri" w:hAnsi="Calibri"/>
          <w:color w:val="131A18"/>
          <w:sz w:val="21"/>
          <w:szCs w:val="21"/>
        </w:rPr>
        <w:t xml:space="preserve">Salesforce, ServiceNow, Jira, Office 365 and our database administration application are packaged as skills the agents call, so that case triage and operational work happen in one place rather than across five. The case-oriented skills handle client-identifying content and therefore carry a higher classification than the rest of the platform; Section 7 sets out how we propose to treat them.</w:t>
      </w:r>
    </w:p>
    <w:p>
      <w:pPr>
        <w:pStyle w:val="Heading2"/>
        <w:spacing w:after="110" w:before="280"/>
      </w:pPr>
      <w:r>
        <w:rPr>
          <w:rFonts w:ascii="Calibri" w:cs="Calibri" w:eastAsia="Calibri" w:hAnsi="Calibri"/>
          <w:b/>
          <w:bCs/>
          <w:color w:val="131A18"/>
          <w:sz w:val="23"/>
          <w:szCs w:val="23"/>
        </w:rPr>
        <w:t xml:space="preserve">Objective 4 — Build AI development skills in the team</w:t>
      </w:r>
    </w:p>
    <w:p>
      <w:pPr>
        <w:spacing w:after="140" w:line="276"/>
      </w:pPr>
      <w:r>
        <w:rPr>
          <w:rFonts w:ascii="Calibri" w:cs="Calibri" w:eastAsia="Calibri" w:hAnsi="Calibri"/>
          <w:color w:val="131A18"/>
          <w:sz w:val="21"/>
          <w:szCs w:val="21"/>
        </w:rPr>
        <w:t xml:space="preserve">The team is new to building with AI, and this initiative is deliberately also a learning exercise. The intent is to expand the team's skillset with the technologies this kind of work requires — retrieval, orchestration, evaluation, and the frameworks around them, of which LangChain is one example among several — rather than to acquire a single tool.</w:t>
      </w:r>
    </w:p>
    <w:p>
      <w:pPr>
        <w:spacing w:after="140" w:line="276"/>
      </w:pPr>
      <w:r>
        <w:rPr>
          <w:rFonts w:ascii="Calibri" w:cs="Calibri" w:eastAsia="Calibri" w:hAnsi="Calibri"/>
          <w:color w:val="131A18"/>
          <w:sz w:val="21"/>
          <w:szCs w:val="21"/>
        </w:rPr>
        <w:t xml:space="preserve">The expected return is optionality. A team that understands how these systems are built recognises where else they would help, and can judge what to build, what to buy and what to leave alone. We would equally welcome the CoE pointing us toward teams further ahead than us; learning in that direction is the more valuable one.</w:t>
      </w:r>
    </w:p>
    <w:p>
      <w:pPr>
        <w:spacing w:after="60"/>
      </w:pPr>
    </w:p>
    <w:tbl>
      <w:tblPr>
        <w:tblW w:type="dxa" w:w="9360"/>
        <w:tblBorders>
          <w:top w:val="none" w:color="FFFFFF" w:sz="0"/>
          <w:left w:val="single" w:color="0E6B60" w:sz="12"/>
          <w:bottom w:val="none" w:color="FFFFFF" w:sz="0"/>
          <w:right w:val="none" w:color="FFFFFF" w:sz="0"/>
          <w:insideH w:val="none" w:color="FFFFFF" w:sz="0"/>
          <w:insideV w:val="none" w:color="FFFFFF" w:sz="0"/>
        </w:tblBorders>
      </w:tblPr>
      <w:tblGrid>
        <w:gridCol w:w="9360"/>
      </w:tblGrid>
      <w:tr>
        <w:tc>
          <w:tcPr>
            <w:tcW w:type="dxa" w:w="9360"/>
            <w:shd w:fill="F2F6F5" w:val="clear"/>
            <w:tcMar>
              <w:top w:type="dxa" w:w="160"/>
              <w:left w:type="dxa" w:w="220"/>
              <w:bottom w:type="dxa" w:w="160"/>
              <w:right w:type="dxa" w:w="220"/>
            </w:tcMar>
          </w:tcPr>
          <w:p>
            <w:pPr>
              <w:spacing w:after="80"/>
            </w:pPr>
            <w:r>
              <w:rPr>
                <w:rFonts w:ascii="Consolas" w:cs="Consolas" w:eastAsia="Consolas" w:hAnsi="Consolas"/>
                <w:b/>
                <w:bCs/>
                <w:color w:val="0E6B60"/>
                <w:spacing w:val="30"/>
                <w:sz w:val="15"/>
                <w:szCs w:val="15"/>
              </w:rPr>
              <w:t xml:space="preserve">ON BENEFIT MEASUREMENT</w:t>
            </w:r>
          </w:p>
          <w:p>
            <w:pPr>
              <w:spacing w:after="100" w:line="276"/>
            </w:pPr>
            <w:r>
              <w:rPr>
                <w:rFonts w:ascii="Calibri" w:cs="Calibri" w:eastAsia="Calibri" w:hAnsi="Calibri"/>
                <w:color w:val="131A18"/>
                <w:sz w:val="20"/>
                <w:szCs w:val="20"/>
              </w:rPr>
              <w:t xml:space="preserve">We do not have a measured baseline for any of these objectives, and at this stage we would not expect to. Figures quoted now would be estimates presented as evidence.</w:t>
            </w:r>
          </w:p>
          <w:p>
            <w:pPr>
              <w:spacing w:after="0" w:line="276"/>
            </w:pPr>
            <w:r>
              <w:rPr>
                <w:rFonts w:ascii="Calibri" w:cs="Calibri" w:eastAsia="Calibri" w:hAnsi="Calibri"/>
                <w:color w:val="131A18"/>
                <w:sz w:val="20"/>
                <w:szCs w:val="20"/>
              </w:rPr>
              <w:t xml:space="preserve">We propose instead that establishing a baseline becomes a condition of proceeding past prototype: across the DevOps and Client Services pilot, instrument how long a defined set of questions takes to answer today against how long it takes through Kortex, over a four-week window. The telemetry needed to do this is already part of the design.</w:t>
            </w:r>
          </w:p>
        </w:tc>
      </w:tr>
    </w:tbl>
    <w:p>
      <w:pPr>
        <w:pStyle w:val="Heading1"/>
        <w:pBdr>
          <w:bottom w:val="single" w:color="D9E0DE" w:sz="6" w:space="6"/>
        </w:pBdr>
        <w:spacing w:after="180" w:before="420"/>
      </w:pPr>
      <w:r>
        <w:rPr>
          <w:rFonts w:ascii="Calibri" w:cs="Calibri" w:eastAsia="Calibri" w:hAnsi="Calibri"/>
          <w:b/>
          <w:bCs/>
          <w:color w:val="131A18"/>
          <w:sz w:val="30"/>
          <w:szCs w:val="30"/>
        </w:rPr>
        <w:t xml:space="preserve">3. Use cases</w:t>
      </w:r>
    </w:p>
    <w:p>
      <w:pPr>
        <w:spacing w:after="140" w:line="276"/>
      </w:pPr>
      <w:r>
        <w:rPr>
          <w:rFonts w:ascii="Calibri" w:cs="Calibri" w:eastAsia="Calibri" w:hAnsi="Calibri"/>
          <w:color w:val="131A18"/>
          <w:sz w:val="21"/>
          <w:szCs w:val="21"/>
        </w:rPr>
        <w:t xml:space="preserve">Seven use cases have been identified, all within Kortex. Several are delivered through skills — self-contained integrations with Salesforce, ServiceNow, Jira, Office 365 and our database administration application — which Kortex agents call.</w:t>
      </w:r>
    </w:p>
    <w:tbl>
      <w:tblPr>
        <w:tblW w:type="dxa" w:w="9360"/>
        <w:tblBorders>
          <w:top w:val="single" w:color="D9E0DE" w:sz="4"/>
          <w:left w:val="single" w:color="D9E0DE" w:sz="4"/>
          <w:bottom w:val="single" w:color="D9E0DE" w:sz="4"/>
          <w:right w:val="single" w:color="D9E0DE" w:sz="4"/>
          <w:insideH w:val="single" w:color="D9E0DE" w:sz="4"/>
          <w:insideV w:val="single" w:color="D9E0DE" w:sz="4"/>
        </w:tblBorders>
      </w:tblPr>
      <w:tblGrid>
        <w:gridCol w:w="900"/>
        <w:gridCol w:w="2100"/>
        <w:gridCol w:w="5060"/>
        <w:gridCol w:w="1300"/>
      </w:tblGrid>
      <w:tr>
        <w:trPr>
          <w:tblHeader/>
        </w:trPr>
        <w:tc>
          <w:tcPr>
            <w:tcW w:type="dxa" w:w="900"/>
            <w:shd w:fill="F2F6F5" w:val="clear"/>
            <w:tcMar>
              <w:top w:type="dxa" w:w="100"/>
              <w:left w:type="dxa" w:w="140"/>
              <w:bottom w:type="dxa" w:w="100"/>
              <w:right w:type="dxa" w:w="140"/>
            </w:tcMar>
          </w:tcPr>
          <w:p>
            <w:pPr>
              <w:spacing w:after="0"/>
            </w:pPr>
            <w:r>
              <w:rPr>
                <w:rFonts w:ascii="Consolas" w:cs="Consolas" w:eastAsia="Consolas" w:hAnsi="Consolas"/>
                <w:b/>
                <w:bCs/>
                <w:color w:val="5B6764"/>
                <w:spacing w:val="20"/>
                <w:sz w:val="15"/>
                <w:szCs w:val="15"/>
              </w:rPr>
              <w:t xml:space="preserve">REF</w:t>
            </w:r>
          </w:p>
        </w:tc>
        <w:tc>
          <w:tcPr>
            <w:tcW w:type="dxa" w:w="2100"/>
            <w:shd w:fill="F2F6F5" w:val="clear"/>
            <w:tcMar>
              <w:top w:type="dxa" w:w="100"/>
              <w:left w:type="dxa" w:w="140"/>
              <w:bottom w:type="dxa" w:w="100"/>
              <w:right w:type="dxa" w:w="140"/>
            </w:tcMar>
          </w:tcPr>
          <w:p>
            <w:pPr>
              <w:spacing w:after="0"/>
            </w:pPr>
            <w:r>
              <w:rPr>
                <w:rFonts w:ascii="Consolas" w:cs="Consolas" w:eastAsia="Consolas" w:hAnsi="Consolas"/>
                <w:b/>
                <w:bCs/>
                <w:color w:val="5B6764"/>
                <w:spacing w:val="20"/>
                <w:sz w:val="15"/>
                <w:szCs w:val="15"/>
              </w:rPr>
              <w:t xml:space="preserve">USE CASE</w:t>
            </w:r>
          </w:p>
        </w:tc>
        <w:tc>
          <w:tcPr>
            <w:tcW w:type="dxa" w:w="5060"/>
            <w:shd w:fill="F2F6F5" w:val="clear"/>
            <w:tcMar>
              <w:top w:type="dxa" w:w="100"/>
              <w:left w:type="dxa" w:w="140"/>
              <w:bottom w:type="dxa" w:w="100"/>
              <w:right w:type="dxa" w:w="140"/>
            </w:tcMar>
          </w:tcPr>
          <w:p>
            <w:pPr>
              <w:spacing w:after="0"/>
            </w:pPr>
            <w:r>
              <w:rPr>
                <w:rFonts w:ascii="Consolas" w:cs="Consolas" w:eastAsia="Consolas" w:hAnsi="Consolas"/>
                <w:b/>
                <w:bCs/>
                <w:color w:val="5B6764"/>
                <w:spacing w:val="20"/>
                <w:sz w:val="15"/>
                <w:szCs w:val="15"/>
              </w:rPr>
              <w:t xml:space="preserve">HOW IT WORKS</w:t>
            </w:r>
          </w:p>
        </w:tc>
        <w:tc>
          <w:tcPr>
            <w:tcW w:type="dxa" w:w="1300"/>
            <w:shd w:fill="F2F6F5" w:val="clear"/>
            <w:tcMar>
              <w:top w:type="dxa" w:w="100"/>
              <w:left w:type="dxa" w:w="140"/>
              <w:bottom w:type="dxa" w:w="100"/>
              <w:right w:type="dxa" w:w="140"/>
            </w:tcMar>
          </w:tcPr>
          <w:p>
            <w:pPr>
              <w:spacing w:after="0"/>
            </w:pPr>
            <w:r>
              <w:rPr>
                <w:rFonts w:ascii="Consolas" w:cs="Consolas" w:eastAsia="Consolas" w:hAnsi="Consolas"/>
                <w:b/>
                <w:bCs/>
                <w:color w:val="5B6764"/>
                <w:spacing w:val="20"/>
                <w:sz w:val="15"/>
                <w:szCs w:val="15"/>
              </w:rPr>
              <w:t xml:space="preserve">STATUS</w:t>
            </w:r>
          </w:p>
        </w:tc>
      </w:tr>
      <w:tr>
        <w:tc>
          <w:tcPr>
            <w:tcW w:type="dxa" w:w="9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UC-01</w:t>
            </w:r>
          </w:p>
        </w:tc>
        <w:tc>
          <w:tcPr>
            <w:tcW w:type="dxa" w:w="21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Product documentation Q&amp;A</w:t>
            </w:r>
          </w:p>
        </w:tc>
        <w:tc>
          <w:tcPr>
            <w:tcW w:type="dxa" w:w="50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Semantic retrieval over the ingested corpus, with relevance grading and a web-search fallback when internal documents do not answer the question.</w:t>
            </w:r>
          </w:p>
        </w:tc>
        <w:tc>
          <w:tcPr>
            <w:tcW w:type="dxa" w:w="13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Working</w:t>
            </w:r>
          </w:p>
        </w:tc>
      </w:tr>
      <w:tr>
        <w:tc>
          <w:tcPr>
            <w:tcW w:type="dxa" w:w="9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UC-02</w:t>
            </w:r>
          </w:p>
        </w:tc>
        <w:tc>
          <w:tcPr>
            <w:tcW w:type="dxa" w:w="21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CVE impact assessment</w:t>
            </w:r>
          </w:p>
        </w:tc>
        <w:tc>
          <w:tcPr>
            <w:tcW w:type="dxa" w:w="50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Correlates an incoming advisory with our own investigation and resolution history. Vulnerability report data is read-only to us.</w:t>
            </w:r>
          </w:p>
        </w:tc>
        <w:tc>
          <w:tcPr>
            <w:tcW w:type="dxa" w:w="13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Planned</w:t>
            </w:r>
          </w:p>
        </w:tc>
      </w:tr>
      <w:tr>
        <w:tc>
          <w:tcPr>
            <w:tcW w:type="dxa" w:w="9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UC-03</w:t>
            </w:r>
          </w:p>
        </w:tc>
        <w:tc>
          <w:tcPr>
            <w:tcW w:type="dxa" w:w="21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Database operations</w:t>
            </w:r>
          </w:p>
        </w:tc>
        <w:tc>
          <w:tcPr>
            <w:tcW w:type="dxa" w:w="50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Database questions and operations routed to our existing database administration service. Includes write operations — see Section 7.</w:t>
            </w:r>
          </w:p>
        </w:tc>
        <w:tc>
          <w:tcPr>
            <w:tcW w:type="dxa" w:w="13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Working</w:t>
            </w:r>
          </w:p>
        </w:tc>
      </w:tr>
      <w:tr>
        <w:tc>
          <w:tcPr>
            <w:tcW w:type="dxa" w:w="9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UC-04</w:t>
            </w:r>
          </w:p>
        </w:tc>
        <w:tc>
          <w:tcPr>
            <w:tcW w:type="dxa" w:w="21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Document corpus management</w:t>
            </w:r>
          </w:p>
        </w:tc>
        <w:tc>
          <w:tcPr>
            <w:tcW w:type="dxa" w:w="50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Admin interface to browse, upload and delete ingested documents, with asynchronous processing and content-hash deduplication.</w:t>
            </w:r>
          </w:p>
        </w:tc>
        <w:tc>
          <w:tcPr>
            <w:tcW w:type="dxa" w:w="13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Partial</w:t>
            </w:r>
          </w:p>
        </w:tc>
      </w:tr>
      <w:tr>
        <w:tc>
          <w:tcPr>
            <w:tcW w:type="dxa" w:w="9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UC-05</w:t>
            </w:r>
          </w:p>
        </w:tc>
        <w:tc>
          <w:tcPr>
            <w:tcW w:type="dxa" w:w="21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Daily operational digest</w:t>
            </w:r>
          </w:p>
        </w:tc>
        <w:tc>
          <w:tcPr>
            <w:tcW w:type="dxa" w:w="50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Per-agent daily reports aggregated into a single view, which can be carried into a chat session for follow-up questions.</w:t>
            </w:r>
          </w:p>
        </w:tc>
        <w:tc>
          <w:tcPr>
            <w:tcW w:type="dxa" w:w="13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Partial</w:t>
            </w:r>
          </w:p>
        </w:tc>
      </w:tr>
      <w:tr>
        <w:tc>
          <w:tcPr>
            <w:tcW w:type="dxa" w:w="9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UC-06</w:t>
            </w:r>
          </w:p>
        </w:tc>
        <w:tc>
          <w:tcPr>
            <w:tcW w:type="dxa" w:w="21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Case 360° triage</w:t>
            </w:r>
          </w:p>
        </w:tc>
        <w:tc>
          <w:tcPr>
            <w:tcW w:type="dxa" w:w="50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Pulls a Salesforce case together with related ServiceNow, Jira and Office 365 context. Client-identifying content — higher classification.</w:t>
            </w:r>
          </w:p>
        </w:tc>
        <w:tc>
          <w:tcPr>
            <w:tcW w:type="dxa" w:w="13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Partial</w:t>
            </w:r>
          </w:p>
        </w:tc>
      </w:tr>
      <w:tr>
        <w:tc>
          <w:tcPr>
            <w:tcW w:type="dxa" w:w="9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UC-07</w:t>
            </w:r>
          </w:p>
        </w:tc>
        <w:tc>
          <w:tcPr>
            <w:tcW w:type="dxa" w:w="21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Role-based profiles</w:t>
            </w:r>
          </w:p>
        </w:tc>
        <w:tc>
          <w:tcPr>
            <w:tcW w:type="dxa" w:w="50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Curated instruction sets per profile so day-to-day assistant use follows team conventions.</w:t>
            </w:r>
          </w:p>
        </w:tc>
        <w:tc>
          <w:tcPr>
            <w:tcW w:type="dxa" w:w="13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Partial</w:t>
            </w:r>
          </w:p>
        </w:tc>
      </w:tr>
    </w:tbl>
    <w:p>
      <w:pPr>
        <w:spacing w:after="200"/>
      </w:pPr>
    </w:p>
    <w:p>
      <w:pPr>
        <w:pStyle w:val="Heading2"/>
        <w:spacing w:after="110" w:before="280"/>
      </w:pPr>
      <w:r>
        <w:rPr>
          <w:rFonts w:ascii="Calibri" w:cs="Calibri" w:eastAsia="Calibri" w:hAnsi="Calibri"/>
          <w:b/>
          <w:bCs/>
          <w:color w:val="131A18"/>
          <w:sz w:val="23"/>
          <w:szCs w:val="23"/>
        </w:rPr>
        <w:t xml:space="preserve">Planned, held pending the model decision</w:t>
      </w:r>
    </w:p>
    <w:p>
      <w:pPr>
        <w:pStyle w:val="ListParagraph"/>
        <w:numPr>
          <w:ilvl w:val="0"/>
          <w:numId w:val="2"/>
        </w:numPr>
        <w:spacing w:after="90" w:line="276"/>
      </w:pPr>
      <w:r>
        <w:rPr>
          <w:rFonts w:ascii="Calibri" w:cs="Calibri" w:eastAsia="Calibri" w:hAnsi="Calibri"/>
          <w:b/>
          <w:bCs/>
          <w:color w:val="131A18"/>
          <w:sz w:val="21"/>
          <w:szCs w:val="21"/>
        </w:rPr>
        <w:t xml:space="preserve">User-selectable models</w:t>
      </w:r>
      <w:r>
        <w:rPr>
          <w:rFonts w:ascii="Calibri" w:cs="Calibri" w:eastAsia="Calibri" w:hAnsi="Calibri"/>
          <w:color w:val="131A18"/>
          <w:sz w:val="21"/>
          <w:szCs w:val="21"/>
        </w:rPr>
        <w:t xml:space="preserve"> — letting users pick a model per task, with the interface adapting to reasoning, tool-calling and vision capability. Specified, not built.</w:t>
      </w:r>
    </w:p>
    <w:p>
      <w:pPr>
        <w:pStyle w:val="ListParagraph"/>
        <w:numPr>
          <w:ilvl w:val="0"/>
          <w:numId w:val="2"/>
        </w:numPr>
        <w:spacing w:after="90" w:line="276"/>
      </w:pPr>
      <w:r>
        <w:rPr>
          <w:rFonts w:ascii="Calibri" w:cs="Calibri" w:eastAsia="Calibri" w:hAnsi="Calibri"/>
          <w:b/>
          <w:bCs/>
          <w:color w:val="131A18"/>
          <w:sz w:val="21"/>
          <w:szCs w:val="21"/>
        </w:rPr>
        <w:t xml:space="preserve">Image input</w:t>
      </w:r>
      <w:r>
        <w:rPr>
          <w:rFonts w:ascii="Calibri" w:cs="Calibri" w:eastAsia="Calibri" w:hAnsi="Calibri"/>
          <w:color w:val="131A18"/>
          <w:sz w:val="21"/>
          <w:szCs w:val="21"/>
        </w:rPr>
        <w:t xml:space="preserve"> — attaching a screenshot to a question. Support work is largely visual: an error dialog, a stack trace, a configuration screen. Ingesting case-specific troubleshooting documentation makes this more useful still, since much of that material is itself screenshots.</w:t>
      </w:r>
    </w:p>
    <w:p>
      <w:pPr>
        <w:pStyle w:val="Heading2"/>
        <w:spacing w:after="110" w:before="280"/>
      </w:pPr>
      <w:r>
        <w:rPr>
          <w:rFonts w:ascii="Calibri" w:cs="Calibri" w:eastAsia="Calibri" w:hAnsi="Calibri"/>
          <w:b/>
          <w:bCs/>
          <w:color w:val="131A18"/>
          <w:sz w:val="23"/>
          <w:szCs w:val="23"/>
        </w:rPr>
        <w:t xml:space="preserve">Evaluated and rejected</w:t>
      </w:r>
    </w:p>
    <w:p>
      <w:pPr>
        <w:pStyle w:val="ListParagraph"/>
        <w:numPr>
          <w:ilvl w:val="0"/>
          <w:numId w:val="2"/>
        </w:numPr>
        <w:spacing w:after="90" w:line="276"/>
      </w:pPr>
      <w:r>
        <w:rPr>
          <w:rFonts w:ascii="Calibri" w:cs="Calibri" w:eastAsia="Calibri" w:hAnsi="Calibri"/>
          <w:b/>
          <w:bCs/>
          <w:color w:val="131A18"/>
          <w:sz w:val="21"/>
          <w:szCs w:val="21"/>
        </w:rPr>
        <w:t xml:space="preserve">Hosted web search.</w:t>
      </w:r>
      <w:r>
        <w:rPr>
          <w:rFonts w:ascii="Calibri" w:cs="Calibri" w:eastAsia="Calibri" w:hAnsi="Calibri"/>
          <w:color w:val="131A18"/>
          <w:sz w:val="21"/>
          <w:szCs w:val="21"/>
        </w:rPr>
        <w:t xml:space="preserve"> Its free tier could not carry our usage, and paying for one would have placed a history of what Finastra staff research with a third party under contract. We run self-hosted metasearch instead — a container inside the Kortex stack, with no external API dependency, no vendor account and no key.</w:t>
      </w:r>
    </w:p>
    <w:p>
      <w:pPr>
        <w:pStyle w:val="Heading1"/>
        <w:pBdr>
          <w:bottom w:val="single" w:color="D9E0DE" w:sz="6" w:space="6"/>
        </w:pBdr>
        <w:spacing w:after="180" w:before="420"/>
      </w:pPr>
      <w:r>
        <w:rPr>
          <w:rFonts w:ascii="Calibri" w:cs="Calibri" w:eastAsia="Calibri" w:hAnsi="Calibri"/>
          <w:b/>
          <w:bCs/>
          <w:color w:val="131A18"/>
          <w:sz w:val="30"/>
          <w:szCs w:val="30"/>
        </w:rPr>
        <w:t xml:space="preserve">4. Where the project stands</w:t>
      </w:r>
    </w:p>
    <w:p>
      <w:pPr>
        <w:spacing w:after="140" w:line="276"/>
      </w:pPr>
      <w:r>
        <w:rPr>
          <w:rFonts w:ascii="Calibri" w:cs="Calibri" w:eastAsia="Calibri" w:hAnsi="Calibri"/>
          <w:color w:val="131A18"/>
          <w:sz w:val="21"/>
          <w:szCs w:val="21"/>
        </w:rPr>
        <w:t xml:space="preserve">We would rather be direct about this than present the initiative as further along than it is.</w:t>
      </w:r>
    </w:p>
    <w:p>
      <w:pPr>
        <w:pStyle w:val="Heading2"/>
        <w:spacing w:after="110" w:before="280"/>
      </w:pPr>
      <w:r>
        <w:rPr>
          <w:rFonts w:ascii="Calibri" w:cs="Calibri" w:eastAsia="Calibri" w:hAnsi="Calibri"/>
          <w:b/>
          <w:bCs/>
          <w:color w:val="131A18"/>
          <w:sz w:val="23"/>
          <w:szCs w:val="23"/>
        </w:rPr>
        <w:t xml:space="preserve">What has been demonstrated</w:t>
      </w:r>
    </w:p>
    <w:p>
      <w:pPr>
        <w:spacing w:after="140" w:line="276"/>
      </w:pPr>
      <w:r>
        <w:rPr>
          <w:rFonts w:ascii="Calibri" w:cs="Calibri" w:eastAsia="Calibri" w:hAnsi="Calibri"/>
          <w:color w:val="131A18"/>
          <w:sz w:val="21"/>
          <w:szCs w:val="21"/>
        </w:rPr>
        <w:t xml:space="preserve">The core pattern works end to end: sign-in, role-based access, semantic retrieval over an ingested corpus, streamed answers with source citations, and conversation memory. The multi-agent extension is written and structurally complete, but has not been validated against real questions or real users.</w:t>
      </w:r>
    </w:p>
    <w:p>
      <w:pPr>
        <w:pStyle w:val="Heading2"/>
        <w:spacing w:after="110" w:before="280"/>
      </w:pPr>
      <w:r>
        <w:rPr>
          <w:rFonts w:ascii="Calibri" w:cs="Calibri" w:eastAsia="Calibri" w:hAnsi="Calibri"/>
          <w:b/>
          <w:bCs/>
          <w:color w:val="131A18"/>
          <w:sz w:val="23"/>
          <w:szCs w:val="23"/>
        </w:rPr>
        <w:t xml:space="preserve">What has stopped</w:t>
      </w:r>
    </w:p>
    <w:tbl>
      <w:tblPr>
        <w:tblW w:type="dxa" w:w="9360"/>
        <w:tblBorders>
          <w:top w:val="none" w:color="FFFFFF" w:sz="0"/>
          <w:left w:val="single" w:color="A33C22" w:sz="12"/>
          <w:bottom w:val="none" w:color="FFFFFF" w:sz="0"/>
          <w:right w:val="none" w:color="FFFFFF" w:sz="0"/>
          <w:insideH w:val="none" w:color="FFFFFF" w:sz="0"/>
          <w:insideV w:val="none" w:color="FFFFFF" w:sz="0"/>
        </w:tblBorders>
      </w:tblPr>
      <w:tblGrid>
        <w:gridCol w:w="9360"/>
      </w:tblGrid>
      <w:tr>
        <w:tc>
          <w:tcPr>
            <w:tcW w:type="dxa" w:w="9360"/>
            <w:shd w:fill="FBF0EC" w:val="clear"/>
            <w:tcMar>
              <w:top w:type="dxa" w:w="160"/>
              <w:left w:type="dxa" w:w="220"/>
              <w:bottom w:type="dxa" w:w="160"/>
              <w:right w:type="dxa" w:w="220"/>
            </w:tcMar>
          </w:tcPr>
          <w:p>
            <w:pPr>
              <w:spacing w:after="80"/>
            </w:pPr>
            <w:r>
              <w:rPr>
                <w:rFonts w:ascii="Consolas" w:cs="Consolas" w:eastAsia="Consolas" w:hAnsi="Consolas"/>
                <w:b/>
                <w:bCs/>
                <w:color w:val="A33C22"/>
                <w:spacing w:val="30"/>
                <w:sz w:val="15"/>
                <w:szCs w:val="15"/>
              </w:rPr>
              <w:t xml:space="preserve">DEVELOPMENT IS BLOCKED</w:t>
            </w:r>
          </w:p>
          <w:p>
            <w:pPr>
              <w:spacing w:after="100" w:line="276"/>
            </w:pPr>
            <w:r>
              <w:rPr>
                <w:rFonts w:ascii="Calibri" w:cs="Calibri" w:eastAsia="Calibri" w:hAnsi="Calibri"/>
                <w:color w:val="131A18"/>
                <w:sz w:val="20"/>
                <w:szCs w:val="20"/>
              </w:rPr>
              <w:t xml:space="preserve">Kortex was built against </w:t>
            </w:r>
            <w:r>
              <w:rPr>
                <w:rFonts w:ascii="Calibri" w:cs="Calibri" w:eastAsia="Calibri" w:hAnsi="Calibri"/>
                <w:b/>
                <w:bCs/>
                <w:color w:val="131A18"/>
                <w:sz w:val="20"/>
                <w:szCs w:val="20"/>
              </w:rPr>
              <w:t xml:space="preserve">GitHub Models</w:t>
            </w:r>
            <w:r>
              <w:rPr>
                <w:rFonts w:ascii="Calibri" w:cs="Calibri" w:eastAsia="Calibri" w:hAnsi="Calibri"/>
                <w:color w:val="131A18"/>
                <w:sz w:val="20"/>
                <w:szCs w:val="20"/>
              </w:rPr>
              <w:t xml:space="preserve"> for both chat inference and embeddings. That service has now been fully retired. Every path through the system depends on it — answering, intent classification, document grading and corpus embedding — so development has halted rather than slowed.</w:t>
            </w:r>
          </w:p>
          <w:p>
            <w:pPr>
              <w:spacing w:after="0" w:line="276"/>
            </w:pPr>
            <w:r>
              <w:rPr>
                <w:rFonts w:ascii="Calibri" w:cs="Calibri" w:eastAsia="Calibri" w:hAnsi="Calibri"/>
                <w:color w:val="131A18"/>
                <w:sz w:val="20"/>
                <w:szCs w:val="20"/>
              </w:rPr>
              <w:t xml:space="preserve">This is the single reason we are bringing the submission now rather than after further build.</w:t>
            </w:r>
          </w:p>
        </w:tc>
      </w:tr>
    </w:tbl>
    <w:p>
      <w:pPr>
        <w:spacing w:after="140"/>
      </w:pPr>
    </w:p>
    <w:p>
      <w:pPr>
        <w:spacing w:after="140" w:line="276"/>
      </w:pPr>
      <w:r>
        <w:rPr>
          <w:rFonts w:ascii="Calibri" w:cs="Calibri" w:eastAsia="Calibri" w:hAnsi="Calibri"/>
          <w:color w:val="131A18"/>
          <w:sz w:val="21"/>
          <w:szCs w:val="21"/>
        </w:rPr>
        <w:t xml:space="preserve">In fairness to the decision that has been made for us: GitHub Models was an experimentation-tier service, and the prototype had already run into its limits. Our own status report records first responses taking around a minute because of rate-limit backoff, and the ingestion pipeline carries a deliberate pause between embedding batches for the same reason. We would have had to move to a production-grade inference service regardless.</w:t>
      </w:r>
    </w:p>
    <w:p>
      <w:pPr>
        <w:pStyle w:val="Heading2"/>
        <w:spacing w:after="110" w:before="280"/>
      </w:pPr>
      <w:r>
        <w:rPr>
          <w:rFonts w:ascii="Calibri" w:cs="Calibri" w:eastAsia="Calibri" w:hAnsi="Calibri"/>
          <w:b/>
          <w:bCs/>
          <w:color w:val="131A18"/>
          <w:sz w:val="23"/>
          <w:szCs w:val="23"/>
        </w:rPr>
        <w:t xml:space="preserve">Why this is a procurement question, not an engineering one</w:t>
      </w:r>
    </w:p>
    <w:p>
      <w:pPr>
        <w:spacing w:after="140" w:line="276"/>
      </w:pPr>
      <w:r>
        <w:rPr>
          <w:rFonts w:ascii="Calibri" w:cs="Calibri" w:eastAsia="Calibri" w:hAnsi="Calibri"/>
          <w:color w:val="131A18"/>
          <w:sz w:val="21"/>
          <w:szCs w:val="21"/>
        </w:rPr>
        <w:t xml:space="preserve">The model client is built against an OpenAI-compatible interface with a configurable endpoint. Any provider offering that interface is a </w:t>
      </w:r>
      <w:r>
        <w:rPr>
          <w:rFonts w:ascii="Calibri" w:cs="Calibri" w:eastAsia="Calibri" w:hAnsi="Calibri"/>
          <w:b/>
          <w:bCs/>
          <w:color w:val="131A18"/>
          <w:sz w:val="21"/>
          <w:szCs w:val="21"/>
        </w:rPr>
        <w:t xml:space="preserve">configuration change</w:t>
      </w:r>
      <w:r>
        <w:rPr>
          <w:rFonts w:ascii="Calibri" w:cs="Calibri" w:eastAsia="Calibri" w:hAnsi="Calibri"/>
          <w:color w:val="131A18"/>
          <w:sz w:val="21"/>
          <w:szCs w:val="21"/>
        </w:rPr>
        <w:t xml:space="preserve"> — endpoint, credential, model name — not a redesign. The architecture in Section 5 is unaffected by which provider is chosen.</w:t>
      </w:r>
    </w:p>
    <w:p>
      <w:pPr>
        <w:spacing w:after="140" w:line="276"/>
      </w:pPr>
      <w:r>
        <w:rPr>
          <w:rFonts w:ascii="Calibri" w:cs="Calibri" w:eastAsia="Calibri" w:hAnsi="Calibri"/>
          <w:color w:val="131A18"/>
          <w:sz w:val="21"/>
          <w:szCs w:val="21"/>
        </w:rPr>
        <w:t xml:space="preserve">There is one real migration cost. The embedding model determines the vector dimensions of the corpus index, so </w:t>
      </w:r>
      <w:r>
        <w:rPr>
          <w:rFonts w:ascii="Calibri" w:cs="Calibri" w:eastAsia="Calibri" w:hAnsi="Calibri"/>
          <w:b/>
          <w:bCs/>
          <w:color w:val="131A18"/>
          <w:sz w:val="21"/>
          <w:szCs w:val="21"/>
        </w:rPr>
        <w:t xml:space="preserve">changing embedding provider means re-embedding the entire corpus</w:t>
      </w:r>
      <w:r>
        <w:rPr>
          <w:rFonts w:ascii="Calibri" w:cs="Calibri" w:eastAsia="Calibri" w:hAnsi="Calibri"/>
          <w:color w:val="131A18"/>
          <w:sz w:val="21"/>
          <w:szCs w:val="21"/>
        </w:rPr>
        <w:t xml:space="preserve"> and recreating the index. That is manageable now, while the corpus is small, and progressively less so later.</w:t>
      </w:r>
    </w:p>
    <w:p>
      <w:pPr>
        <w:pStyle w:val="Heading2"/>
        <w:spacing w:after="110" w:before="280"/>
      </w:pPr>
      <w:r>
        <w:rPr>
          <w:rFonts w:ascii="Calibri" w:cs="Calibri" w:eastAsia="Calibri" w:hAnsi="Calibri"/>
          <w:b/>
          <w:bCs/>
          <w:color w:val="131A18"/>
          <w:sz w:val="23"/>
          <w:szCs w:val="23"/>
        </w:rPr>
        <w:t xml:space="preserve">Options, for the CoE to rule on</w:t>
      </w:r>
    </w:p>
    <w:tbl>
      <w:tblPr>
        <w:tblW w:type="dxa" w:w="9360"/>
        <w:tblBorders>
          <w:top w:val="single" w:color="D9E0DE" w:sz="4"/>
          <w:left w:val="single" w:color="D9E0DE" w:sz="4"/>
          <w:bottom w:val="single" w:color="D9E0DE" w:sz="4"/>
          <w:right w:val="single" w:color="D9E0DE" w:sz="4"/>
          <w:insideH w:val="single" w:color="D9E0DE" w:sz="4"/>
          <w:insideV w:val="single" w:color="D9E0DE" w:sz="4"/>
        </w:tblBorders>
      </w:tblPr>
      <w:tblGrid>
        <w:gridCol w:w="2400"/>
        <w:gridCol w:w="3100"/>
        <w:gridCol w:w="1360"/>
        <w:gridCol w:w="2500"/>
      </w:tblGrid>
      <w:tr>
        <w:trPr>
          <w:tblHeader/>
        </w:trPr>
        <w:tc>
          <w:tcPr>
            <w:tcW w:type="dxa" w:w="2400"/>
            <w:shd w:fill="F2F6F5" w:val="clear"/>
            <w:tcMar>
              <w:top w:type="dxa" w:w="100"/>
              <w:left w:type="dxa" w:w="140"/>
              <w:bottom w:type="dxa" w:w="100"/>
              <w:right w:type="dxa" w:w="140"/>
            </w:tcMar>
          </w:tcPr>
          <w:p>
            <w:pPr>
              <w:spacing w:after="0"/>
            </w:pPr>
            <w:r>
              <w:rPr>
                <w:rFonts w:ascii="Consolas" w:cs="Consolas" w:eastAsia="Consolas" w:hAnsi="Consolas"/>
                <w:b/>
                <w:bCs/>
                <w:color w:val="5B6764"/>
                <w:spacing w:val="20"/>
                <w:sz w:val="15"/>
                <w:szCs w:val="15"/>
              </w:rPr>
              <w:t xml:space="preserve">OPTION</w:t>
            </w:r>
          </w:p>
        </w:tc>
        <w:tc>
          <w:tcPr>
            <w:tcW w:type="dxa" w:w="3100"/>
            <w:shd w:fill="F2F6F5" w:val="clear"/>
            <w:tcMar>
              <w:top w:type="dxa" w:w="100"/>
              <w:left w:type="dxa" w:w="140"/>
              <w:bottom w:type="dxa" w:w="100"/>
              <w:right w:type="dxa" w:w="140"/>
            </w:tcMar>
          </w:tcPr>
          <w:p>
            <w:pPr>
              <w:spacing w:after="0"/>
            </w:pPr>
            <w:r>
              <w:rPr>
                <w:rFonts w:ascii="Consolas" w:cs="Consolas" w:eastAsia="Consolas" w:hAnsi="Consolas"/>
                <w:b/>
                <w:bCs/>
                <w:color w:val="5B6764"/>
                <w:spacing w:val="20"/>
                <w:sz w:val="15"/>
                <w:szCs w:val="15"/>
              </w:rPr>
              <w:t xml:space="preserve">DATA HANDLING POSTURE</w:t>
            </w:r>
          </w:p>
        </w:tc>
        <w:tc>
          <w:tcPr>
            <w:tcW w:type="dxa" w:w="1360"/>
            <w:shd w:fill="F2F6F5" w:val="clear"/>
            <w:tcMar>
              <w:top w:type="dxa" w:w="100"/>
              <w:left w:type="dxa" w:w="140"/>
              <w:bottom w:type="dxa" w:w="100"/>
              <w:right w:type="dxa" w:w="140"/>
            </w:tcMar>
          </w:tcPr>
          <w:p>
            <w:pPr>
              <w:spacing w:after="0"/>
            </w:pPr>
            <w:r>
              <w:rPr>
                <w:rFonts w:ascii="Consolas" w:cs="Consolas" w:eastAsia="Consolas" w:hAnsi="Consolas"/>
                <w:b/>
                <w:bCs/>
                <w:color w:val="5B6764"/>
                <w:spacing w:val="20"/>
                <w:sz w:val="15"/>
                <w:szCs w:val="15"/>
              </w:rPr>
              <w:t xml:space="preserve">EFFORT</w:t>
            </w:r>
          </w:p>
        </w:tc>
        <w:tc>
          <w:tcPr>
            <w:tcW w:type="dxa" w:w="2500"/>
            <w:shd w:fill="F2F6F5" w:val="clear"/>
            <w:tcMar>
              <w:top w:type="dxa" w:w="100"/>
              <w:left w:type="dxa" w:w="140"/>
              <w:bottom w:type="dxa" w:w="100"/>
              <w:right w:type="dxa" w:w="140"/>
            </w:tcMar>
          </w:tcPr>
          <w:p>
            <w:pPr>
              <w:spacing w:after="0"/>
            </w:pPr>
            <w:r>
              <w:rPr>
                <w:rFonts w:ascii="Consolas" w:cs="Consolas" w:eastAsia="Consolas" w:hAnsi="Consolas"/>
                <w:b/>
                <w:bCs/>
                <w:color w:val="5B6764"/>
                <w:spacing w:val="20"/>
                <w:sz w:val="15"/>
                <w:szCs w:val="15"/>
              </w:rPr>
              <w:t xml:space="preserve">NOTES</w:t>
            </w:r>
          </w:p>
        </w:tc>
      </w:tr>
      <w:tr>
        <w:tc>
          <w:tcPr>
            <w:tcW w:type="dxa" w:w="24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Tenant-scoped managed service on Finastra's existing cloud platform</w:t>
            </w:r>
          </w:p>
        </w:tc>
        <w:tc>
          <w:tcPr>
            <w:tcW w:type="dxa" w:w="31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Contractual no-training commitment, controllable processing region, private connectivity typically available</w:t>
            </w:r>
          </w:p>
        </w:tc>
        <w:tc>
          <w:tcPr>
            <w:tcW w:type="dxa" w:w="13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Configuration</w:t>
            </w:r>
          </w:p>
        </w:tc>
        <w:tc>
          <w:tcPr>
            <w:tcW w:type="dxa" w:w="25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Likely the lowest-friction route if another Finastra team has already been assessed and onboarded.</w:t>
            </w:r>
          </w:p>
        </w:tc>
      </w:tr>
      <w:tr>
        <w:tc>
          <w:tcPr>
            <w:tcW w:type="dxa" w:w="24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Managed model catalogue on an alternative hyperscaler</w:t>
            </w:r>
          </w:p>
        </w:tc>
        <w:tc>
          <w:tcPr>
            <w:tcW w:type="dxa" w:w="31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Broadly comparable, subject to contract</w:t>
            </w:r>
          </w:p>
        </w:tc>
        <w:tc>
          <w:tcPr>
            <w:tcW w:type="dxa" w:w="13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Configuration</w:t>
            </w:r>
          </w:p>
        </w:tc>
        <w:tc>
          <w:tcPr>
            <w:tcW w:type="dxa" w:w="25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Depends on existing platform commitments.</w:t>
            </w:r>
          </w:p>
        </w:tc>
      </w:tr>
      <w:tr>
        <w:tc>
          <w:tcPr>
            <w:tcW w:type="dxa" w:w="24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Self-hosted open-weight models</w:t>
            </w:r>
          </w:p>
        </w:tc>
        <w:tc>
          <w:tcPr>
            <w:tcW w:type="dxa" w:w="31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Strongest — no content leaves Finastra infrastructure at all</w:t>
            </w:r>
          </w:p>
        </w:tc>
        <w:tc>
          <w:tcPr>
            <w:tcW w:type="dxa" w:w="13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Significant</w:t>
            </w:r>
          </w:p>
        </w:tc>
        <w:tc>
          <w:tcPr>
            <w:tcW w:type="dxa" w:w="25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Requires GPU capacity and operational ownership. Removes the only content egress in the design.</w:t>
            </w:r>
          </w:p>
        </w:tc>
      </w:tr>
      <w:tr>
        <w:tc>
          <w:tcPr>
            <w:tcW w:type="dxa" w:w="24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Direct vendor API</w:t>
            </w:r>
          </w:p>
        </w:tc>
        <w:tc>
          <w:tcPr>
            <w:tcW w:type="dxa" w:w="31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Varies by contract</w:t>
            </w:r>
          </w:p>
        </w:tc>
        <w:tc>
          <w:tcPr>
            <w:tcW w:type="dxa" w:w="13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Configuration</w:t>
            </w:r>
          </w:p>
        </w:tc>
        <w:tc>
          <w:tcPr>
            <w:tcW w:type="dxa" w:w="25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Would need its own third-party risk assessment.</w:t>
            </w:r>
          </w:p>
        </w:tc>
      </w:tr>
    </w:tbl>
    <w:p>
      <w:pPr>
        <w:spacing w:after="180"/>
      </w:pPr>
    </w:p>
    <w:tbl>
      <w:tblPr>
        <w:tblW w:type="dxa" w:w="9360"/>
        <w:tblBorders>
          <w:top w:val="none" w:color="FFFFFF" w:sz="0"/>
          <w:left w:val="single" w:color="0E6B60" w:sz="12"/>
          <w:bottom w:val="none" w:color="FFFFFF" w:sz="0"/>
          <w:right w:val="none" w:color="FFFFFF" w:sz="0"/>
          <w:insideH w:val="none" w:color="FFFFFF" w:sz="0"/>
          <w:insideV w:val="none" w:color="FFFFFF" w:sz="0"/>
        </w:tblBorders>
      </w:tblPr>
      <w:tblGrid>
        <w:gridCol w:w="9360"/>
      </w:tblGrid>
      <w:tr>
        <w:tc>
          <w:tcPr>
            <w:tcW w:type="dxa" w:w="9360"/>
            <w:shd w:fill="F2F6F5" w:val="clear"/>
            <w:tcMar>
              <w:top w:type="dxa" w:w="160"/>
              <w:left w:type="dxa" w:w="220"/>
              <w:bottom w:type="dxa" w:w="160"/>
              <w:right w:type="dxa" w:w="220"/>
            </w:tcMar>
          </w:tcPr>
          <w:p>
            <w:pPr>
              <w:spacing w:after="80"/>
            </w:pPr>
            <w:r>
              <w:rPr>
                <w:rFonts w:ascii="Consolas" w:cs="Consolas" w:eastAsia="Consolas" w:hAnsi="Consolas"/>
                <w:b/>
                <w:bCs/>
                <w:color w:val="0E6B60"/>
                <w:spacing w:val="30"/>
                <w:sz w:val="15"/>
                <w:szCs w:val="15"/>
              </w:rPr>
              <w:t xml:space="preserve">OUR POSITION</w:t>
            </w:r>
          </w:p>
          <w:p>
            <w:pPr>
              <w:spacing w:after="0" w:line="276"/>
            </w:pPr>
            <w:r>
              <w:rPr>
                <w:rFonts w:ascii="Calibri" w:cs="Calibri" w:eastAsia="Calibri" w:hAnsi="Calibri"/>
                <w:color w:val="131A18"/>
                <w:sz w:val="20"/>
                <w:szCs w:val="20"/>
              </w:rPr>
              <w:t xml:space="preserve">We have no preference we would defend over the CoE's. The question that matters is which providers Finastra has already assessed and approved — which is precisely the case for bringing this to a central forum rather than each team solving it alone.</w:t>
            </w:r>
          </w:p>
        </w:tc>
      </w:tr>
    </w:tbl>
    <w:p>
      <w:pPr>
        <w:pStyle w:val="Heading2"/>
        <w:spacing w:after="110" w:before="280"/>
      </w:pPr>
      <w:r>
        <w:rPr>
          <w:rFonts w:ascii="Calibri" w:cs="Calibri" w:eastAsia="Calibri" w:hAnsi="Calibri"/>
          <w:b/>
          <w:bCs/>
          <w:color w:val="131A18"/>
          <w:sz w:val="23"/>
          <w:szCs w:val="23"/>
        </w:rPr>
        <w:t xml:space="preserve">What this now costs</w:t>
      </w:r>
    </w:p>
    <w:p>
      <w:pPr>
        <w:spacing w:after="140" w:line="276"/>
      </w:pPr>
      <w:r>
        <w:rPr>
          <w:rFonts w:ascii="Calibri" w:cs="Calibri" w:eastAsia="Calibri" w:hAnsi="Calibri"/>
          <w:color w:val="131A18"/>
          <w:sz w:val="21"/>
          <w:szCs w:val="21"/>
        </w:rPr>
        <w:t xml:space="preserve">Worth stating plainly, because it changes the business case. The prototype ran on a service that carried no marginal cost to us. Every replacement above has one: managed services charge per token, and self-hosting substitutes GPU capacity and operational ownership for that. </w:t>
      </w:r>
      <w:r>
        <w:rPr>
          <w:rFonts w:ascii="Calibri" w:cs="Calibri" w:eastAsia="Calibri" w:hAnsi="Calibri"/>
          <w:b/>
          <w:bCs/>
          <w:color w:val="131A18"/>
          <w:sz w:val="21"/>
          <w:szCs w:val="21"/>
        </w:rPr>
        <w:t xml:space="preserve">This initiative no longer carries zero marginal cost, and we are not going to present it as though it does.</w:t>
      </w:r>
    </w:p>
    <w:p>
      <w:pPr>
        <w:spacing w:after="140" w:line="276"/>
      </w:pPr>
      <w:r>
        <w:rPr>
          <w:rFonts w:ascii="Calibri" w:cs="Calibri" w:eastAsia="Calibri" w:hAnsi="Calibri"/>
          <w:color w:val="131A18"/>
          <w:sz w:val="21"/>
          <w:szCs w:val="21"/>
        </w:rPr>
        <w:t xml:space="preserve">We are not putting a figure in this paper, because a credible one depends on which provider is chosen and on usage volumes we have not yet measured. We will produce an estimate once D-1 is settled.</w:t>
      </w:r>
    </w:p>
    <w:p>
      <w:pPr>
        <w:spacing w:after="140" w:line="276"/>
      </w:pPr>
      <w:r>
        <w:rPr>
          <w:rFonts w:ascii="Calibri" w:cs="Calibri" w:eastAsia="Calibri" w:hAnsi="Calibri"/>
          <w:color w:val="131A18"/>
          <w:sz w:val="21"/>
          <w:szCs w:val="21"/>
        </w:rPr>
        <w:t xml:space="preserve">Two aspects of the design make the cost shape more predictable than it might first appear. The corpus is </w:t>
      </w:r>
      <w:r>
        <w:rPr>
          <w:rFonts w:ascii="Calibri" w:cs="Calibri" w:eastAsia="Calibri" w:hAnsi="Calibri"/>
          <w:b/>
          <w:bCs/>
          <w:color w:val="131A18"/>
          <w:sz w:val="21"/>
          <w:szCs w:val="21"/>
        </w:rPr>
        <w:t xml:space="preserve">embedded once</w:t>
      </w:r>
      <w:r>
        <w:rPr>
          <w:rFonts w:ascii="Calibri" w:cs="Calibri" w:eastAsia="Calibri" w:hAnsi="Calibri"/>
          <w:color w:val="131A18"/>
          <w:sz w:val="21"/>
          <w:szCs w:val="21"/>
        </w:rPr>
        <w:t xml:space="preserve"> and incrementally thereafter — with content-hash deduplication preventing repeat work — rather than per query. And the lightweight steps in each request, intent classification and document grading, are already routed to a smaller and cheaper model than the one that composes the answer.</w:t>
      </w:r>
    </w:p>
    <w:p>
      <w:pPr>
        <w:pStyle w:val="Heading1"/>
        <w:pBdr>
          <w:bottom w:val="single" w:color="D9E0DE" w:sz="6" w:space="6"/>
        </w:pBdr>
        <w:spacing w:after="180" w:before="420"/>
      </w:pPr>
      <w:r>
        <w:rPr>
          <w:rFonts w:ascii="Calibri" w:cs="Calibri" w:eastAsia="Calibri" w:hAnsi="Calibri"/>
          <w:b/>
          <w:bCs/>
          <w:color w:val="131A18"/>
          <w:sz w:val="30"/>
          <w:szCs w:val="30"/>
        </w:rPr>
        <w:t xml:space="preserve">5. Solution architecture</w:t>
      </w:r>
    </w:p>
    <w:p>
      <w:pPr>
        <w:spacing w:after="140" w:line="276"/>
      </w:pPr>
      <w:r>
        <w:rPr>
          <w:rFonts w:ascii="Calibri" w:cs="Calibri" w:eastAsia="Calibri" w:hAnsi="Calibri"/>
          <w:color w:val="131A18"/>
          <w:sz w:val="21"/>
          <w:szCs w:val="21"/>
        </w:rPr>
        <w:t xml:space="preserve">Kortex is a three-tier containerised application. A web front end handles sign-in and proxies requests server-side. A back end validates the token, enforces role-based access, and passes the request to an orchestrator that classifies intent and routes to the appropriate agent. All state — vectors, conversation memory, user records — is held in self-hosted stores.</w:t>
      </w:r>
    </w:p>
    <w:p>
      <w:pPr>
        <w:spacing w:after="140" w:line="276"/>
      </w:pPr>
      <w:r>
        <w:rPr>
          <w:rFonts w:ascii="Calibri" w:cs="Calibri" w:eastAsia="Calibri" w:hAnsi="Calibri"/>
          <w:color w:val="131A18"/>
          <w:sz w:val="21"/>
          <w:szCs w:val="21"/>
        </w:rPr>
        <w:t xml:space="preserve">For this review, the material question is not the tier diagram but the </w:t>
      </w:r>
      <w:r>
        <w:rPr>
          <w:rFonts w:ascii="Calibri" w:cs="Calibri" w:eastAsia="Calibri" w:hAnsi="Calibri"/>
          <w:b/>
          <w:bCs/>
          <w:color w:val="131A18"/>
          <w:sz w:val="21"/>
          <w:szCs w:val="21"/>
        </w:rPr>
        <w:t xml:space="preserve">trust boundary</w:t>
      </w:r>
      <w:r>
        <w:rPr>
          <w:rFonts w:ascii="Calibri" w:cs="Calibri" w:eastAsia="Calibri" w:hAnsi="Calibri"/>
          <w:color w:val="131A18"/>
          <w:sz w:val="21"/>
          <w:szCs w:val="21"/>
        </w:rPr>
        <w:t xml:space="preserve">: what leaves Finastra-controlled infrastructure, and what rides on it.</w:t>
      </w:r>
    </w:p>
    <w:p>
      <w:pPr>
        <w:pStyle w:val="Heading2"/>
        <w:spacing w:after="110" w:before="280"/>
      </w:pPr>
      <w:r>
        <w:rPr>
          <w:rFonts w:ascii="Calibri" w:cs="Calibri" w:eastAsia="Calibri" w:hAnsi="Calibri"/>
          <w:b/>
          <w:bCs/>
          <w:color w:val="131A18"/>
          <w:sz w:val="23"/>
          <w:szCs w:val="23"/>
        </w:rPr>
        <w:t xml:space="preserve">Inside the boundary — self-hosted, Finastra-controlled</w:t>
      </w:r>
    </w:p>
    <w:tbl>
      <w:tblPr>
        <w:tblW w:type="dxa" w:w="9360"/>
        <w:tblBorders>
          <w:top w:val="single" w:color="D9E0DE" w:sz="4"/>
          <w:left w:val="single" w:color="D9E0DE" w:sz="4"/>
          <w:bottom w:val="single" w:color="D9E0DE" w:sz="4"/>
          <w:right w:val="single" w:color="D9E0DE" w:sz="4"/>
          <w:insideH w:val="single" w:color="D9E0DE" w:sz="4"/>
          <w:insideV w:val="single" w:color="D9E0DE" w:sz="4"/>
        </w:tblBorders>
      </w:tblPr>
      <w:tblGrid>
        <w:gridCol w:w="1700"/>
        <w:gridCol w:w="2400"/>
        <w:gridCol w:w="5260"/>
      </w:tblGrid>
      <w:tr>
        <w:trPr>
          <w:tblHeader/>
        </w:trPr>
        <w:tc>
          <w:tcPr>
            <w:tcW w:type="dxa" w:w="1700"/>
            <w:shd w:fill="F2F6F5" w:val="clear"/>
            <w:tcMar>
              <w:top w:type="dxa" w:w="100"/>
              <w:left w:type="dxa" w:w="140"/>
              <w:bottom w:type="dxa" w:w="100"/>
              <w:right w:type="dxa" w:w="140"/>
            </w:tcMar>
          </w:tcPr>
          <w:p>
            <w:pPr>
              <w:spacing w:after="0"/>
            </w:pPr>
            <w:r>
              <w:rPr>
                <w:rFonts w:ascii="Consolas" w:cs="Consolas" w:eastAsia="Consolas" w:hAnsi="Consolas"/>
                <w:b/>
                <w:bCs/>
                <w:color w:val="5B6764"/>
                <w:spacing w:val="20"/>
                <w:sz w:val="15"/>
                <w:szCs w:val="15"/>
              </w:rPr>
              <w:t xml:space="preserve">LAYER</w:t>
            </w:r>
          </w:p>
        </w:tc>
        <w:tc>
          <w:tcPr>
            <w:tcW w:type="dxa" w:w="2400"/>
            <w:shd w:fill="F2F6F5" w:val="clear"/>
            <w:tcMar>
              <w:top w:type="dxa" w:w="100"/>
              <w:left w:type="dxa" w:w="140"/>
              <w:bottom w:type="dxa" w:w="100"/>
              <w:right w:type="dxa" w:w="140"/>
            </w:tcMar>
          </w:tcPr>
          <w:p>
            <w:pPr>
              <w:spacing w:after="0"/>
            </w:pPr>
            <w:r>
              <w:rPr>
                <w:rFonts w:ascii="Consolas" w:cs="Consolas" w:eastAsia="Consolas" w:hAnsi="Consolas"/>
                <w:b/>
                <w:bCs/>
                <w:color w:val="5B6764"/>
                <w:spacing w:val="20"/>
                <w:sz w:val="15"/>
                <w:szCs w:val="15"/>
              </w:rPr>
              <w:t xml:space="preserve">COMPONENT</w:t>
            </w:r>
          </w:p>
        </w:tc>
        <w:tc>
          <w:tcPr>
            <w:tcW w:type="dxa" w:w="5260"/>
            <w:shd w:fill="F2F6F5" w:val="clear"/>
            <w:tcMar>
              <w:top w:type="dxa" w:w="100"/>
              <w:left w:type="dxa" w:w="140"/>
              <w:bottom w:type="dxa" w:w="100"/>
              <w:right w:type="dxa" w:w="140"/>
            </w:tcMar>
          </w:tcPr>
          <w:p>
            <w:pPr>
              <w:spacing w:after="0"/>
            </w:pPr>
            <w:r>
              <w:rPr>
                <w:rFonts w:ascii="Consolas" w:cs="Consolas" w:eastAsia="Consolas" w:hAnsi="Consolas"/>
                <w:b/>
                <w:bCs/>
                <w:color w:val="5B6764"/>
                <w:spacing w:val="20"/>
                <w:sz w:val="15"/>
                <w:szCs w:val="15"/>
              </w:rPr>
              <w:t xml:space="preserve">ROLE</w:t>
            </w:r>
          </w:p>
        </w:tc>
      </w:tr>
      <w:tr>
        <w:tc>
          <w:tcPr>
            <w:tcW w:type="dxa" w:w="17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Presentation</w:t>
            </w:r>
          </w:p>
        </w:tc>
        <w:tc>
          <w:tcPr>
            <w:tcW w:type="dxa" w:w="24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Front end</w:t>
            </w:r>
          </w:p>
        </w:tc>
        <w:tc>
          <w:tcPr>
            <w:tcW w:type="dxa" w:w="52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Sign-in, server-side API proxy, bilingual FR/EN</w:t>
            </w:r>
          </w:p>
        </w:tc>
      </w:tr>
      <w:tr>
        <w:tc>
          <w:tcPr>
            <w:tcW w:type="dxa" w:w="17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Application</w:t>
            </w:r>
          </w:p>
        </w:tc>
        <w:tc>
          <w:tcPr>
            <w:tcW w:type="dxa" w:w="24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Back end</w:t>
            </w:r>
          </w:p>
        </w:tc>
        <w:tc>
          <w:tcPr>
            <w:tcW w:type="dxa" w:w="52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Token validation, RBAC (role × module), rate limiting, streaming</w:t>
            </w:r>
          </w:p>
        </w:tc>
      </w:tr>
      <w:tr>
        <w:tc>
          <w:tcPr>
            <w:tcW w:type="dxa" w:w="17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Orchestration</w:t>
            </w:r>
          </w:p>
        </w:tc>
        <w:tc>
          <w:tcPr>
            <w:tcW w:type="dxa" w:w="24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Orchestrator</w:t>
            </w:r>
          </w:p>
        </w:tc>
        <w:tc>
          <w:tcPr>
            <w:tcW w:type="dxa" w:w="52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Classifies intent, extracts product / version / CVE, routes</w:t>
            </w:r>
          </w:p>
        </w:tc>
      </w:tr>
      <w:tr>
        <w:tc>
          <w:tcPr>
            <w:tcW w:type="dxa" w:w="17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Agents</w:t>
            </w:r>
          </w:p>
        </w:tc>
        <w:tc>
          <w:tcPr>
            <w:tcW w:type="dxa" w:w="24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Search Agent</w:t>
            </w:r>
          </w:p>
        </w:tc>
        <w:tc>
          <w:tcPr>
            <w:tcW w:type="dxa" w:w="52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Retrieve, grade, fall back to web search</w:t>
            </w:r>
          </w:p>
        </w:tc>
      </w:tr>
      <w:tr>
        <w:tc>
          <w:tcPr>
            <w:tcW w:type="dxa" w:w="17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Agents</w:t>
            </w:r>
          </w:p>
        </w:tc>
        <w:tc>
          <w:tcPr>
            <w:tcW w:type="dxa" w:w="24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CVE Agent</w:t>
            </w:r>
          </w:p>
        </w:tc>
        <w:tc>
          <w:tcPr>
            <w:tcW w:type="dxa" w:w="52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Vulnerability assessment against our own history</w:t>
            </w:r>
          </w:p>
        </w:tc>
      </w:tr>
      <w:tr>
        <w:tc>
          <w:tcPr>
            <w:tcW w:type="dxa" w:w="17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Agents</w:t>
            </w:r>
          </w:p>
        </w:tc>
        <w:tc>
          <w:tcPr>
            <w:tcW w:type="dxa" w:w="24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DBAdmin Agent</w:t>
            </w:r>
          </w:p>
        </w:tc>
        <w:tc>
          <w:tcPr>
            <w:tcW w:type="dxa" w:w="52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Database operations, including writes</w:t>
            </w:r>
          </w:p>
        </w:tc>
      </w:tr>
      <w:tr>
        <w:tc>
          <w:tcPr>
            <w:tcW w:type="dxa" w:w="17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Data</w:t>
            </w:r>
          </w:p>
        </w:tc>
        <w:tc>
          <w:tcPr>
            <w:tcW w:type="dxa" w:w="24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Vector store</w:t>
            </w:r>
          </w:p>
        </w:tc>
        <w:tc>
          <w:tcPr>
            <w:tcW w:type="dxa" w:w="52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Embeddings and document text</w:t>
            </w:r>
          </w:p>
        </w:tc>
      </w:tr>
      <w:tr>
        <w:tc>
          <w:tcPr>
            <w:tcW w:type="dxa" w:w="17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Data</w:t>
            </w:r>
          </w:p>
        </w:tc>
        <w:tc>
          <w:tcPr>
            <w:tcW w:type="dxa" w:w="24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Cache</w:t>
            </w:r>
          </w:p>
        </w:tc>
        <w:tc>
          <w:tcPr>
            <w:tcW w:type="dxa" w:w="52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Chat memory (24h expiry), ingestion job queue</w:t>
            </w:r>
          </w:p>
        </w:tc>
      </w:tr>
      <w:tr>
        <w:tc>
          <w:tcPr>
            <w:tcW w:type="dxa" w:w="17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Data</w:t>
            </w:r>
          </w:p>
        </w:tc>
        <w:tc>
          <w:tcPr>
            <w:tcW w:type="dxa" w:w="24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Application database</w:t>
            </w:r>
          </w:p>
        </w:tc>
        <w:tc>
          <w:tcPr>
            <w:tcW w:type="dxa" w:w="52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Users, roles, permissions</w:t>
            </w:r>
          </w:p>
        </w:tc>
      </w:tr>
      <w:tr>
        <w:tc>
          <w:tcPr>
            <w:tcW w:type="dxa" w:w="17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Data</w:t>
            </w:r>
          </w:p>
        </w:tc>
        <w:tc>
          <w:tcPr>
            <w:tcW w:type="dxa" w:w="24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Metasearch</w:t>
            </w:r>
          </w:p>
        </w:tc>
        <w:tc>
          <w:tcPr>
            <w:tcW w:type="dxa" w:w="52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Self-hosted web search</w:t>
            </w:r>
          </w:p>
        </w:tc>
      </w:tr>
    </w:tbl>
    <w:p>
      <w:pPr>
        <w:spacing w:after="200"/>
      </w:pPr>
    </w:p>
    <w:p>
      <w:pPr>
        <w:pStyle w:val="Heading2"/>
        <w:spacing w:after="110" w:before="280"/>
      </w:pPr>
      <w:r>
        <w:rPr>
          <w:rFonts w:ascii="Calibri" w:cs="Calibri" w:eastAsia="Calibri" w:hAnsi="Calibri"/>
          <w:b/>
          <w:bCs/>
          <w:color w:val="131A18"/>
          <w:sz w:val="23"/>
          <w:szCs w:val="23"/>
        </w:rPr>
        <w:t xml:space="preserve">Crossing the boundary</w:t>
      </w:r>
    </w:p>
    <w:tbl>
      <w:tblPr>
        <w:tblW w:type="dxa" w:w="9360"/>
        <w:tblBorders>
          <w:top w:val="single" w:color="D9E0DE" w:sz="4"/>
          <w:left w:val="single" w:color="D9E0DE" w:sz="4"/>
          <w:bottom w:val="single" w:color="D9E0DE" w:sz="4"/>
          <w:right w:val="single" w:color="D9E0DE" w:sz="4"/>
          <w:insideH w:val="single" w:color="D9E0DE" w:sz="4"/>
          <w:insideV w:val="single" w:color="D9E0DE" w:sz="4"/>
        </w:tblBorders>
      </w:tblPr>
      <w:tblGrid>
        <w:gridCol w:w="2400"/>
        <w:gridCol w:w="5460"/>
        <w:gridCol w:w="1500"/>
      </w:tblGrid>
      <w:tr>
        <w:trPr>
          <w:tblHeader/>
        </w:trPr>
        <w:tc>
          <w:tcPr>
            <w:tcW w:type="dxa" w:w="2400"/>
            <w:shd w:fill="F2F6F5" w:val="clear"/>
            <w:tcMar>
              <w:top w:type="dxa" w:w="100"/>
              <w:left w:type="dxa" w:w="140"/>
              <w:bottom w:type="dxa" w:w="100"/>
              <w:right w:type="dxa" w:w="140"/>
            </w:tcMar>
          </w:tcPr>
          <w:p>
            <w:pPr>
              <w:spacing w:after="0"/>
            </w:pPr>
            <w:r>
              <w:rPr>
                <w:rFonts w:ascii="Consolas" w:cs="Consolas" w:eastAsia="Consolas" w:hAnsi="Consolas"/>
                <w:b/>
                <w:bCs/>
                <w:color w:val="5B6764"/>
                <w:spacing w:val="20"/>
                <w:sz w:val="15"/>
                <w:szCs w:val="15"/>
              </w:rPr>
              <w:t xml:space="preserve">DESTINATION</w:t>
            </w:r>
          </w:p>
        </w:tc>
        <w:tc>
          <w:tcPr>
            <w:tcW w:type="dxa" w:w="5460"/>
            <w:shd w:fill="F2F6F5" w:val="clear"/>
            <w:tcMar>
              <w:top w:type="dxa" w:w="100"/>
              <w:left w:type="dxa" w:w="140"/>
              <w:bottom w:type="dxa" w:w="100"/>
              <w:right w:type="dxa" w:w="140"/>
            </w:tcMar>
          </w:tcPr>
          <w:p>
            <w:pPr>
              <w:spacing w:after="0"/>
            </w:pPr>
            <w:r>
              <w:rPr>
                <w:rFonts w:ascii="Consolas" w:cs="Consolas" w:eastAsia="Consolas" w:hAnsi="Consolas"/>
                <w:b/>
                <w:bCs/>
                <w:color w:val="5B6764"/>
                <w:spacing w:val="20"/>
                <w:sz w:val="15"/>
                <w:szCs w:val="15"/>
              </w:rPr>
              <w:t xml:space="preserve">WHAT CROSSES</w:t>
            </w:r>
          </w:p>
        </w:tc>
        <w:tc>
          <w:tcPr>
            <w:tcW w:type="dxa" w:w="1500"/>
            <w:shd w:fill="F2F6F5" w:val="clear"/>
            <w:tcMar>
              <w:top w:type="dxa" w:w="100"/>
              <w:left w:type="dxa" w:w="140"/>
              <w:bottom w:type="dxa" w:w="100"/>
              <w:right w:type="dxa" w:w="140"/>
            </w:tcMar>
          </w:tcPr>
          <w:p>
            <w:pPr>
              <w:spacing w:after="0"/>
            </w:pPr>
            <w:r>
              <w:rPr>
                <w:rFonts w:ascii="Consolas" w:cs="Consolas" w:eastAsia="Consolas" w:hAnsi="Consolas"/>
                <w:b/>
                <w:bCs/>
                <w:color w:val="5B6764"/>
                <w:spacing w:val="20"/>
                <w:sz w:val="15"/>
                <w:szCs w:val="15"/>
              </w:rPr>
              <w:t xml:space="preserve">STATUS</w:t>
            </w:r>
          </w:p>
        </w:tc>
      </w:tr>
      <w:tr>
        <w:tc>
          <w:tcPr>
            <w:tcW w:type="dxa" w:w="24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Corporate identity provider</w:t>
            </w:r>
          </w:p>
        </w:tc>
        <w:tc>
          <w:tcPr>
            <w:tcW w:type="dxa" w:w="54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Sign-in only. No application data.</w:t>
            </w:r>
          </w:p>
        </w:tc>
        <w:tc>
          <w:tcPr>
            <w:tcW w:type="dxa" w:w="15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In place</w:t>
            </w:r>
          </w:p>
        </w:tc>
      </w:tr>
      <w:tr>
        <w:tc>
          <w:tcPr>
            <w:tcW w:type="dxa" w:w="24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Model provider</w:t>
            </w:r>
          </w:p>
        </w:tc>
        <w:tc>
          <w:tcPr>
            <w:tcW w:type="dxa" w:w="54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The user's question together with the retrieved document extracts. At ingestion, full document text for embedding.</w:t>
            </w:r>
          </w:p>
        </w:tc>
        <w:tc>
          <w:tcPr>
            <w:tcW w:type="dxa" w:w="1500"/>
            <w:tcMar>
              <w:top w:type="dxa" w:w="100"/>
              <w:left w:type="dxa" w:w="140"/>
              <w:bottom w:type="dxa" w:w="100"/>
              <w:right w:type="dxa" w:w="140"/>
            </w:tcMar>
          </w:tcPr>
          <w:p>
            <w:pPr>
              <w:spacing w:after="0" w:line="260"/>
            </w:pPr>
            <w:r>
              <w:rPr>
                <w:rFonts w:ascii="Calibri" w:cs="Calibri" w:eastAsia="Calibri" w:hAnsi="Calibri"/>
                <w:b/>
                <w:bCs/>
                <w:color w:val="131A18"/>
                <w:sz w:val="19"/>
                <w:szCs w:val="19"/>
              </w:rPr>
              <w:t xml:space="preserve">To be agreed — D-1</w:t>
            </w:r>
          </w:p>
        </w:tc>
      </w:tr>
      <w:tr>
        <w:tc>
          <w:tcPr>
            <w:tcW w:type="dxa" w:w="24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Public vulnerability database</w:t>
            </w:r>
          </w:p>
        </w:tc>
        <w:tc>
          <w:tcPr>
            <w:tcW w:type="dxa" w:w="54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The CVE identifier only.</w:t>
            </w:r>
          </w:p>
        </w:tc>
        <w:tc>
          <w:tcPr>
            <w:tcW w:type="dxa" w:w="15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In place</w:t>
            </w:r>
          </w:p>
        </w:tc>
      </w:tr>
      <w:tr>
        <w:tc>
          <w:tcPr>
            <w:tcW w:type="dxa" w:w="24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Public search engines (indirect)</w:t>
            </w:r>
          </w:p>
        </w:tc>
        <w:tc>
          <w:tcPr>
            <w:tcW w:type="dxa" w:w="54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Search terms, when the fallback fires. Five engines enabled: Google, Bing, DuckDuckGo, Wikipedia, Stack Overflow. Routed through the corporate proxy; no vendor account holds a history.</w:t>
            </w:r>
          </w:p>
        </w:tc>
        <w:tc>
          <w:tcPr>
            <w:tcW w:type="dxa" w:w="15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In place</w:t>
            </w:r>
          </w:p>
        </w:tc>
      </w:tr>
    </w:tbl>
    <w:p>
      <w:pPr>
        <w:spacing w:after="200"/>
      </w:pPr>
    </w:p>
    <w:p>
      <w:pPr>
        <w:pStyle w:val="Heading2"/>
        <w:spacing w:after="110" w:before="280"/>
      </w:pPr>
      <w:r>
        <w:rPr>
          <w:rFonts w:ascii="Calibri" w:cs="Calibri" w:eastAsia="Calibri" w:hAnsi="Calibri"/>
          <w:b/>
          <w:bCs/>
          <w:color w:val="131A18"/>
          <w:sz w:val="23"/>
          <w:szCs w:val="23"/>
        </w:rPr>
        <w:t xml:space="preserve">Request path</w:t>
      </w:r>
    </w:p>
    <w:p>
      <w:pPr>
        <w:pStyle w:val="ListParagraph"/>
        <w:numPr>
          <w:ilvl w:val="0"/>
          <w:numId w:val="3"/>
        </w:numPr>
        <w:spacing w:after="90" w:line="276"/>
      </w:pPr>
      <w:r>
        <w:rPr>
          <w:rFonts w:ascii="Calibri" w:cs="Calibri" w:eastAsia="Calibri" w:hAnsi="Calibri"/>
          <w:color w:val="131A18"/>
          <w:sz w:val="21"/>
          <w:szCs w:val="21"/>
        </w:rPr>
        <w:t xml:space="preserve">The user signs in through the corporate identity provider; the session is held server-side.</w:t>
      </w:r>
    </w:p>
    <w:p>
      <w:pPr>
        <w:pStyle w:val="ListParagraph"/>
        <w:numPr>
          <w:ilvl w:val="0"/>
          <w:numId w:val="3"/>
        </w:numPr>
        <w:spacing w:after="90" w:line="276"/>
      </w:pPr>
      <w:r>
        <w:rPr>
          <w:rFonts w:ascii="Calibri" w:cs="Calibri" w:eastAsia="Calibri" w:hAnsi="Calibri"/>
          <w:color w:val="131A18"/>
          <w:sz w:val="21"/>
          <w:szCs w:val="21"/>
        </w:rPr>
        <w:t xml:space="preserve">A question is posted to the front-end proxy, which attaches the bearer token and forwards to the back end.</w:t>
      </w:r>
    </w:p>
    <w:p>
      <w:pPr>
        <w:pStyle w:val="ListParagraph"/>
        <w:numPr>
          <w:ilvl w:val="0"/>
          <w:numId w:val="3"/>
        </w:numPr>
        <w:spacing w:after="90" w:line="276"/>
      </w:pPr>
      <w:r>
        <w:rPr>
          <w:rFonts w:ascii="Calibri" w:cs="Calibri" w:eastAsia="Calibri" w:hAnsi="Calibri"/>
          <w:color w:val="131A18"/>
          <w:sz w:val="21"/>
          <w:szCs w:val="21"/>
        </w:rPr>
        <w:t xml:space="preserve">The back end validates the token, resolves the user's role, and checks that the role grants the chat module. Users without an approved role are refused.</w:t>
      </w:r>
    </w:p>
    <w:p>
      <w:pPr>
        <w:pStyle w:val="ListParagraph"/>
        <w:numPr>
          <w:ilvl w:val="0"/>
          <w:numId w:val="3"/>
        </w:numPr>
        <w:spacing w:after="90" w:line="276"/>
      </w:pPr>
      <w:r>
        <w:rPr>
          <w:rFonts w:ascii="Calibri" w:cs="Calibri" w:eastAsia="Calibri" w:hAnsi="Calibri"/>
          <w:color w:val="131A18"/>
          <w:sz w:val="21"/>
          <w:szCs w:val="21"/>
        </w:rPr>
        <w:t xml:space="preserve">The orchestrator classifies the question and extracts any product, version or CVE identifier.</w:t>
      </w:r>
    </w:p>
    <w:p>
      <w:pPr>
        <w:pStyle w:val="ListParagraph"/>
        <w:numPr>
          <w:ilvl w:val="0"/>
          <w:numId w:val="3"/>
        </w:numPr>
        <w:spacing w:after="90" w:line="276"/>
      </w:pPr>
      <w:r>
        <w:rPr>
          <w:rFonts w:ascii="Calibri" w:cs="Calibri" w:eastAsia="Calibri" w:hAnsi="Calibri"/>
          <w:color w:val="131A18"/>
          <w:sz w:val="21"/>
          <w:szCs w:val="21"/>
        </w:rPr>
        <w:t xml:space="preserve">The request is routed to the matching agent. The Search Agent retrieves from the vector store, grades the results for relevance, and falls back to web search only when internal documents do not answer the question.</w:t>
      </w:r>
    </w:p>
    <w:p>
      <w:pPr>
        <w:pStyle w:val="ListParagraph"/>
        <w:numPr>
          <w:ilvl w:val="0"/>
          <w:numId w:val="3"/>
        </w:numPr>
        <w:spacing w:after="90" w:line="276"/>
      </w:pPr>
      <w:r>
        <w:rPr>
          <w:rFonts w:ascii="Calibri" w:cs="Calibri" w:eastAsia="Calibri" w:hAnsi="Calibri"/>
          <w:color w:val="131A18"/>
          <w:sz w:val="21"/>
          <w:szCs w:val="21"/>
        </w:rPr>
        <w:t xml:space="preserve">The answer is streamed back token by token. The conversation turn is written to the cache with a 24-hour expiry, and the interaction is traced for observability.</w:t>
      </w:r>
    </w:p>
    <w:p>
      <w:pPr>
        <w:pStyle w:val="Heading1"/>
        <w:pBdr>
          <w:bottom w:val="single" w:color="D9E0DE" w:sz="6" w:space="6"/>
        </w:pBdr>
        <w:spacing w:after="180" w:before="420"/>
      </w:pPr>
      <w:r>
        <w:rPr>
          <w:rFonts w:ascii="Calibri" w:cs="Calibri" w:eastAsia="Calibri" w:hAnsi="Calibri"/>
          <w:b/>
          <w:bCs/>
          <w:color w:val="131A18"/>
          <w:sz w:val="30"/>
          <w:szCs w:val="30"/>
        </w:rPr>
        <w:t xml:space="preserve">6. Technical components</w:t>
      </w:r>
    </w:p>
    <w:p>
      <w:pPr>
        <w:spacing w:after="140" w:line="276"/>
      </w:pPr>
      <w:r>
        <w:rPr>
          <w:rFonts w:ascii="Calibri" w:cs="Calibri" w:eastAsia="Calibri" w:hAnsi="Calibri"/>
          <w:color w:val="131A18"/>
          <w:sz w:val="21"/>
          <w:szCs w:val="21"/>
        </w:rPr>
        <w:t xml:space="preserve">Components were chosen for portability and for the ability to self-host anything holding Finastra data. Where a hosted alternative was considered and rejected, the reason is recorded.</w:t>
      </w:r>
    </w:p>
    <w:tbl>
      <w:tblPr>
        <w:tblW w:type="dxa" w:w="9360"/>
        <w:tblBorders>
          <w:top w:val="single" w:color="D9E0DE" w:sz="4"/>
          <w:left w:val="single" w:color="D9E0DE" w:sz="4"/>
          <w:bottom w:val="single" w:color="D9E0DE" w:sz="4"/>
          <w:right w:val="single" w:color="D9E0DE" w:sz="4"/>
          <w:insideH w:val="single" w:color="D9E0DE" w:sz="4"/>
          <w:insideV w:val="single" w:color="D9E0DE" w:sz="4"/>
        </w:tblBorders>
      </w:tblPr>
      <w:tblGrid>
        <w:gridCol w:w="1900"/>
        <w:gridCol w:w="2200"/>
        <w:gridCol w:w="5260"/>
      </w:tblGrid>
      <w:tr>
        <w:trPr>
          <w:tblHeader/>
        </w:trPr>
        <w:tc>
          <w:tcPr>
            <w:tcW w:type="dxa" w:w="1900"/>
            <w:shd w:fill="F2F6F5" w:val="clear"/>
            <w:tcMar>
              <w:top w:type="dxa" w:w="100"/>
              <w:left w:type="dxa" w:w="140"/>
              <w:bottom w:type="dxa" w:w="100"/>
              <w:right w:type="dxa" w:w="140"/>
            </w:tcMar>
          </w:tcPr>
          <w:p>
            <w:pPr>
              <w:spacing w:after="0"/>
            </w:pPr>
            <w:r>
              <w:rPr>
                <w:rFonts w:ascii="Consolas" w:cs="Consolas" w:eastAsia="Consolas" w:hAnsi="Consolas"/>
                <w:b/>
                <w:bCs/>
                <w:color w:val="5B6764"/>
                <w:spacing w:val="20"/>
                <w:sz w:val="15"/>
                <w:szCs w:val="15"/>
              </w:rPr>
              <w:t xml:space="preserve">LAYER</w:t>
            </w:r>
          </w:p>
        </w:tc>
        <w:tc>
          <w:tcPr>
            <w:tcW w:type="dxa" w:w="2200"/>
            <w:shd w:fill="F2F6F5" w:val="clear"/>
            <w:tcMar>
              <w:top w:type="dxa" w:w="100"/>
              <w:left w:type="dxa" w:w="140"/>
              <w:bottom w:type="dxa" w:w="100"/>
              <w:right w:type="dxa" w:w="140"/>
            </w:tcMar>
          </w:tcPr>
          <w:p>
            <w:pPr>
              <w:spacing w:after="0"/>
            </w:pPr>
            <w:r>
              <w:rPr>
                <w:rFonts w:ascii="Consolas" w:cs="Consolas" w:eastAsia="Consolas" w:hAnsi="Consolas"/>
                <w:b/>
                <w:bCs/>
                <w:color w:val="5B6764"/>
                <w:spacing w:val="20"/>
                <w:sz w:val="15"/>
                <w:szCs w:val="15"/>
              </w:rPr>
              <w:t xml:space="preserve">SELECTED</w:t>
            </w:r>
          </w:p>
        </w:tc>
        <w:tc>
          <w:tcPr>
            <w:tcW w:type="dxa" w:w="5260"/>
            <w:shd w:fill="F2F6F5" w:val="clear"/>
            <w:tcMar>
              <w:top w:type="dxa" w:w="100"/>
              <w:left w:type="dxa" w:w="140"/>
              <w:bottom w:type="dxa" w:w="100"/>
              <w:right w:type="dxa" w:w="140"/>
            </w:tcMar>
          </w:tcPr>
          <w:p>
            <w:pPr>
              <w:spacing w:after="0"/>
            </w:pPr>
            <w:r>
              <w:rPr>
                <w:rFonts w:ascii="Consolas" w:cs="Consolas" w:eastAsia="Consolas" w:hAnsi="Consolas"/>
                <w:b/>
                <w:bCs/>
                <w:color w:val="5B6764"/>
                <w:spacing w:val="20"/>
                <w:sz w:val="15"/>
                <w:szCs w:val="15"/>
              </w:rPr>
              <w:t xml:space="preserve">RATIONALE</w:t>
            </w:r>
          </w:p>
        </w:tc>
      </w:tr>
      <w:tr>
        <w:tc>
          <w:tcPr>
            <w:tcW w:type="dxa" w:w="19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Language models</w:t>
            </w:r>
          </w:p>
        </w:tc>
        <w:tc>
          <w:tcPr>
            <w:tcW w:type="dxa" w:w="2200"/>
            <w:tcMar>
              <w:top w:type="dxa" w:w="100"/>
              <w:left w:type="dxa" w:w="140"/>
              <w:bottom w:type="dxa" w:w="100"/>
              <w:right w:type="dxa" w:w="140"/>
            </w:tcMar>
          </w:tcPr>
          <w:p>
            <w:pPr>
              <w:spacing w:after="0" w:line="260"/>
            </w:pPr>
            <w:r>
              <w:rPr>
                <w:rFonts w:ascii="Calibri" w:cs="Calibri" w:eastAsia="Calibri" w:hAnsi="Calibri"/>
                <w:b/>
                <w:bCs/>
                <w:color w:val="131A18"/>
                <w:sz w:val="19"/>
                <w:szCs w:val="19"/>
              </w:rPr>
              <w:t xml:space="preserve">Open — D-1</w:t>
            </w:r>
          </w:p>
        </w:tc>
        <w:tc>
          <w:tcPr>
            <w:tcW w:type="dxa" w:w="52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Previously GitHub Models, now retired. The client is provider-agnostic; see Section 4.</w:t>
            </w:r>
          </w:p>
        </w:tc>
      </w:tr>
      <w:tr>
        <w:tc>
          <w:tcPr>
            <w:tcW w:type="dxa" w:w="19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Agent framework</w:t>
            </w:r>
          </w:p>
        </w:tc>
        <w:tc>
          <w:tcPr>
            <w:tcW w:type="dxa" w:w="22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LangGraph</w:t>
            </w:r>
          </w:p>
        </w:tc>
        <w:tc>
          <w:tcPr>
            <w:tcW w:type="dxa" w:w="52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Supports cyclic graphs, which the CVE workflow needs, plus native token streaming.</w:t>
            </w:r>
          </w:p>
        </w:tc>
      </w:tr>
      <w:tr>
        <w:tc>
          <w:tcPr>
            <w:tcW w:type="dxa" w:w="19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RAG framework</w:t>
            </w:r>
          </w:p>
        </w:tc>
        <w:tc>
          <w:tcPr>
            <w:tcW w:type="dxa" w:w="22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LangChain</w:t>
            </w:r>
          </w:p>
        </w:tc>
        <w:tc>
          <w:tcPr>
            <w:tcW w:type="dxa" w:w="52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Mainstream and portable; avoids lock-in to a vendor RAG platform.</w:t>
            </w:r>
          </w:p>
        </w:tc>
      </w:tr>
      <w:tr>
        <w:tc>
          <w:tcPr>
            <w:tcW w:type="dxa" w:w="19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Vector store</w:t>
            </w:r>
          </w:p>
        </w:tc>
        <w:tc>
          <w:tcPr>
            <w:tcW w:type="dxa" w:w="22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Qdrant</w:t>
            </w:r>
          </w:p>
        </w:tc>
        <w:tc>
          <w:tcPr>
            <w:tcW w:type="dxa" w:w="52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Self-hosted. Document content never leaves the estate at rest.</w:t>
            </w:r>
          </w:p>
        </w:tc>
      </w:tr>
      <w:tr>
        <w:tc>
          <w:tcPr>
            <w:tcW w:type="dxa" w:w="19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Cache and queue</w:t>
            </w:r>
          </w:p>
        </w:tc>
        <w:tc>
          <w:tcPr>
            <w:tcW w:type="dxa" w:w="22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Redis</w:t>
            </w:r>
          </w:p>
        </w:tc>
        <w:tc>
          <w:tcPr>
            <w:tcW w:type="dxa" w:w="52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Conversation memory (24h expiry) and the ingestion job queue.</w:t>
            </w:r>
          </w:p>
        </w:tc>
      </w:tr>
      <w:tr>
        <w:tc>
          <w:tcPr>
            <w:tcW w:type="dxa" w:w="19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Application database</w:t>
            </w:r>
          </w:p>
        </w:tc>
        <w:tc>
          <w:tcPr>
            <w:tcW w:type="dxa" w:w="22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PostgreSQL</w:t>
            </w:r>
          </w:p>
        </w:tc>
        <w:tc>
          <w:tcPr>
            <w:tcW w:type="dxa" w:w="52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Users, roles, statuses, modules. Schema under versioned migrations.</w:t>
            </w:r>
          </w:p>
        </w:tc>
      </w:tr>
      <w:tr>
        <w:tc>
          <w:tcPr>
            <w:tcW w:type="dxa" w:w="19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Web search</w:t>
            </w:r>
          </w:p>
        </w:tc>
        <w:tc>
          <w:tcPr>
            <w:tcW w:type="dxa" w:w="22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SearXNG</w:t>
            </w:r>
          </w:p>
        </w:tc>
        <w:tc>
          <w:tcPr>
            <w:tcW w:type="dxa" w:w="52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Self-hosted container, no external API dependency, no vendor account. Five upstream engines; outbound via the corporate proxy.</w:t>
            </w:r>
          </w:p>
        </w:tc>
      </w:tr>
      <w:tr>
        <w:tc>
          <w:tcPr>
            <w:tcW w:type="dxa" w:w="19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Vulnerability data</w:t>
            </w:r>
          </w:p>
        </w:tc>
        <w:tc>
          <w:tcPr>
            <w:tcW w:type="dxa" w:w="22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NIST NVD API</w:t>
            </w:r>
          </w:p>
        </w:tc>
        <w:tc>
          <w:tcPr>
            <w:tcW w:type="dxa" w:w="52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Public authoritative source. Only the CVE identifier is sent.</w:t>
            </w:r>
          </w:p>
        </w:tc>
      </w:tr>
      <w:tr>
        <w:tc>
          <w:tcPr>
            <w:tcW w:type="dxa" w:w="19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Authentication</w:t>
            </w:r>
          </w:p>
        </w:tc>
        <w:tc>
          <w:tcPr>
            <w:tcW w:type="dxa" w:w="22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Entra ID (OIDC)</w:t>
            </w:r>
          </w:p>
        </w:tc>
        <w:tc>
          <w:tcPr>
            <w:tcW w:type="dxa" w:w="52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Corporate identity provider; no local account store.</w:t>
            </w:r>
          </w:p>
        </w:tc>
      </w:tr>
      <w:tr>
        <w:tc>
          <w:tcPr>
            <w:tcW w:type="dxa" w:w="19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Back end</w:t>
            </w:r>
          </w:p>
        </w:tc>
        <w:tc>
          <w:tcPr>
            <w:tcW w:type="dxa" w:w="22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FastAPI (Python 3.12)</w:t>
            </w:r>
          </w:p>
        </w:tc>
        <w:tc>
          <w:tcPr>
            <w:tcW w:type="dxa" w:w="52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Async throughout; server-sent events for token streaming.</w:t>
            </w:r>
          </w:p>
        </w:tc>
      </w:tr>
      <w:tr>
        <w:tc>
          <w:tcPr>
            <w:tcW w:type="dxa" w:w="19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Front end</w:t>
            </w:r>
          </w:p>
        </w:tc>
        <w:tc>
          <w:tcPr>
            <w:tcW w:type="dxa" w:w="22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Next.js 15</w:t>
            </w:r>
          </w:p>
        </w:tc>
        <w:tc>
          <w:tcPr>
            <w:tcW w:type="dxa" w:w="52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Server components keep the token out of the browser. Bilingual FR/EN.</w:t>
            </w:r>
          </w:p>
        </w:tc>
      </w:tr>
      <w:tr>
        <w:tc>
          <w:tcPr>
            <w:tcW w:type="dxa" w:w="19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Ingestion</w:t>
            </w:r>
          </w:p>
        </w:tc>
        <w:tc>
          <w:tcPr>
            <w:tcW w:type="dxa" w:w="22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Standalone worker</w:t>
            </w:r>
          </w:p>
        </w:tc>
        <w:tc>
          <w:tcPr>
            <w:tcW w:type="dxa" w:w="52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PDF, DOCX, PPTX, XLSX, HTML, Markdown, with content-hash deduplication.</w:t>
            </w:r>
          </w:p>
        </w:tc>
      </w:tr>
      <w:tr>
        <w:tc>
          <w:tcPr>
            <w:tcW w:type="dxa" w:w="19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Observability</w:t>
            </w:r>
          </w:p>
        </w:tc>
        <w:tc>
          <w:tcPr>
            <w:tcW w:type="dxa" w:w="22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Langfuse, Prometheus, Grafana, Loki</w:t>
            </w:r>
          </w:p>
        </w:tc>
        <w:tc>
          <w:tcPr>
            <w:tcW w:type="dxa" w:w="52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All self-hosted. Trace retention policy is an open decision — D-4.</w:t>
            </w:r>
          </w:p>
        </w:tc>
      </w:tr>
      <w:tr>
        <w:tc>
          <w:tcPr>
            <w:tcW w:type="dxa" w:w="19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Secrets</w:t>
            </w:r>
          </w:p>
        </w:tc>
        <w:tc>
          <w:tcPr>
            <w:tcW w:type="dxa" w:w="22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SOPS + age</w:t>
            </w:r>
          </w:p>
        </w:tc>
        <w:tc>
          <w:tcPr>
            <w:tcW w:type="dxa" w:w="52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AES-256-GCM. Plaintext never committed; private keys stay local.</w:t>
            </w:r>
          </w:p>
        </w:tc>
      </w:tr>
      <w:tr>
        <w:tc>
          <w:tcPr>
            <w:tcW w:type="dxa" w:w="19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Runtime</w:t>
            </w:r>
          </w:p>
        </w:tc>
        <w:tc>
          <w:tcPr>
            <w:tcW w:type="dxa" w:w="22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Podman / Docker Compose</w:t>
            </w:r>
          </w:p>
        </w:tc>
        <w:tc>
          <w:tcPr>
            <w:tcW w:type="dxa" w:w="52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Adequate for development. A supported service would need a managed platform.</w:t>
            </w:r>
          </w:p>
        </w:tc>
      </w:tr>
    </w:tbl>
    <w:p>
      <w:pPr>
        <w:pStyle w:val="Heading1"/>
        <w:pBdr>
          <w:bottom w:val="single" w:color="D9E0DE" w:sz="6" w:space="6"/>
        </w:pBdr>
        <w:spacing w:after="180" w:before="420"/>
      </w:pPr>
      <w:r>
        <w:rPr>
          <w:rFonts w:ascii="Calibri" w:cs="Calibri" w:eastAsia="Calibri" w:hAnsi="Calibri"/>
          <w:b/>
          <w:bCs/>
          <w:color w:val="131A18"/>
          <w:sz w:val="30"/>
          <w:szCs w:val="30"/>
        </w:rPr>
        <w:t xml:space="preserve">7. Protecting company and client data</w:t>
      </w:r>
    </w:p>
    <w:p>
      <w:pPr>
        <w:spacing w:after="140" w:line="276"/>
      </w:pPr>
      <w:r>
        <w:rPr>
          <w:rFonts w:ascii="Calibri" w:cs="Calibri" w:eastAsia="Calibri" w:hAnsi="Calibri"/>
          <w:color w:val="131A18"/>
          <w:sz w:val="21"/>
          <w:szCs w:val="21"/>
        </w:rPr>
        <w:t xml:space="preserve">The CoE's remit includes making sure every AI solution meets the security, privacy and regulatory standards our customers expect. Because we are presenting before building further, these can be designed in rather than retrofitted.</w:t>
      </w:r>
    </w:p>
    <w:p>
      <w:pPr>
        <w:pStyle w:val="Heading2"/>
        <w:spacing w:after="110" w:before="280"/>
      </w:pPr>
      <w:r>
        <w:rPr>
          <w:rFonts w:ascii="Calibri" w:cs="Calibri" w:eastAsia="Calibri" w:hAnsi="Calibri"/>
          <w:b/>
          <w:bCs/>
          <w:color w:val="131A18"/>
          <w:sz w:val="23"/>
          <w:szCs w:val="23"/>
        </w:rPr>
        <w:t xml:space="preserve">What data the system touches</w:t>
      </w:r>
    </w:p>
    <w:tbl>
      <w:tblPr>
        <w:tblW w:type="dxa" w:w="9360"/>
        <w:tblBorders>
          <w:top w:val="single" w:color="D9E0DE" w:sz="4"/>
          <w:left w:val="single" w:color="D9E0DE" w:sz="4"/>
          <w:bottom w:val="single" w:color="D9E0DE" w:sz="4"/>
          <w:right w:val="single" w:color="D9E0DE" w:sz="4"/>
          <w:insideH w:val="single" w:color="D9E0DE" w:sz="4"/>
          <w:insideV w:val="single" w:color="D9E0DE" w:sz="4"/>
        </w:tblBorders>
      </w:tblPr>
      <w:tblGrid>
        <w:gridCol w:w="2300"/>
        <w:gridCol w:w="1600"/>
        <w:gridCol w:w="2800"/>
        <w:gridCol w:w="2660"/>
      </w:tblGrid>
      <w:tr>
        <w:trPr>
          <w:tblHeader/>
        </w:trPr>
        <w:tc>
          <w:tcPr>
            <w:tcW w:type="dxa" w:w="2300"/>
            <w:shd w:fill="F2F6F5" w:val="clear"/>
            <w:tcMar>
              <w:top w:type="dxa" w:w="100"/>
              <w:left w:type="dxa" w:w="140"/>
              <w:bottom w:type="dxa" w:w="100"/>
              <w:right w:type="dxa" w:w="140"/>
            </w:tcMar>
          </w:tcPr>
          <w:p>
            <w:pPr>
              <w:spacing w:after="0"/>
            </w:pPr>
            <w:r>
              <w:rPr>
                <w:rFonts w:ascii="Consolas" w:cs="Consolas" w:eastAsia="Consolas" w:hAnsi="Consolas"/>
                <w:b/>
                <w:bCs/>
                <w:color w:val="5B6764"/>
                <w:spacing w:val="20"/>
                <w:sz w:val="15"/>
                <w:szCs w:val="15"/>
              </w:rPr>
              <w:t xml:space="preserve">DATA CATEGORY</w:t>
            </w:r>
          </w:p>
        </w:tc>
        <w:tc>
          <w:tcPr>
            <w:tcW w:type="dxa" w:w="1600"/>
            <w:shd w:fill="F2F6F5" w:val="clear"/>
            <w:tcMar>
              <w:top w:type="dxa" w:w="100"/>
              <w:left w:type="dxa" w:w="140"/>
              <w:bottom w:type="dxa" w:w="100"/>
              <w:right w:type="dxa" w:w="140"/>
            </w:tcMar>
          </w:tcPr>
          <w:p>
            <w:pPr>
              <w:spacing w:after="0"/>
            </w:pPr>
            <w:r>
              <w:rPr>
                <w:rFonts w:ascii="Consolas" w:cs="Consolas" w:eastAsia="Consolas" w:hAnsi="Consolas"/>
                <w:b/>
                <w:bCs/>
                <w:color w:val="5B6764"/>
                <w:spacing w:val="20"/>
                <w:sz w:val="15"/>
                <w:szCs w:val="15"/>
              </w:rPr>
              <w:t xml:space="preserve">IN SCOPE</w:t>
            </w:r>
          </w:p>
        </w:tc>
        <w:tc>
          <w:tcPr>
            <w:tcW w:type="dxa" w:w="2800"/>
            <w:shd w:fill="F2F6F5" w:val="clear"/>
            <w:tcMar>
              <w:top w:type="dxa" w:w="100"/>
              <w:left w:type="dxa" w:w="140"/>
              <w:bottom w:type="dxa" w:w="100"/>
              <w:right w:type="dxa" w:w="140"/>
            </w:tcMar>
          </w:tcPr>
          <w:p>
            <w:pPr>
              <w:spacing w:after="0"/>
            </w:pPr>
            <w:r>
              <w:rPr>
                <w:rFonts w:ascii="Consolas" w:cs="Consolas" w:eastAsia="Consolas" w:hAnsi="Consolas"/>
                <w:b/>
                <w:bCs/>
                <w:color w:val="5B6764"/>
                <w:spacing w:val="20"/>
                <w:sz w:val="15"/>
                <w:szCs w:val="15"/>
              </w:rPr>
              <w:t xml:space="preserve">WHERE IT LIVES</w:t>
            </w:r>
          </w:p>
        </w:tc>
        <w:tc>
          <w:tcPr>
            <w:tcW w:type="dxa" w:w="2660"/>
            <w:shd w:fill="F2F6F5" w:val="clear"/>
            <w:tcMar>
              <w:top w:type="dxa" w:w="100"/>
              <w:left w:type="dxa" w:w="140"/>
              <w:bottom w:type="dxa" w:w="100"/>
              <w:right w:type="dxa" w:w="140"/>
            </w:tcMar>
          </w:tcPr>
          <w:p>
            <w:pPr>
              <w:spacing w:after="0"/>
            </w:pPr>
            <w:r>
              <w:rPr>
                <w:rFonts w:ascii="Consolas" w:cs="Consolas" w:eastAsia="Consolas" w:hAnsi="Consolas"/>
                <w:b/>
                <w:bCs/>
                <w:color w:val="5B6764"/>
                <w:spacing w:val="20"/>
                <w:sz w:val="15"/>
                <w:szCs w:val="15"/>
              </w:rPr>
              <w:t xml:space="preserve">LEAVES OUR INFRASTRUCTURE?</w:t>
            </w:r>
          </w:p>
        </w:tc>
      </w:tr>
      <w:tr>
        <w:tc>
          <w:tcPr>
            <w:tcW w:type="dxa" w:w="23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Internal product documentation</w:t>
            </w:r>
          </w:p>
        </w:tc>
        <w:tc>
          <w:tcPr>
            <w:tcW w:type="dxa" w:w="16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Yes — the corpus</w:t>
            </w:r>
          </w:p>
        </w:tc>
        <w:tc>
          <w:tcPr>
            <w:tcW w:type="dxa" w:w="28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Self-hosted vector store</w:t>
            </w:r>
          </w:p>
        </w:tc>
        <w:tc>
          <w:tcPr>
            <w:tcW w:type="dxa" w:w="26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Retrieved extracts accompany the question to the model provider</w:t>
            </w:r>
          </w:p>
        </w:tc>
      </w:tr>
      <w:tr>
        <w:tc>
          <w:tcPr>
            <w:tcW w:type="dxa" w:w="23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User identity</w:t>
            </w:r>
          </w:p>
        </w:tc>
        <w:tc>
          <w:tcPr>
            <w:tcW w:type="dxa" w:w="16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Yes — minimal</w:t>
            </w:r>
          </w:p>
        </w:tc>
        <w:tc>
          <w:tcPr>
            <w:tcW w:type="dxa" w:w="28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Self-hosted database: name, work email, directory object ID</w:t>
            </w:r>
          </w:p>
        </w:tc>
        <w:tc>
          <w:tcPr>
            <w:tcW w:type="dxa" w:w="26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No</w:t>
            </w:r>
          </w:p>
        </w:tc>
      </w:tr>
      <w:tr>
        <w:tc>
          <w:tcPr>
            <w:tcW w:type="dxa" w:w="23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Questions and answers</w:t>
            </w:r>
          </w:p>
        </w:tc>
        <w:tc>
          <w:tcPr>
            <w:tcW w:type="dxa" w:w="16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Yes</w:t>
            </w:r>
          </w:p>
        </w:tc>
        <w:tc>
          <w:tcPr>
            <w:tcW w:type="dxa" w:w="28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Cache (24h) and observability traces</w:t>
            </w:r>
          </w:p>
        </w:tc>
        <w:tc>
          <w:tcPr>
            <w:tcW w:type="dxa" w:w="26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The question reaches the model provider</w:t>
            </w:r>
          </w:p>
        </w:tc>
      </w:tr>
      <w:tr>
        <w:tc>
          <w:tcPr>
            <w:tcW w:type="dxa" w:w="23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Public vulnerability data</w:t>
            </w:r>
          </w:p>
        </w:tc>
        <w:tc>
          <w:tcPr>
            <w:tcW w:type="dxa" w:w="16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Yes</w:t>
            </w:r>
          </w:p>
        </w:tc>
        <w:tc>
          <w:tcPr>
            <w:tcW w:type="dxa" w:w="28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Fetched on demand, not stored</w:t>
            </w:r>
          </w:p>
        </w:tc>
        <w:tc>
          <w:tcPr>
            <w:tcW w:type="dxa" w:w="26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Only the CVE identifier is sent</w:t>
            </w:r>
          </w:p>
        </w:tc>
      </w:tr>
      <w:tr>
        <w:tc>
          <w:tcPr>
            <w:tcW w:type="dxa" w:w="23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Troubleshooting documentation, per case</w:t>
            </w:r>
          </w:p>
        </w:tc>
        <w:tc>
          <w:tcPr>
            <w:tcW w:type="dxa" w:w="16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Planned</w:t>
            </w:r>
          </w:p>
        </w:tc>
        <w:tc>
          <w:tcPr>
            <w:tcW w:type="dxa" w:w="28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Self-hosted vector store</w:t>
            </w:r>
          </w:p>
        </w:tc>
        <w:tc>
          <w:tcPr>
            <w:tcW w:type="dxa" w:w="26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Retrieved extracts accompany the question</w:t>
            </w:r>
          </w:p>
        </w:tc>
      </w:tr>
      <w:tr>
        <w:tc>
          <w:tcPr>
            <w:tcW w:type="dxa" w:w="23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Support case, ticket and mailbox content</w:t>
            </w:r>
          </w:p>
        </w:tc>
        <w:tc>
          <w:tcPr>
            <w:tcW w:type="dxa" w:w="16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Retrieved, never stored</w:t>
            </w:r>
          </w:p>
        </w:tc>
        <w:tc>
          <w:tcPr>
            <w:tcW w:type="dxa" w:w="28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Fetched for one task; not ingested, not embedded</w:t>
            </w:r>
          </w:p>
        </w:tc>
        <w:tc>
          <w:tcPr>
            <w:tcW w:type="dxa" w:w="26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Only as part of that request's context</w:t>
            </w:r>
          </w:p>
        </w:tc>
      </w:tr>
      <w:tr>
        <w:tc>
          <w:tcPr>
            <w:tcW w:type="dxa" w:w="23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Client data in the corpus · production client environments</w:t>
            </w:r>
          </w:p>
        </w:tc>
        <w:tc>
          <w:tcPr>
            <w:tcW w:type="dxa" w:w="1600"/>
            <w:tcMar>
              <w:top w:type="dxa" w:w="100"/>
              <w:left w:type="dxa" w:w="140"/>
              <w:bottom w:type="dxa" w:w="100"/>
              <w:right w:type="dxa" w:w="140"/>
            </w:tcMar>
          </w:tcPr>
          <w:p>
            <w:pPr>
              <w:spacing w:after="0" w:line="260"/>
            </w:pPr>
            <w:r>
              <w:rPr>
                <w:rFonts w:ascii="Calibri" w:cs="Calibri" w:eastAsia="Calibri" w:hAnsi="Calibri"/>
                <w:b/>
                <w:bCs/>
                <w:color w:val="131A18"/>
                <w:sz w:val="19"/>
                <w:szCs w:val="19"/>
              </w:rPr>
              <w:t xml:space="preserve">Excluded</w:t>
            </w:r>
          </w:p>
        </w:tc>
        <w:tc>
          <w:tcPr>
            <w:tcW w:type="dxa" w:w="28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Never ingested, never indexed, not reachable</w:t>
            </w:r>
          </w:p>
        </w:tc>
        <w:tc>
          <w:tcPr>
            <w:tcW w:type="dxa" w:w="26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Not applicable</w:t>
            </w:r>
          </w:p>
        </w:tc>
      </w:tr>
    </w:tbl>
    <w:p>
      <w:pPr>
        <w:spacing w:after="200"/>
      </w:pPr>
    </w:p>
    <w:p>
      <w:pPr>
        <w:pStyle w:val="Heading2"/>
        <w:spacing w:after="110" w:before="280"/>
      </w:pPr>
      <w:r>
        <w:rPr>
          <w:rFonts w:ascii="Calibri" w:cs="Calibri" w:eastAsia="Calibri" w:hAnsi="Calibri"/>
          <w:b/>
          <w:bCs/>
          <w:color w:val="131A18"/>
          <w:sz w:val="23"/>
          <w:szCs w:val="23"/>
        </w:rPr>
        <w:t xml:space="preserve">The client-data boundary, stated precisely</w:t>
      </w:r>
    </w:p>
    <w:p>
      <w:pPr>
        <w:spacing w:after="140" w:line="276"/>
      </w:pPr>
      <w:r>
        <w:rPr>
          <w:rFonts w:ascii="Calibri" w:cs="Calibri" w:eastAsia="Calibri" w:hAnsi="Calibri"/>
          <w:color w:val="131A18"/>
          <w:sz w:val="21"/>
          <w:szCs w:val="21"/>
        </w:rPr>
        <w:t xml:space="preserve">A blanket claim that no client data is in scope would be convenient and would not survive examination. The useful distinction is not whether client-derived data is involved, but </w:t>
      </w:r>
      <w:r>
        <w:rPr>
          <w:rFonts w:ascii="Calibri" w:cs="Calibri" w:eastAsia="Calibri" w:hAnsi="Calibri"/>
          <w:b/>
          <w:bCs/>
          <w:color w:val="131A18"/>
          <w:sz w:val="21"/>
          <w:szCs w:val="21"/>
        </w:rPr>
        <w:t xml:space="preserve">whether it comes to rest inside Kortex</w:t>
      </w:r>
      <w:r>
        <w:rPr>
          <w:rFonts w:ascii="Calibri" w:cs="Calibri" w:eastAsia="Calibri" w:hAnsi="Calibri"/>
          <w:color w:val="131A18"/>
          <w:sz w:val="21"/>
          <w:szCs w:val="21"/>
        </w:rPr>
        <w:t xml:space="preserve">.</w:t>
      </w:r>
    </w:p>
    <w:tbl>
      <w:tblPr>
        <w:tblW w:type="dxa" w:w="9360"/>
        <w:tblBorders>
          <w:top w:val="single" w:color="D9E0DE" w:sz="4"/>
          <w:left w:val="single" w:color="D9E0DE" w:sz="4"/>
          <w:bottom w:val="single" w:color="D9E0DE" w:sz="4"/>
          <w:right w:val="single" w:color="D9E0DE" w:sz="4"/>
          <w:insideH w:val="single" w:color="D9E0DE" w:sz="4"/>
          <w:insideV w:val="single" w:color="D9E0DE" w:sz="4"/>
        </w:tblBorders>
      </w:tblPr>
      <w:tblGrid>
        <w:gridCol w:w="2400"/>
        <w:gridCol w:w="3480"/>
        <w:gridCol w:w="3480"/>
      </w:tblGrid>
      <w:tr>
        <w:trPr>
          <w:tblHeader/>
        </w:trPr>
        <w:tc>
          <w:tcPr>
            <w:tcW w:type="dxa" w:w="2400"/>
            <w:shd w:fill="F2F6F5" w:val="clear"/>
            <w:tcMar>
              <w:top w:type="dxa" w:w="100"/>
              <w:left w:type="dxa" w:w="140"/>
              <w:bottom w:type="dxa" w:w="100"/>
              <w:right w:type="dxa" w:w="140"/>
            </w:tcMar>
          </w:tcPr>
          <w:p>
            <w:pPr>
              <w:spacing w:after="0"/>
            </w:pPr>
            <w:r>
              <w:rPr>
                <w:rFonts w:ascii="Consolas" w:cs="Consolas" w:eastAsia="Consolas" w:hAnsi="Consolas"/>
                <w:b/>
                <w:bCs/>
                <w:color w:val="5B6764"/>
                <w:spacing w:val="20"/>
                <w:sz w:val="15"/>
                <w:szCs w:val="15"/>
              </w:rPr>
              <w:t xml:space="preserve"/>
            </w:r>
          </w:p>
        </w:tc>
        <w:tc>
          <w:tcPr>
            <w:tcW w:type="dxa" w:w="3480"/>
            <w:shd w:fill="F2F6F5" w:val="clear"/>
            <w:tcMar>
              <w:top w:type="dxa" w:w="100"/>
              <w:left w:type="dxa" w:w="140"/>
              <w:bottom w:type="dxa" w:w="100"/>
              <w:right w:type="dxa" w:w="140"/>
            </w:tcMar>
          </w:tcPr>
          <w:p>
            <w:pPr>
              <w:spacing w:after="0"/>
            </w:pPr>
            <w:r>
              <w:rPr>
                <w:rFonts w:ascii="Consolas" w:cs="Consolas" w:eastAsia="Consolas" w:hAnsi="Consolas"/>
                <w:b/>
                <w:bCs/>
                <w:color w:val="5B6764"/>
                <w:spacing w:val="20"/>
                <w:sz w:val="15"/>
                <w:szCs w:val="15"/>
              </w:rPr>
              <w:t xml:space="preserve">INGESTED INTO THE CORPUS</w:t>
            </w:r>
          </w:p>
        </w:tc>
        <w:tc>
          <w:tcPr>
            <w:tcW w:type="dxa" w:w="3480"/>
            <w:shd w:fill="F2F6F5" w:val="clear"/>
            <w:tcMar>
              <w:top w:type="dxa" w:w="100"/>
              <w:left w:type="dxa" w:w="140"/>
              <w:bottom w:type="dxa" w:w="100"/>
              <w:right w:type="dxa" w:w="140"/>
            </w:tcMar>
          </w:tcPr>
          <w:p>
            <w:pPr>
              <w:spacing w:after="0"/>
            </w:pPr>
            <w:r>
              <w:rPr>
                <w:rFonts w:ascii="Consolas" w:cs="Consolas" w:eastAsia="Consolas" w:hAnsi="Consolas"/>
                <w:b/>
                <w:bCs/>
                <w:color w:val="5B6764"/>
                <w:spacing w:val="20"/>
                <w:sz w:val="15"/>
                <w:szCs w:val="15"/>
              </w:rPr>
              <w:t xml:space="preserve">RETRIEVED FOR ONE TASK</w:t>
            </w:r>
          </w:p>
        </w:tc>
      </w:tr>
      <w:tr>
        <w:tc>
          <w:tcPr>
            <w:tcW w:type="dxa" w:w="24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What happens to it</w:t>
            </w:r>
          </w:p>
        </w:tc>
        <w:tc>
          <w:tcPr>
            <w:tcW w:type="dxa" w:w="348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Split into extracts, embedded, indexed, stored indefinitely</w:t>
            </w:r>
          </w:p>
        </w:tc>
        <w:tc>
          <w:tcPr>
            <w:tcW w:type="dxa" w:w="348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Fetched on demand for a single request, then discarded</w:t>
            </w:r>
          </w:p>
        </w:tc>
      </w:tr>
      <w:tr>
        <w:tc>
          <w:tcPr>
            <w:tcW w:type="dxa" w:w="24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Who can reach it afterwards</w:t>
            </w:r>
          </w:p>
        </w:tc>
        <w:tc>
          <w:tcPr>
            <w:tcW w:type="dxa" w:w="348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Anyone the retrieval layer serves</w:t>
            </w:r>
          </w:p>
        </w:tc>
        <w:tc>
          <w:tcPr>
            <w:tcW w:type="dxa" w:w="348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Only the user whose task it was</w:t>
            </w:r>
          </w:p>
        </w:tc>
      </w:tr>
      <w:tr>
        <w:tc>
          <w:tcPr>
            <w:tcW w:type="dxa" w:w="24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Sent to the model provider</w:t>
            </w:r>
          </w:p>
        </w:tc>
        <w:tc>
          <w:tcPr>
            <w:tcW w:type="dxa" w:w="348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Yes — the full document at ingestion, extracts thereafter</w:t>
            </w:r>
          </w:p>
        </w:tc>
        <w:tc>
          <w:tcPr>
            <w:tcW w:type="dxa" w:w="348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Only if it forms part of that request's context</w:t>
            </w:r>
          </w:p>
        </w:tc>
      </w:tr>
      <w:tr>
        <w:tc>
          <w:tcPr>
            <w:tcW w:type="dxa" w:w="24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Lifetime</w:t>
            </w:r>
          </w:p>
        </w:tc>
        <w:tc>
          <w:tcPr>
            <w:tcW w:type="dxa" w:w="348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Until explicitly deleted</w:t>
            </w:r>
          </w:p>
        </w:tc>
        <w:tc>
          <w:tcPr>
            <w:tcW w:type="dxa" w:w="348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Expires with the conversation — 24 hours</w:t>
            </w:r>
          </w:p>
        </w:tc>
      </w:tr>
    </w:tbl>
    <w:p>
      <w:pPr>
        <w:spacing w:after="180"/>
      </w:pPr>
    </w:p>
    <w:p>
      <w:pPr>
        <w:spacing w:after="140" w:line="276"/>
      </w:pPr>
      <w:r>
        <w:rPr>
          <w:rFonts w:ascii="Calibri" w:cs="Calibri" w:eastAsia="Calibri" w:hAnsi="Calibri"/>
          <w:b/>
          <w:bCs/>
          <w:color w:val="131A18"/>
          <w:sz w:val="21"/>
          <w:szCs w:val="21"/>
        </w:rPr>
        <w:t xml:space="preserve">The commitment we propose to hold is about the first column: client data is never ingested into the corpus.</w:t>
      </w:r>
      <w:r>
        <w:rPr>
          <w:rFonts w:ascii="Calibri" w:cs="Calibri" w:eastAsia="Calibri" w:hAnsi="Calibri"/>
          <w:color w:val="131A18"/>
          <w:sz w:val="21"/>
          <w:szCs w:val="21"/>
        </w:rPr>
        <w:t xml:space="preserve"> That is a meaningful, testable constraint — the corpus is the part of the system that persists, is searchable by everyone it serves, and is sent to the model provider in full at ingestion.</w:t>
      </w:r>
    </w:p>
    <w:p>
      <w:pPr>
        <w:spacing w:after="140" w:line="276"/>
      </w:pPr>
      <w:r>
        <w:rPr>
          <w:rFonts w:ascii="Calibri" w:cs="Calibri" w:eastAsia="Calibri" w:hAnsi="Calibri"/>
          <w:color w:val="131A18"/>
          <w:sz w:val="21"/>
          <w:szCs w:val="21"/>
        </w:rPr>
        <w:t xml:space="preserve">The second column is a different proposition and needs its own controls rather than a prohibition. As the case, ticket and mailbox integrations move from standalone tools into Kortex agents, client-identifying content will be retrieved through Kortex for specific tasks. That is the point of the platform. Four controls make it defensible:</w:t>
      </w:r>
    </w:p>
    <w:tbl>
      <w:tblPr>
        <w:tblW w:type="dxa" w:w="9360"/>
        <w:tblBorders>
          <w:top w:val="single" w:color="D9E0DE" w:sz="4"/>
          <w:left w:val="single" w:color="D9E0DE" w:sz="4"/>
          <w:bottom w:val="single" w:color="D9E0DE" w:sz="4"/>
          <w:right w:val="single" w:color="D9E0DE" w:sz="4"/>
          <w:insideH w:val="single" w:color="D9E0DE" w:sz="4"/>
          <w:insideV w:val="single" w:color="D9E0DE" w:sz="4"/>
        </w:tblBorders>
      </w:tblPr>
      <w:tblGrid>
        <w:gridCol w:w="4200"/>
        <w:gridCol w:w="5160"/>
      </w:tblGrid>
      <w:tr>
        <w:trPr>
          <w:tblHeader/>
        </w:trPr>
        <w:tc>
          <w:tcPr>
            <w:tcW w:type="dxa" w:w="4200"/>
            <w:shd w:fill="F2F6F5" w:val="clear"/>
            <w:tcMar>
              <w:top w:type="dxa" w:w="100"/>
              <w:left w:type="dxa" w:w="140"/>
              <w:bottom w:type="dxa" w:w="100"/>
              <w:right w:type="dxa" w:w="140"/>
            </w:tcMar>
          </w:tcPr>
          <w:p>
            <w:pPr>
              <w:spacing w:after="0"/>
            </w:pPr>
            <w:r>
              <w:rPr>
                <w:rFonts w:ascii="Consolas" w:cs="Consolas" w:eastAsia="Consolas" w:hAnsi="Consolas"/>
                <w:b/>
                <w:bCs/>
                <w:color w:val="5B6764"/>
                <w:spacing w:val="20"/>
                <w:sz w:val="15"/>
                <w:szCs w:val="15"/>
              </w:rPr>
              <w:t xml:space="preserve">CONTROL</w:t>
            </w:r>
          </w:p>
        </w:tc>
        <w:tc>
          <w:tcPr>
            <w:tcW w:type="dxa" w:w="5160"/>
            <w:shd w:fill="F2F6F5" w:val="clear"/>
            <w:tcMar>
              <w:top w:type="dxa" w:w="100"/>
              <w:left w:type="dxa" w:w="140"/>
              <w:bottom w:type="dxa" w:w="100"/>
              <w:right w:type="dxa" w:w="140"/>
            </w:tcMar>
          </w:tcPr>
          <w:p>
            <w:pPr>
              <w:spacing w:after="0"/>
            </w:pPr>
            <w:r>
              <w:rPr>
                <w:rFonts w:ascii="Consolas" w:cs="Consolas" w:eastAsia="Consolas" w:hAnsi="Consolas"/>
                <w:b/>
                <w:bCs/>
                <w:color w:val="5B6764"/>
                <w:spacing w:val="20"/>
                <w:sz w:val="15"/>
                <w:szCs w:val="15"/>
              </w:rPr>
              <w:t xml:space="preserve">WHY</w:t>
            </w:r>
          </w:p>
        </w:tc>
      </w:tr>
      <w:tr>
        <w:tc>
          <w:tcPr>
            <w:tcW w:type="dxa" w:w="42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Retrieve using the user's own entitlements in the source system, never a broad service account</w:t>
            </w:r>
          </w:p>
        </w:tc>
        <w:tc>
          <w:tcPr>
            <w:tcW w:type="dxa" w:w="51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Otherwise Kortex becomes a way to see cases a person could not open directly. This is the control that matters most.</w:t>
            </w:r>
          </w:p>
        </w:tc>
      </w:tr>
      <w:tr>
        <w:tc>
          <w:tcPr>
            <w:tcW w:type="dxa" w:w="42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Never ingested, never embedded</w:t>
            </w:r>
          </w:p>
        </w:tc>
        <w:tc>
          <w:tcPr>
            <w:tcW w:type="dxa" w:w="51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Retrieved case content is used for the request and discarded. It does not become searchable by others.</w:t>
            </w:r>
          </w:p>
        </w:tc>
      </w:tr>
      <w:tr>
        <w:tc>
          <w:tcPr>
            <w:tcW w:type="dxa" w:w="42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Retention follows the conversation</w:t>
            </w:r>
          </w:p>
        </w:tc>
        <w:tc>
          <w:tcPr>
            <w:tcW w:type="dxa" w:w="51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Chat history expires after 24 hours. Client-derived content inherits that lifetime.</w:t>
            </w:r>
          </w:p>
        </w:tc>
      </w:tr>
      <w:tr>
        <w:tc>
          <w:tcPr>
            <w:tcW w:type="dxa" w:w="42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Observability retention must account for it</w:t>
            </w:r>
          </w:p>
        </w:tc>
        <w:tc>
          <w:tcPr>
            <w:tcW w:type="dxa" w:w="51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If a case is pulled into a conversation, it appears in that trace — so the retention ruling we are asking for (D-4) governs client-derived content.</w:t>
            </w:r>
          </w:p>
        </w:tc>
      </w:tr>
    </w:tbl>
    <w:p>
      <w:pPr>
        <w:spacing w:after="180"/>
      </w:pPr>
    </w:p>
    <w:p>
      <w:pPr>
        <w:spacing w:after="140" w:line="276"/>
      </w:pPr>
      <w:r>
        <w:rPr>
          <w:rFonts w:ascii="Calibri" w:cs="Calibri" w:eastAsia="Calibri" w:hAnsi="Calibri"/>
          <w:b/>
          <w:bCs/>
          <w:color w:val="131A18"/>
          <w:sz w:val="21"/>
          <w:szCs w:val="21"/>
        </w:rPr>
        <w:t xml:space="preserve">Two further routes, stated for completeness.</w:t>
      </w:r>
      <w:r>
        <w:rPr>
          <w:rFonts w:ascii="Calibri" w:cs="Calibri" w:eastAsia="Calibri" w:hAnsi="Calibri"/>
          <w:color w:val="131A18"/>
          <w:sz w:val="21"/>
          <w:szCs w:val="21"/>
        </w:rPr>
        <w:t xml:space="preserve"> Test and troubleshooting databases hold anonymised client data and are reachable through the database operations capability; we are asking the CoE to assess whether that anonymisation is sufficient rather than asserting it ourselves. And case-specific troubleshooting documents, planned for the corpus, may carry client identifiers incidentally — which is precisely what the administrator review must screen for.</w:t>
      </w:r>
    </w:p>
    <w:p>
      <w:pPr>
        <w:spacing w:after="140" w:line="276"/>
      </w:pPr>
      <w:r>
        <w:rPr>
          <w:rFonts w:ascii="Calibri" w:cs="Calibri" w:eastAsia="Calibri" w:hAnsi="Calibri"/>
          <w:color w:val="131A18"/>
          <w:sz w:val="21"/>
          <w:szCs w:val="21"/>
        </w:rPr>
        <w:t xml:space="preserve">No production client environment is reachable by any path.</w:t>
      </w:r>
    </w:p>
    <w:p>
      <w:pPr>
        <w:pStyle w:val="Heading2"/>
        <w:spacing w:after="110" w:before="280"/>
      </w:pPr>
      <w:r>
        <w:rPr>
          <w:rFonts w:ascii="Calibri" w:cs="Calibri" w:eastAsia="Calibri" w:hAnsi="Calibri"/>
          <w:b/>
          <w:bCs/>
          <w:color w:val="131A18"/>
          <w:sz w:val="23"/>
          <w:szCs w:val="23"/>
        </w:rPr>
        <w:t xml:space="preserve">Keeping client-derived content away from outbound search</w:t>
      </w:r>
    </w:p>
    <w:p>
      <w:pPr>
        <w:spacing w:after="140" w:line="276"/>
      </w:pPr>
      <w:r>
        <w:rPr>
          <w:rFonts w:ascii="Calibri" w:cs="Calibri" w:eastAsia="Calibri" w:hAnsi="Calibri"/>
          <w:color w:val="131A18"/>
          <w:sz w:val="21"/>
          <w:szCs w:val="21"/>
        </w:rPr>
        <w:t xml:space="preserve">One flow needs an explicit interlock. If a conversation has pulled in case content, and the assistant later falls back to web search, the query it composes could carry something from that case outward. The two capabilities are individually reasonable and problematic in sequence.</w:t>
      </w:r>
    </w:p>
    <w:p>
      <w:pPr>
        <w:spacing w:after="140" w:line="276"/>
      </w:pPr>
      <w:r>
        <w:rPr>
          <w:rFonts w:ascii="Calibri" w:cs="Calibri" w:eastAsia="Calibri" w:hAnsi="Calibri"/>
          <w:color w:val="131A18"/>
          <w:sz w:val="21"/>
          <w:szCs w:val="21"/>
        </w:rPr>
        <w:t xml:space="preserve">We propose to close this deterministically rather than by judgment. </w:t>
      </w:r>
      <w:r>
        <w:rPr>
          <w:rFonts w:ascii="Calibri" w:cs="Calibri" w:eastAsia="Calibri" w:hAnsi="Calibri"/>
          <w:b/>
          <w:bCs/>
          <w:color w:val="131A18"/>
          <w:sz w:val="21"/>
          <w:szCs w:val="21"/>
        </w:rPr>
        <w:t xml:space="preserve">Once any integration has returned client-sourced content into a conversation, outbound web search is disabled for the remainder of that conversation</w:t>
      </w:r>
      <w:r>
        <w:rPr>
          <w:rFonts w:ascii="Calibri" w:cs="Calibri" w:eastAsia="Calibri" w:hAnsi="Calibri"/>
          <w:color w:val="131A18"/>
          <w:sz w:val="21"/>
          <w:szCs w:val="21"/>
        </w:rPr>
        <w:t xml:space="preserve"> — a state flag set when the retrieval happens, not an assessment made afterwards. We deliberately do not want a model deciding whether a given exchange is safe to send outside; a probabilistic classifier is the wrong instrument for a control that must not fail.</w:t>
      </w:r>
    </w:p>
    <w:p>
      <w:pPr>
        <w:spacing w:after="140" w:line="276"/>
      </w:pPr>
      <w:r>
        <w:rPr>
          <w:rFonts w:ascii="Calibri" w:cs="Calibri" w:eastAsia="Calibri" w:hAnsi="Calibri"/>
          <w:color w:val="131A18"/>
          <w:sz w:val="21"/>
          <w:szCs w:val="21"/>
        </w:rPr>
        <w:t xml:space="preserve">Two further measures sit alongside it. Search queries are </w:t>
      </w:r>
      <w:r>
        <w:rPr>
          <w:rFonts w:ascii="Calibri" w:cs="Calibri" w:eastAsia="Calibri" w:hAnsi="Calibri"/>
          <w:b/>
          <w:bCs/>
          <w:color w:val="131A18"/>
          <w:sz w:val="21"/>
          <w:szCs w:val="21"/>
        </w:rPr>
        <w:t xml:space="preserve">constructed from extracted parameters</w:t>
      </w:r>
      <w:r>
        <w:rPr>
          <w:rFonts w:ascii="Calibri" w:cs="Calibri" w:eastAsia="Calibri" w:hAnsi="Calibri"/>
          <w:color w:val="131A18"/>
          <w:sz w:val="21"/>
          <w:szCs w:val="21"/>
        </w:rPr>
        <w:t xml:space="preserve"> — product, version, error code — rather than assembled from free conversation text. And known client identifiers are screened before egress, giving a second check that does not depend on the first.</w:t>
      </w:r>
    </w:p>
    <w:p>
      <w:pPr>
        <w:pStyle w:val="Heading2"/>
        <w:spacing w:after="110" w:before="280"/>
      </w:pPr>
      <w:r>
        <w:rPr>
          <w:rFonts w:ascii="Calibri" w:cs="Calibri" w:eastAsia="Calibri" w:hAnsi="Calibri"/>
          <w:b/>
          <w:bCs/>
          <w:color w:val="131A18"/>
          <w:sz w:val="23"/>
          <w:szCs w:val="23"/>
        </w:rPr>
        <w:t xml:space="preserve">Where Kortex acts, not just answers</w:t>
      </w:r>
    </w:p>
    <w:tbl>
      <w:tblPr>
        <w:tblW w:type="dxa" w:w="9360"/>
        <w:tblBorders>
          <w:top w:val="none" w:color="FFFFFF" w:sz="0"/>
          <w:left w:val="single" w:color="A33C22" w:sz="12"/>
          <w:bottom w:val="none" w:color="FFFFFF" w:sz="0"/>
          <w:right w:val="none" w:color="FFFFFF" w:sz="0"/>
          <w:insideH w:val="none" w:color="FFFFFF" w:sz="0"/>
          <w:insideV w:val="none" w:color="FFFFFF" w:sz="0"/>
        </w:tblBorders>
      </w:tblPr>
      <w:tblGrid>
        <w:gridCol w:w="9360"/>
      </w:tblGrid>
      <w:tr>
        <w:tc>
          <w:tcPr>
            <w:tcW w:type="dxa" w:w="9360"/>
            <w:shd w:fill="FBF0EC" w:val="clear"/>
            <w:tcMar>
              <w:top w:type="dxa" w:w="160"/>
              <w:left w:type="dxa" w:w="220"/>
              <w:bottom w:type="dxa" w:w="160"/>
              <w:right w:type="dxa" w:w="220"/>
            </w:tcMar>
          </w:tcPr>
          <w:p>
            <w:pPr>
              <w:spacing w:after="80"/>
            </w:pPr>
            <w:r>
              <w:rPr>
                <w:rFonts w:ascii="Consolas" w:cs="Consolas" w:eastAsia="Consolas" w:hAnsi="Consolas"/>
                <w:b/>
                <w:bCs/>
                <w:color w:val="A33C22"/>
                <w:spacing w:val="30"/>
                <w:sz w:val="15"/>
                <w:szCs w:val="15"/>
              </w:rPr>
              <w:t xml:space="preserve">TWO CAPABILITIES THAT CHANGE STATE</w:t>
            </w:r>
          </w:p>
          <w:p>
            <w:pPr>
              <w:spacing w:after="100" w:line="276"/>
            </w:pPr>
            <w:r>
              <w:rPr>
                <w:rFonts w:ascii="Calibri" w:cs="Calibri" w:eastAsia="Calibri" w:hAnsi="Calibri"/>
                <w:b/>
                <w:bCs/>
                <w:color w:val="131A18"/>
                <w:sz w:val="20"/>
                <w:szCs w:val="20"/>
              </w:rPr>
              <w:t xml:space="preserve">Database operations — in use today.</w:t>
            </w:r>
            <w:r>
              <w:rPr>
                <w:rFonts w:ascii="Calibri" w:cs="Calibri" w:eastAsia="Calibri" w:hAnsi="Calibri"/>
                <w:color w:val="131A18"/>
                <w:sz w:val="20"/>
                <w:szCs w:val="20"/>
              </w:rPr>
              <w:t xml:space="preserve"> Kortex calls our existing database administration application through a dedicated service account. Which users may do what is decided inside Kortex: an administrator grants read and/or write privilege, per database.</w:t>
            </w:r>
          </w:p>
          <w:p>
            <w:pPr>
              <w:spacing w:after="0" w:line="276"/>
            </w:pPr>
            <w:r>
              <w:rPr>
                <w:rFonts w:ascii="Calibri" w:cs="Calibri" w:eastAsia="Calibri" w:hAnsi="Calibri"/>
                <w:b/>
                <w:bCs/>
                <w:color w:val="131A18"/>
                <w:sz w:val="20"/>
                <w:szCs w:val="20"/>
              </w:rPr>
              <w:t xml:space="preserve">Remediation on servers — planned, not built.</w:t>
            </w:r>
            <w:r>
              <w:rPr>
                <w:rFonts w:ascii="Calibri" w:cs="Calibri" w:eastAsia="Calibri" w:hAnsi="Calibri"/>
                <w:color w:val="131A18"/>
                <w:sz w:val="20"/>
                <w:szCs w:val="20"/>
              </w:rPr>
              <w:t xml:space="preserve"> For repetitive vulnerability cases whose fix is well understood, the intent is that Kortex prepares and applies the remediation rather than only reporting it.</w:t>
            </w:r>
          </w:p>
        </w:tc>
      </w:tr>
    </w:tbl>
    <w:p>
      <w:pPr>
        <w:spacing w:after="140"/>
      </w:pPr>
    </w:p>
    <w:p>
      <w:pPr>
        <w:spacing w:after="140" w:line="276"/>
      </w:pPr>
      <w:r>
        <w:rPr>
          <w:rFonts w:ascii="Calibri" w:cs="Calibri" w:eastAsia="Calibri" w:hAnsi="Calibri"/>
          <w:color w:val="131A18"/>
          <w:sz w:val="21"/>
          <w:szCs w:val="21"/>
        </w:rPr>
        <w:t xml:space="preserve">These are a categorical step beyond retrieval, and they attract the governance weight of the initiative. The risks are well understood — most map to the OWASP Top 10 for LLM Applications — and each has a strategy we intend to build to.</w:t>
      </w:r>
    </w:p>
    <w:tbl>
      <w:tblPr>
        <w:tblW w:type="dxa" w:w="9360"/>
        <w:tblBorders>
          <w:top w:val="single" w:color="D9E0DE" w:sz="4"/>
          <w:left w:val="single" w:color="D9E0DE" w:sz="4"/>
          <w:bottom w:val="single" w:color="D9E0DE" w:sz="4"/>
          <w:right w:val="single" w:color="D9E0DE" w:sz="4"/>
          <w:insideH w:val="single" w:color="D9E0DE" w:sz="4"/>
          <w:insideV w:val="single" w:color="D9E0DE" w:sz="4"/>
        </w:tblBorders>
      </w:tblPr>
      <w:tblGrid>
        <w:gridCol w:w="2100"/>
        <w:gridCol w:w="3600"/>
        <w:gridCol w:w="3660"/>
      </w:tblGrid>
      <w:tr>
        <w:trPr>
          <w:tblHeader/>
        </w:trPr>
        <w:tc>
          <w:tcPr>
            <w:tcW w:type="dxa" w:w="2100"/>
            <w:shd w:fill="F2F6F5" w:val="clear"/>
            <w:tcMar>
              <w:top w:type="dxa" w:w="100"/>
              <w:left w:type="dxa" w:w="140"/>
              <w:bottom w:type="dxa" w:w="100"/>
              <w:right w:type="dxa" w:w="140"/>
            </w:tcMar>
          </w:tcPr>
          <w:p>
            <w:pPr>
              <w:spacing w:after="0"/>
            </w:pPr>
            <w:r>
              <w:rPr>
                <w:rFonts w:ascii="Consolas" w:cs="Consolas" w:eastAsia="Consolas" w:hAnsi="Consolas"/>
                <w:b/>
                <w:bCs/>
                <w:color w:val="5B6764"/>
                <w:spacing w:val="20"/>
                <w:sz w:val="15"/>
                <w:szCs w:val="15"/>
              </w:rPr>
              <w:t xml:space="preserve">RISK</w:t>
            </w:r>
          </w:p>
        </w:tc>
        <w:tc>
          <w:tcPr>
            <w:tcW w:type="dxa" w:w="3600"/>
            <w:shd w:fill="F2F6F5" w:val="clear"/>
            <w:tcMar>
              <w:top w:type="dxa" w:w="100"/>
              <w:left w:type="dxa" w:w="140"/>
              <w:bottom w:type="dxa" w:w="100"/>
              <w:right w:type="dxa" w:w="140"/>
            </w:tcMar>
          </w:tcPr>
          <w:p>
            <w:pPr>
              <w:spacing w:after="0"/>
            </w:pPr>
            <w:r>
              <w:rPr>
                <w:rFonts w:ascii="Consolas" w:cs="Consolas" w:eastAsia="Consolas" w:hAnsi="Consolas"/>
                <w:b/>
                <w:bCs/>
                <w:color w:val="5B6764"/>
                <w:spacing w:val="20"/>
                <w:sz w:val="15"/>
                <w:szCs w:val="15"/>
              </w:rPr>
              <w:t xml:space="preserve">WHY IT APPLIES HERE</w:t>
            </w:r>
          </w:p>
        </w:tc>
        <w:tc>
          <w:tcPr>
            <w:tcW w:type="dxa" w:w="3660"/>
            <w:shd w:fill="F2F6F5" w:val="clear"/>
            <w:tcMar>
              <w:top w:type="dxa" w:w="100"/>
              <w:left w:type="dxa" w:w="140"/>
              <w:bottom w:type="dxa" w:w="100"/>
              <w:right w:type="dxa" w:w="140"/>
            </w:tcMar>
          </w:tcPr>
          <w:p>
            <w:pPr>
              <w:spacing w:after="0"/>
            </w:pPr>
            <w:r>
              <w:rPr>
                <w:rFonts w:ascii="Consolas" w:cs="Consolas" w:eastAsia="Consolas" w:hAnsi="Consolas"/>
                <w:b/>
                <w:bCs/>
                <w:color w:val="5B6764"/>
                <w:spacing w:val="20"/>
                <w:sz w:val="15"/>
                <w:szCs w:val="15"/>
              </w:rPr>
              <w:t xml:space="preserve">OUR STRATEGY</w:t>
            </w:r>
          </w:p>
        </w:tc>
      </w:tr>
      <w:tr>
        <w:tc>
          <w:tcPr>
            <w:tcW w:type="dxa" w:w="21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Prompt injection reaching an action</w:t>
            </w:r>
          </w:p>
        </w:tc>
        <w:tc>
          <w:tcPr>
            <w:tcW w:type="dxa" w:w="36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Retrieved document content enters the model's context and influences what it does. With an action capability attached, a document carrying instructions could in principle steer an operation.</w:t>
            </w:r>
          </w:p>
        </w:tc>
        <w:tc>
          <w:tcPr>
            <w:tcW w:type="dxa" w:w="36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No path from retrieved content to a state change without a person in between. Documents are reviewed before ingestion, so the corpus is a controlled input.</w:t>
            </w:r>
          </w:p>
        </w:tc>
      </w:tr>
      <w:tr>
        <w:tc>
          <w:tcPr>
            <w:tcW w:type="dxa" w:w="21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Excessive agency</w:t>
            </w:r>
          </w:p>
        </w:tc>
        <w:tc>
          <w:tcPr>
            <w:tcW w:type="dxa" w:w="36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An agent granted broad capability can take actions wider than the request warranted, and a model's choice of action is not deterministic.</w:t>
            </w:r>
          </w:p>
        </w:tc>
        <w:tc>
          <w:tcPr>
            <w:tcW w:type="dxa" w:w="36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Read and write are separate capabilities with separate grants. Every state change requires explicit human confirmation showing the exact operation. Server remediation limited to a closed, named list of case types.</w:t>
            </w:r>
          </w:p>
        </w:tc>
      </w:tr>
      <w:tr>
        <w:tc>
          <w:tcPr>
            <w:tcW w:type="dxa" w:w="21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Attribution</w:t>
            </w:r>
          </w:p>
        </w:tc>
        <w:tc>
          <w:tcPr>
            <w:tcW w:type="dxa" w:w="36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Downstream systems see the Kortex service account rather than the person who asked.</w:t>
            </w:r>
          </w:p>
        </w:tc>
        <w:tc>
          <w:tcPr>
            <w:tcW w:type="dxa" w:w="36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Kortex passes the requesting user's identity on every downstream call, and the database administration application records it. Kortex keeps its own trail: who asked, what was proposed, who approved, what ran.</w:t>
            </w:r>
          </w:p>
        </w:tc>
      </w:tr>
      <w:tr>
        <w:tc>
          <w:tcPr>
            <w:tcW w:type="dxa" w:w="21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Privilege escalation into Kortex</w:t>
            </w:r>
          </w:p>
        </w:tc>
        <w:tc>
          <w:tcPr>
            <w:tcW w:type="dxa" w:w="36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Holding a privileged downstream credential makes Kortex itself a target.</w:t>
            </w:r>
          </w:p>
        </w:tc>
        <w:tc>
          <w:tcPr>
            <w:tcW w:type="dxa" w:w="36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The authentication and authorisation hardening in Section 8 is treated as a prerequisite for the action capabilities, and is sequenced first.</w:t>
            </w:r>
          </w:p>
        </w:tc>
      </w:tr>
      <w:tr>
        <w:tc>
          <w:tcPr>
            <w:tcW w:type="dxa" w:w="21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Blast radius</w:t>
            </w:r>
          </w:p>
        </w:tc>
        <w:tc>
          <w:tcPr>
            <w:tcW w:type="dxa" w:w="36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An automated remediation applied at speed can be applied at scale.</w:t>
            </w:r>
          </w:p>
        </w:tc>
        <w:tc>
          <w:tcPr>
            <w:tcW w:type="dxa" w:w="36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One target at a time, rate-limited, never fleet-wide. Every action reversible, with rollback prepared before execution.</w:t>
            </w:r>
          </w:p>
        </w:tc>
      </w:tr>
      <w:tr>
        <w:tc>
          <w:tcPr>
            <w:tcW w:type="dxa" w:w="21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Misinformation acted upon</w:t>
            </w:r>
          </w:p>
        </w:tc>
        <w:tc>
          <w:tcPr>
            <w:tcW w:type="dxa" w:w="36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A vulnerability verdict or proposed fix could be wrong, and wrong in a way that reads as confident.</w:t>
            </w:r>
          </w:p>
        </w:tc>
        <w:tc>
          <w:tcPr>
            <w:tcW w:type="dxa" w:w="36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No verdict counts as an assessment of record without named human confirmation. Answers cite their sources.</w:t>
            </w:r>
          </w:p>
        </w:tc>
      </w:tr>
    </w:tbl>
    <w:p>
      <w:pPr>
        <w:spacing w:after="200"/>
      </w:pPr>
    </w:p>
    <w:p>
      <w:pPr>
        <w:pStyle w:val="Heading2"/>
        <w:spacing w:after="110" w:before="280"/>
      </w:pPr>
      <w:r>
        <w:rPr>
          <w:rFonts w:ascii="Calibri" w:cs="Calibri" w:eastAsia="Calibri" w:hAnsi="Calibri"/>
          <w:b/>
          <w:bCs/>
          <w:color w:val="131A18"/>
          <w:sz w:val="23"/>
          <w:szCs w:val="23"/>
        </w:rPr>
        <w:t xml:space="preserve">Quality control on what enters the corpus</w:t>
      </w:r>
    </w:p>
    <w:p>
      <w:pPr>
        <w:spacing w:after="140" w:line="276"/>
      </w:pPr>
      <w:r>
        <w:rPr>
          <w:rFonts w:ascii="Calibri" w:cs="Calibri" w:eastAsia="Calibri" w:hAnsi="Calibri"/>
          <w:color w:val="131A18"/>
          <w:sz w:val="21"/>
          <w:szCs w:val="21"/>
        </w:rPr>
        <w:t xml:space="preserve">Because everything Kortex asserts is grounded in the corpus, what goes into it matters as much as who can query it. </w:t>
      </w:r>
      <w:r>
        <w:rPr>
          <w:rFonts w:ascii="Calibri" w:cs="Calibri" w:eastAsia="Calibri" w:hAnsi="Calibri"/>
          <w:b/>
          <w:bCs/>
          <w:color w:val="131A18"/>
          <w:sz w:val="21"/>
          <w:szCs w:val="21"/>
        </w:rPr>
        <w:t xml:space="preserve">Ingested documents pass through administrator review before they are indexed.</w:t>
      </w:r>
      <w:r>
        <w:rPr>
          <w:rFonts w:ascii="Calibri" w:cs="Calibri" w:eastAsia="Calibri" w:hAnsi="Calibri"/>
          <w:color w:val="131A18"/>
          <w:sz w:val="21"/>
          <w:szCs w:val="21"/>
        </w:rPr>
        <w:t xml:space="preserve"> That review is the control point for three things at once: whether the document is accurate enough to ground answers, whether it carries client or personal data that should not be present, and whether it contains anything that should not be treated as instruction.</w:t>
      </w:r>
    </w:p>
    <w:p>
      <w:pPr>
        <w:pStyle w:val="Heading2"/>
        <w:spacing w:after="110" w:before="280"/>
      </w:pPr>
      <w:r>
        <w:rPr>
          <w:rFonts w:ascii="Calibri" w:cs="Calibri" w:eastAsia="Calibri" w:hAnsi="Calibri"/>
          <w:b/>
          <w:bCs/>
          <w:color w:val="131A18"/>
          <w:sz w:val="23"/>
          <w:szCs w:val="23"/>
        </w:rPr>
        <w:t xml:space="preserve">Retention and erasure</w:t>
      </w:r>
    </w:p>
    <w:p>
      <w:pPr>
        <w:pStyle w:val="ListParagraph"/>
        <w:numPr>
          <w:ilvl w:val="0"/>
          <w:numId w:val="2"/>
        </w:numPr>
        <w:spacing w:after="90" w:line="276"/>
      </w:pPr>
      <w:r>
        <w:rPr>
          <w:rFonts w:ascii="Calibri" w:cs="Calibri" w:eastAsia="Calibri" w:hAnsi="Calibri"/>
          <w:b/>
          <w:bCs/>
          <w:color w:val="131A18"/>
          <w:sz w:val="21"/>
          <w:szCs w:val="21"/>
        </w:rPr>
        <w:t xml:space="preserve">Chat history</w:t>
      </w:r>
      <w:r>
        <w:rPr>
          <w:rFonts w:ascii="Calibri" w:cs="Calibri" w:eastAsia="Calibri" w:hAnsi="Calibri"/>
          <w:color w:val="131A18"/>
          <w:sz w:val="21"/>
          <w:szCs w:val="21"/>
        </w:rPr>
        <w:t xml:space="preserve"> — expires automatically after 24 hours. Already designed in.</w:t>
      </w:r>
    </w:p>
    <w:p>
      <w:pPr>
        <w:pStyle w:val="ListParagraph"/>
        <w:numPr>
          <w:ilvl w:val="0"/>
          <w:numId w:val="2"/>
        </w:numPr>
        <w:spacing w:after="90" w:line="276"/>
      </w:pPr>
      <w:r>
        <w:rPr>
          <w:rFonts w:ascii="Calibri" w:cs="Calibri" w:eastAsia="Calibri" w:hAnsi="Calibri"/>
          <w:b/>
          <w:bCs/>
          <w:color w:val="131A18"/>
          <w:sz w:val="21"/>
          <w:szCs w:val="21"/>
        </w:rPr>
        <w:t xml:space="preserve">Observability traces</w:t>
      </w:r>
      <w:r>
        <w:rPr>
          <w:rFonts w:ascii="Calibri" w:cs="Calibri" w:eastAsia="Calibri" w:hAnsi="Calibri"/>
          <w:color w:val="131A18"/>
          <w:sz w:val="21"/>
          <w:szCs w:val="21"/>
        </w:rPr>
        <w:t xml:space="preserve"> — capture full prompts and responses. No retention policy is set; we are asking for a ruling (D-4).</w:t>
      </w:r>
    </w:p>
    <w:p>
      <w:pPr>
        <w:pStyle w:val="ListParagraph"/>
        <w:numPr>
          <w:ilvl w:val="0"/>
          <w:numId w:val="2"/>
        </w:numPr>
        <w:spacing w:after="90" w:line="276"/>
      </w:pPr>
      <w:r>
        <w:rPr>
          <w:rFonts w:ascii="Calibri" w:cs="Calibri" w:eastAsia="Calibri" w:hAnsi="Calibri"/>
          <w:b/>
          <w:bCs/>
          <w:color w:val="131A18"/>
          <w:sz w:val="21"/>
          <w:szCs w:val="21"/>
        </w:rPr>
        <w:t xml:space="preserve">Corpus documents</w:t>
      </w:r>
      <w:r>
        <w:rPr>
          <w:rFonts w:ascii="Calibri" w:cs="Calibri" w:eastAsia="Calibri" w:hAnsi="Calibri"/>
          <w:color w:val="131A18"/>
          <w:sz w:val="21"/>
          <w:szCs w:val="21"/>
        </w:rPr>
        <w:t xml:space="preserve"> — individually removable by content hash, taking all derived extracts with them.</w:t>
      </w:r>
    </w:p>
    <w:p>
      <w:pPr>
        <w:pStyle w:val="ListParagraph"/>
        <w:numPr>
          <w:ilvl w:val="0"/>
          <w:numId w:val="2"/>
        </w:numPr>
        <w:spacing w:after="90" w:line="276"/>
      </w:pPr>
      <w:r>
        <w:rPr>
          <w:rFonts w:ascii="Calibri" w:cs="Calibri" w:eastAsia="Calibri" w:hAnsi="Calibri"/>
          <w:b/>
          <w:bCs/>
          <w:color w:val="131A18"/>
          <w:sz w:val="21"/>
          <w:szCs w:val="21"/>
        </w:rPr>
        <w:t xml:space="preserve">User offboarding</w:t>
      </w:r>
      <w:r>
        <w:rPr>
          <w:rFonts w:ascii="Calibri" w:cs="Calibri" w:eastAsia="Calibri" w:hAnsi="Calibri"/>
          <w:color w:val="131A18"/>
          <w:sz w:val="21"/>
          <w:szCs w:val="21"/>
        </w:rPr>
        <w:t xml:space="preserve"> — what happens to a departing user's history and traces needs defining alongside D-4.</w:t>
      </w:r>
    </w:p>
    <w:p>
      <w:pPr>
        <w:pStyle w:val="Heading2"/>
        <w:spacing w:after="110" w:before="280"/>
      </w:pPr>
      <w:r>
        <w:rPr>
          <w:rFonts w:ascii="Calibri" w:cs="Calibri" w:eastAsia="Calibri" w:hAnsi="Calibri"/>
          <w:b/>
          <w:bCs/>
          <w:color w:val="131A18"/>
          <w:sz w:val="23"/>
          <w:szCs w:val="23"/>
        </w:rPr>
        <w:t xml:space="preserve">Regulatory questions we need confirmed</w:t>
      </w:r>
    </w:p>
    <w:p>
      <w:pPr>
        <w:spacing w:after="140" w:line="276"/>
      </w:pPr>
      <w:r>
        <w:rPr>
          <w:rFonts w:ascii="Calibri" w:cs="Calibri" w:eastAsia="Calibri" w:hAnsi="Calibri"/>
          <w:color w:val="131A18"/>
          <w:sz w:val="21"/>
          <w:szCs w:val="21"/>
        </w:rPr>
        <w:t xml:space="preserve">We are flagging these as questions rather than asserting answers.</w:t>
      </w:r>
    </w:p>
    <w:p>
      <w:pPr>
        <w:pStyle w:val="ListParagraph"/>
        <w:numPr>
          <w:ilvl w:val="0"/>
          <w:numId w:val="2"/>
        </w:numPr>
        <w:spacing w:after="90" w:line="276"/>
      </w:pPr>
      <w:r>
        <w:rPr>
          <w:rFonts w:ascii="Calibri" w:cs="Calibri" w:eastAsia="Calibri" w:hAnsi="Calibri"/>
          <w:color w:val="131A18"/>
          <w:sz w:val="21"/>
          <w:szCs w:val="21"/>
        </w:rPr>
        <w:t xml:space="preserve">Whether this must be registered in a Finastra AI system inventory, and under what classification.</w:t>
      </w:r>
    </w:p>
    <w:p>
      <w:pPr>
        <w:pStyle w:val="ListParagraph"/>
        <w:numPr>
          <w:ilvl w:val="0"/>
          <w:numId w:val="2"/>
        </w:numPr>
        <w:spacing w:after="90" w:line="276"/>
      </w:pPr>
      <w:r>
        <w:rPr>
          <w:rFonts w:ascii="Calibri" w:cs="Calibri" w:eastAsia="Calibri" w:hAnsi="Calibri"/>
          <w:color w:val="131A18"/>
          <w:sz w:val="21"/>
          <w:szCs w:val="21"/>
        </w:rPr>
        <w:t xml:space="preserve">Its classification under the EU AI Act. We would expect an internal productivity assistant to sit well below the high-risk threshold — but that is an expectation, not a determination.</w:t>
      </w:r>
    </w:p>
    <w:p>
      <w:pPr>
        <w:pStyle w:val="ListParagraph"/>
        <w:numPr>
          <w:ilvl w:val="0"/>
          <w:numId w:val="2"/>
        </w:numPr>
        <w:spacing w:after="90" w:line="276"/>
      </w:pPr>
      <w:r>
        <w:rPr>
          <w:rFonts w:ascii="Calibri" w:cs="Calibri" w:eastAsia="Calibri" w:hAnsi="Calibri"/>
          <w:color w:val="131A18"/>
          <w:sz w:val="21"/>
          <w:szCs w:val="21"/>
        </w:rPr>
        <w:t xml:space="preserve">Whether a data protection impact assessment is required, given that user-typed questions may incidentally contain personal data.</w:t>
      </w:r>
    </w:p>
    <w:p>
      <w:pPr>
        <w:pStyle w:val="ListParagraph"/>
        <w:numPr>
          <w:ilvl w:val="0"/>
          <w:numId w:val="2"/>
        </w:numPr>
        <w:spacing w:after="90" w:line="276"/>
      </w:pPr>
      <w:r>
        <w:rPr>
          <w:rFonts w:ascii="Calibri" w:cs="Calibri" w:eastAsia="Calibri" w:hAnsi="Calibri"/>
          <w:color w:val="131A18"/>
          <w:sz w:val="21"/>
          <w:szCs w:val="21"/>
        </w:rPr>
        <w:t xml:space="preserve">Whether ICT third-party risk obligations arising from Finastra's position as a supplier to financial institutions extend to a model provider used in internal tooling.</w:t>
      </w:r>
    </w:p>
    <w:p>
      <w:pPr>
        <w:pStyle w:val="ListParagraph"/>
        <w:numPr>
          <w:ilvl w:val="0"/>
          <w:numId w:val="2"/>
        </w:numPr>
        <w:spacing w:after="90" w:line="276"/>
      </w:pPr>
      <w:r>
        <w:rPr>
          <w:rFonts w:ascii="Calibri" w:cs="Calibri" w:eastAsia="Calibri" w:hAnsi="Calibri"/>
          <w:color w:val="131A18"/>
          <w:sz w:val="21"/>
          <w:szCs w:val="21"/>
        </w:rPr>
        <w:t xml:space="preserve">What, if anything, must be disclosed to clients about AI use in the processes that support their products.</w:t>
      </w:r>
    </w:p>
    <w:p>
      <w:pPr>
        <w:pStyle w:val="Heading1"/>
        <w:pBdr>
          <w:bottom w:val="single" w:color="D9E0DE" w:sz="6" w:space="6"/>
        </w:pBdr>
        <w:spacing w:after="180" w:before="420"/>
      </w:pPr>
      <w:r>
        <w:rPr>
          <w:rFonts w:ascii="Calibri" w:cs="Calibri" w:eastAsia="Calibri" w:hAnsi="Calibri"/>
          <w:b/>
          <w:bCs/>
          <w:color w:val="131A18"/>
          <w:sz w:val="30"/>
          <w:szCs w:val="30"/>
        </w:rPr>
        <w:t xml:space="preserve">8. Security, compliance and governance</w:t>
      </w:r>
    </w:p>
    <w:p>
      <w:pPr>
        <w:spacing w:after="140" w:line="276"/>
      </w:pPr>
      <w:r>
        <w:rPr>
          <w:rFonts w:ascii="Calibri" w:cs="Calibri" w:eastAsia="Calibri" w:hAnsi="Calibri"/>
          <w:color w:val="131A18"/>
          <w:sz w:val="21"/>
          <w:szCs w:val="21"/>
        </w:rPr>
        <w:t xml:space="preserve">The platform has been developed against the OWASP Top 10 and the team maintains its own control assessment. Below is what is designed and working today, and what must change before anyone outside the pilot team uses it.</w:t>
      </w:r>
    </w:p>
    <w:tbl>
      <w:tblPr>
        <w:tblW w:type="dxa" w:w="9360"/>
        <w:tblBorders>
          <w:top w:val="single" w:color="D9E0DE" w:sz="4"/>
          <w:left w:val="single" w:color="D9E0DE" w:sz="4"/>
          <w:bottom w:val="single" w:color="D9E0DE" w:sz="4"/>
          <w:right w:val="single" w:color="D9E0DE" w:sz="4"/>
          <w:insideH w:val="single" w:color="D9E0DE" w:sz="4"/>
          <w:insideV w:val="single" w:color="D9E0DE" w:sz="4"/>
        </w:tblBorders>
      </w:tblPr>
      <w:tblGrid>
        <w:gridCol w:w="1900"/>
        <w:gridCol w:w="3730"/>
        <w:gridCol w:w="3730"/>
      </w:tblGrid>
      <w:tr>
        <w:trPr>
          <w:tblHeader/>
        </w:trPr>
        <w:tc>
          <w:tcPr>
            <w:tcW w:type="dxa" w:w="1900"/>
            <w:shd w:fill="F2F6F5" w:val="clear"/>
            <w:tcMar>
              <w:top w:type="dxa" w:w="100"/>
              <w:left w:type="dxa" w:w="140"/>
              <w:bottom w:type="dxa" w:w="100"/>
              <w:right w:type="dxa" w:w="140"/>
            </w:tcMar>
          </w:tcPr>
          <w:p>
            <w:pPr>
              <w:spacing w:after="0"/>
            </w:pPr>
            <w:r>
              <w:rPr>
                <w:rFonts w:ascii="Consolas" w:cs="Consolas" w:eastAsia="Consolas" w:hAnsi="Consolas"/>
                <w:b/>
                <w:bCs/>
                <w:color w:val="5B6764"/>
                <w:spacing w:val="20"/>
                <w:sz w:val="15"/>
                <w:szCs w:val="15"/>
              </w:rPr>
              <w:t xml:space="preserve">AREA</w:t>
            </w:r>
          </w:p>
        </w:tc>
        <w:tc>
          <w:tcPr>
            <w:tcW w:type="dxa" w:w="3730"/>
            <w:shd w:fill="F2F6F5" w:val="clear"/>
            <w:tcMar>
              <w:top w:type="dxa" w:w="100"/>
              <w:left w:type="dxa" w:w="140"/>
              <w:bottom w:type="dxa" w:w="100"/>
              <w:right w:type="dxa" w:w="140"/>
            </w:tcMar>
          </w:tcPr>
          <w:p>
            <w:pPr>
              <w:spacing w:after="0"/>
            </w:pPr>
            <w:r>
              <w:rPr>
                <w:rFonts w:ascii="Consolas" w:cs="Consolas" w:eastAsia="Consolas" w:hAnsi="Consolas"/>
                <w:b/>
                <w:bCs/>
                <w:color w:val="5B6764"/>
                <w:spacing w:val="20"/>
                <w:sz w:val="15"/>
                <w:szCs w:val="15"/>
              </w:rPr>
              <w:t xml:space="preserve">DEVELOPMENT STAGE TODAY</w:t>
            </w:r>
          </w:p>
        </w:tc>
        <w:tc>
          <w:tcPr>
            <w:tcW w:type="dxa" w:w="3730"/>
            <w:shd w:fill="F2F6F5" w:val="clear"/>
            <w:tcMar>
              <w:top w:type="dxa" w:w="100"/>
              <w:left w:type="dxa" w:w="140"/>
              <w:bottom w:type="dxa" w:w="100"/>
              <w:right w:type="dxa" w:w="140"/>
            </w:tcMar>
          </w:tcPr>
          <w:p>
            <w:pPr>
              <w:spacing w:after="0"/>
            </w:pPr>
            <w:r>
              <w:rPr>
                <w:rFonts w:ascii="Consolas" w:cs="Consolas" w:eastAsia="Consolas" w:hAnsi="Consolas"/>
                <w:b/>
                <w:bCs/>
                <w:color w:val="5B6764"/>
                <w:spacing w:val="20"/>
                <w:sz w:val="15"/>
                <w:szCs w:val="15"/>
              </w:rPr>
              <w:t xml:space="preserve">REQUIRED BEFORE WIDER USE</w:t>
            </w:r>
          </w:p>
        </w:tc>
      </w:tr>
      <w:tr>
        <w:tc>
          <w:tcPr>
            <w:tcW w:type="dxa" w:w="19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Authentication</w:t>
            </w:r>
          </w:p>
        </w:tc>
        <w:tc>
          <w:tcPr>
            <w:tcW w:type="dxa" w:w="373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Corporate OIDC; every API route requires a valid token validated against the provider's signing keys.</w:t>
            </w:r>
          </w:p>
        </w:tc>
        <w:tc>
          <w:tcPr>
            <w:tcW w:type="dxa" w:w="373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Move from the identity token to a properly scoped API access token, and add refresh handling.</w:t>
            </w:r>
          </w:p>
        </w:tc>
      </w:tr>
      <w:tr>
        <w:tc>
          <w:tcPr>
            <w:tcW w:type="dxa" w:w="19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Authorisation</w:t>
            </w:r>
          </w:p>
        </w:tc>
        <w:tc>
          <w:tcPr>
            <w:tcW w:type="dxa" w:w="373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Five roles mapped to three modules, deny-by-default, enforced server-side. Working.</w:t>
            </w:r>
          </w:p>
        </w:tc>
        <w:tc>
          <w:tcPr>
            <w:tcW w:type="dxa" w:w="373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Add retrieval-time entitlement filtering, and entitlement pass-through on case retrieval.</w:t>
            </w:r>
          </w:p>
        </w:tc>
      </w:tr>
      <w:tr>
        <w:tc>
          <w:tcPr>
            <w:tcW w:type="dxa" w:w="19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Transport security</w:t>
            </w:r>
          </w:p>
        </w:tc>
        <w:tc>
          <w:tcPr>
            <w:tcW w:type="dxa" w:w="3730"/>
            <w:tcMar>
              <w:top w:type="dxa" w:w="100"/>
              <w:left w:type="dxa" w:w="140"/>
              <w:bottom w:type="dxa" w:w="100"/>
              <w:right w:type="dxa" w:w="140"/>
            </w:tcMar>
          </w:tcPr>
          <w:p>
            <w:pPr>
              <w:spacing w:after="0" w:line="260"/>
            </w:pPr>
            <w:r>
              <w:rPr>
                <w:rFonts w:ascii="Calibri" w:cs="Calibri" w:eastAsia="Calibri" w:hAnsi="Calibri"/>
                <w:b/>
                <w:bCs/>
                <w:color w:val="131A18"/>
                <w:sz w:val="19"/>
                <w:szCs w:val="19"/>
              </w:rPr>
              <w:t xml:space="preserve">Development exception.</w:t>
            </w:r>
            <w:r>
              <w:rPr>
                <w:rFonts w:ascii="Calibri" w:cs="Calibri" w:eastAsia="Calibri" w:hAnsi="Calibri"/>
                <w:color w:val="131A18"/>
                <w:sz w:val="19"/>
                <w:szCs w:val="19"/>
              </w:rPr>
              <w:t xml:space="preserve"> Certificate verification is disabled on outbound model calls to work around the corporate proxy's TLS interception.</w:t>
            </w:r>
          </w:p>
        </w:tc>
        <w:tc>
          <w:tcPr>
            <w:tcW w:type="dxa" w:w="373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Mount the corporate CA bundle and restore verification. Single change, closes every affected call site.</w:t>
            </w:r>
          </w:p>
        </w:tc>
      </w:tr>
      <w:tr>
        <w:tc>
          <w:tcPr>
            <w:tcW w:type="dxa" w:w="19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Secrets</w:t>
            </w:r>
          </w:p>
        </w:tc>
        <w:tc>
          <w:tcPr>
            <w:tcW w:type="dxa" w:w="373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Encrypted at rest with SOPS and age; plaintext never committed.</w:t>
            </w:r>
          </w:p>
        </w:tc>
        <w:tc>
          <w:tcPr>
            <w:tcW w:type="dxa" w:w="373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Move to a managed secret store; remove build-time secrets from container images.</w:t>
            </w:r>
          </w:p>
        </w:tc>
      </w:tr>
      <w:tr>
        <w:tc>
          <w:tcPr>
            <w:tcW w:type="dxa" w:w="19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Application hardening</w:t>
            </w:r>
          </w:p>
        </w:tc>
        <w:tc>
          <w:tcPr>
            <w:tcW w:type="dxa" w:w="373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Security headers on every response, restricted CORS, input sanitisation, rate limiting, non-root containers.</w:t>
            </w:r>
          </w:p>
        </w:tc>
        <w:tc>
          <w:tcPr>
            <w:tcW w:type="dxa" w:w="373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Make rate limiting per-user rather than per-source-address; validate upload paths; allowlist selectable models.</w:t>
            </w:r>
          </w:p>
        </w:tc>
      </w:tr>
      <w:tr>
        <w:tc>
          <w:tcPr>
            <w:tcW w:type="dxa" w:w="19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Audit and observability</w:t>
            </w:r>
          </w:p>
        </w:tc>
        <w:tc>
          <w:tcPr>
            <w:tcW w:type="dxa" w:w="373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Structured logging including provisioning and access-request events; metrics; full model-call tracing.</w:t>
            </w:r>
          </w:p>
        </w:tc>
        <w:tc>
          <w:tcPr>
            <w:tcW w:type="dxa" w:w="373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Set the trace retention policy (D-4); add an audit record for confirmed actions.</w:t>
            </w:r>
          </w:p>
        </w:tc>
      </w:tr>
      <w:tr>
        <w:tc>
          <w:tcPr>
            <w:tcW w:type="dxa" w:w="19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Testing and assurance</w:t>
            </w:r>
          </w:p>
        </w:tc>
        <w:tc>
          <w:tcPr>
            <w:tcW w:type="dxa" w:w="3730"/>
            <w:tcMar>
              <w:top w:type="dxa" w:w="100"/>
              <w:left w:type="dxa" w:w="140"/>
              <w:bottom w:type="dxa" w:w="100"/>
              <w:right w:type="dxa" w:w="140"/>
            </w:tcMar>
          </w:tcPr>
          <w:p>
            <w:pPr>
              <w:spacing w:after="0" w:line="260"/>
            </w:pPr>
            <w:r>
              <w:rPr>
                <w:rFonts w:ascii="Calibri" w:cs="Calibri" w:eastAsia="Calibri" w:hAnsi="Calibri"/>
                <w:b/>
                <w:bCs/>
                <w:color w:val="131A18"/>
                <w:sz w:val="19"/>
                <w:szCs w:val="19"/>
              </w:rPr>
              <w:t xml:space="preserve">None.</w:t>
            </w:r>
            <w:r>
              <w:rPr>
                <w:rFonts w:ascii="Calibri" w:cs="Calibri" w:eastAsia="Calibri" w:hAnsi="Calibri"/>
                <w:color w:val="131A18"/>
                <w:sz w:val="19"/>
                <w:szCs w:val="19"/>
              </w:rPr>
              <w:t xml:space="preserve"> No automated test suite and no CI security gates.</w:t>
            </w:r>
          </w:p>
        </w:tc>
        <w:tc>
          <w:tcPr>
            <w:tcW w:type="dxa" w:w="373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Test the controls we claim, and gate the pipeline on linting, dependency and secret scanning.</w:t>
            </w:r>
          </w:p>
        </w:tc>
      </w:tr>
      <w:tr>
        <w:tc>
          <w:tcPr>
            <w:tcW w:type="dxa" w:w="19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Supply chain</w:t>
            </w:r>
          </w:p>
        </w:tc>
        <w:tc>
          <w:tcPr>
            <w:tcW w:type="dxa" w:w="3730"/>
            <w:tcMar>
              <w:top w:type="dxa" w:w="100"/>
              <w:left w:type="dxa" w:w="140"/>
              <w:bottom w:type="dxa" w:w="100"/>
              <w:right w:type="dxa" w:w="140"/>
            </w:tcMar>
          </w:tcPr>
          <w:p>
            <w:pPr>
              <w:spacing w:after="0" w:line="260"/>
            </w:pPr>
            <w:r>
              <w:rPr>
                <w:rFonts w:ascii="Calibri" w:cs="Calibri" w:eastAsia="Calibri" w:hAnsi="Calibri"/>
                <w:b/>
                <w:bCs/>
                <w:color w:val="131A18"/>
                <w:sz w:val="19"/>
                <w:szCs w:val="19"/>
              </w:rPr>
              <w:t xml:space="preserve">Partial.</w:t>
            </w:r>
            <w:r>
              <w:rPr>
                <w:rFonts w:ascii="Calibri" w:cs="Calibri" w:eastAsia="Calibri" w:hAnsi="Calibri"/>
                <w:color w:val="131A18"/>
                <w:sz w:val="19"/>
                <w:szCs w:val="19"/>
              </w:rPr>
              <w:t xml:space="preserve"> Our own assessment marks this incomplete.</w:t>
            </w:r>
          </w:p>
        </w:tc>
        <w:tc>
          <w:tcPr>
            <w:tcW w:type="dxa" w:w="373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Dependency scanning, software bill of materials, image signing.</w:t>
            </w:r>
          </w:p>
        </w:tc>
      </w:tr>
      <w:tr>
        <w:tc>
          <w:tcPr>
            <w:tcW w:type="dxa" w:w="19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Answer quality</w:t>
            </w:r>
          </w:p>
        </w:tc>
        <w:tc>
          <w:tcPr>
            <w:tcW w:type="dxa" w:w="3730"/>
            <w:tcMar>
              <w:top w:type="dxa" w:w="100"/>
              <w:left w:type="dxa" w:w="140"/>
              <w:bottom w:type="dxa" w:w="100"/>
              <w:right w:type="dxa" w:w="140"/>
            </w:tcMar>
          </w:tcPr>
          <w:p>
            <w:pPr>
              <w:spacing w:after="0" w:line="260"/>
            </w:pPr>
            <w:r>
              <w:rPr>
                <w:rFonts w:ascii="Calibri" w:cs="Calibri" w:eastAsia="Calibri" w:hAnsi="Calibri"/>
                <w:b/>
                <w:bCs/>
                <w:color w:val="131A18"/>
                <w:sz w:val="19"/>
                <w:szCs w:val="19"/>
              </w:rPr>
              <w:t xml:space="preserve">Unmeasured.</w:t>
            </w:r>
            <w:r>
              <w:rPr>
                <w:rFonts w:ascii="Calibri" w:cs="Calibri" w:eastAsia="Calibri" w:hAnsi="Calibri"/>
                <w:color w:val="131A18"/>
                <w:sz w:val="19"/>
                <w:szCs w:val="19"/>
              </w:rPr>
              <w:t xml:space="preserve"> Nothing evaluates whether answers are correct or properly grounded.</w:t>
            </w:r>
          </w:p>
        </w:tc>
        <w:tc>
          <w:tcPr>
            <w:tcW w:type="dxa" w:w="373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Groundedness and citation scoring, plus a fixed retrieval regression set.</w:t>
            </w:r>
          </w:p>
        </w:tc>
      </w:tr>
    </w:tbl>
    <w:p>
      <w:pPr>
        <w:spacing w:after="200"/>
      </w:pPr>
    </w:p>
    <w:tbl>
      <w:tblPr>
        <w:tblW w:type="dxa" w:w="9360"/>
        <w:tblBorders>
          <w:top w:val="none" w:color="FFFFFF" w:sz="0"/>
          <w:left w:val="single" w:color="0E6B60" w:sz="12"/>
          <w:bottom w:val="none" w:color="FFFFFF" w:sz="0"/>
          <w:right w:val="none" w:color="FFFFFF" w:sz="0"/>
          <w:insideH w:val="none" w:color="FFFFFF" w:sz="0"/>
          <w:insideV w:val="none" w:color="FFFFFF" w:sz="0"/>
        </w:tblBorders>
      </w:tblPr>
      <w:tblGrid>
        <w:gridCol w:w="9360"/>
      </w:tblGrid>
      <w:tr>
        <w:tc>
          <w:tcPr>
            <w:tcW w:type="dxa" w:w="9360"/>
            <w:shd w:fill="F2F6F5" w:val="clear"/>
            <w:tcMar>
              <w:top w:type="dxa" w:w="160"/>
              <w:left w:type="dxa" w:w="220"/>
              <w:bottom w:type="dxa" w:w="160"/>
              <w:right w:type="dxa" w:w="220"/>
            </w:tcMar>
          </w:tcPr>
          <w:p>
            <w:pPr>
              <w:spacing w:after="80"/>
            </w:pPr>
            <w:r>
              <w:rPr>
                <w:rFonts w:ascii="Consolas" w:cs="Consolas" w:eastAsia="Consolas" w:hAnsi="Consolas"/>
                <w:b/>
                <w:bCs/>
                <w:color w:val="0E6B60"/>
                <w:spacing w:val="30"/>
                <w:sz w:val="15"/>
                <w:szCs w:val="15"/>
              </w:rPr>
              <w:t xml:space="preserve">ON THE DEVELOPMENT EXCEPTION</w:t>
            </w:r>
          </w:p>
          <w:p>
            <w:pPr>
              <w:spacing w:after="0" w:line="276"/>
            </w:pPr>
            <w:r>
              <w:rPr>
                <w:rFonts w:ascii="Calibri" w:cs="Calibri" w:eastAsia="Calibri" w:hAnsi="Calibri"/>
                <w:color w:val="131A18"/>
                <w:sz w:val="20"/>
                <w:szCs w:val="20"/>
              </w:rPr>
              <w:t xml:space="preserve">Disabling certificate verification was a deliberate shortcut to get past corporate proxy interception during early development, and the correct fix is recorded alongside it in the code. We are naming it here rather than leaving it to be found: it must not survive into anything users depend on, and it is the first item in the hardening work.</w:t>
            </w:r>
          </w:p>
        </w:tc>
      </w:tr>
    </w:tbl>
    <w:p>
      <w:pPr>
        <w:spacing w:after="140"/>
      </w:pPr>
    </w:p>
    <w:p>
      <w:pPr>
        <w:spacing w:after="140" w:line="276"/>
      </w:pPr>
      <w:r>
        <w:rPr>
          <w:rFonts w:ascii="Calibri" w:cs="Calibri" w:eastAsia="Calibri" w:hAnsi="Calibri"/>
          <w:color w:val="131A18"/>
          <w:sz w:val="21"/>
          <w:szCs w:val="21"/>
        </w:rPr>
        <w:t xml:space="preserve">The full engineering task list behind this table — every item, with file references and sequencing — is maintained alongside the codebase and can be provided to the CoE or to a security reviewer on request.</w:t>
      </w:r>
    </w:p>
    <w:p>
      <w:pPr>
        <w:pStyle w:val="Heading1"/>
        <w:pBdr>
          <w:bottom w:val="single" w:color="D9E0DE" w:sz="6" w:space="6"/>
        </w:pBdr>
        <w:spacing w:after="180" w:before="420"/>
      </w:pPr>
      <w:r>
        <w:rPr>
          <w:rFonts w:ascii="Calibri" w:cs="Calibri" w:eastAsia="Calibri" w:hAnsi="Calibri"/>
          <w:b/>
          <w:bCs/>
          <w:color w:val="131A18"/>
          <w:sz w:val="30"/>
          <w:szCs w:val="30"/>
        </w:rPr>
        <w:t xml:space="preserve">9. Roadmap and next steps</w:t>
      </w:r>
    </w:p>
    <w:p>
      <w:pPr>
        <w:spacing w:after="140" w:line="276"/>
      </w:pPr>
      <w:r>
        <w:rPr>
          <w:rFonts w:ascii="Calibri" w:cs="Calibri" w:eastAsia="Calibri" w:hAnsi="Calibri"/>
          <w:color w:val="131A18"/>
          <w:sz w:val="21"/>
          <w:szCs w:val="21"/>
        </w:rPr>
        <w:t xml:space="preserve">Development has run through three architectural iterations, each addressing a limitation of the previous one, and is now paused.</w:t>
      </w:r>
    </w:p>
    <w:tbl>
      <w:tblPr>
        <w:tblW w:type="dxa" w:w="9360"/>
        <w:tblBorders>
          <w:top w:val="single" w:color="D9E0DE" w:sz="4"/>
          <w:left w:val="single" w:color="D9E0DE" w:sz="4"/>
          <w:bottom w:val="single" w:color="D9E0DE" w:sz="4"/>
          <w:right w:val="single" w:color="D9E0DE" w:sz="4"/>
          <w:insideH w:val="single" w:color="D9E0DE" w:sz="4"/>
          <w:insideV w:val="single" w:color="D9E0DE" w:sz="4"/>
        </w:tblBorders>
      </w:tblPr>
      <w:tblGrid>
        <w:gridCol w:w="800"/>
        <w:gridCol w:w="2000"/>
        <w:gridCol w:w="5060"/>
        <w:gridCol w:w="1500"/>
      </w:tblGrid>
      <w:tr>
        <w:trPr>
          <w:tblHeader/>
        </w:trPr>
        <w:tc>
          <w:tcPr>
            <w:tcW w:type="dxa" w:w="800"/>
            <w:shd w:fill="F2F6F5" w:val="clear"/>
            <w:tcMar>
              <w:top w:type="dxa" w:w="100"/>
              <w:left w:type="dxa" w:w="140"/>
              <w:bottom w:type="dxa" w:w="100"/>
              <w:right w:type="dxa" w:w="140"/>
            </w:tcMar>
          </w:tcPr>
          <w:p>
            <w:pPr>
              <w:spacing w:after="0"/>
            </w:pPr>
            <w:r>
              <w:rPr>
                <w:rFonts w:ascii="Consolas" w:cs="Consolas" w:eastAsia="Consolas" w:hAnsi="Consolas"/>
                <w:b/>
                <w:bCs/>
                <w:color w:val="5B6764"/>
                <w:spacing w:val="20"/>
                <w:sz w:val="15"/>
                <w:szCs w:val="15"/>
              </w:rPr>
              <w:t xml:space="preserve">STAGE</w:t>
            </w:r>
          </w:p>
        </w:tc>
        <w:tc>
          <w:tcPr>
            <w:tcW w:type="dxa" w:w="2000"/>
            <w:shd w:fill="F2F6F5" w:val="clear"/>
            <w:tcMar>
              <w:top w:type="dxa" w:w="100"/>
              <w:left w:type="dxa" w:w="140"/>
              <w:bottom w:type="dxa" w:w="100"/>
              <w:right w:type="dxa" w:w="140"/>
            </w:tcMar>
          </w:tcPr>
          <w:p>
            <w:pPr>
              <w:spacing w:after="0"/>
            </w:pPr>
            <w:r>
              <w:rPr>
                <w:rFonts w:ascii="Consolas" w:cs="Consolas" w:eastAsia="Consolas" w:hAnsi="Consolas"/>
                <w:b/>
                <w:bCs/>
                <w:color w:val="5B6764"/>
                <w:spacing w:val="20"/>
                <w:sz w:val="15"/>
                <w:szCs w:val="15"/>
              </w:rPr>
              <w:t xml:space="preserve">CHANGE</w:t>
            </w:r>
          </w:p>
        </w:tc>
        <w:tc>
          <w:tcPr>
            <w:tcW w:type="dxa" w:w="5060"/>
            <w:shd w:fill="F2F6F5" w:val="clear"/>
            <w:tcMar>
              <w:top w:type="dxa" w:w="100"/>
              <w:left w:type="dxa" w:w="140"/>
              <w:bottom w:type="dxa" w:w="100"/>
              <w:right w:type="dxa" w:w="140"/>
            </w:tcMar>
          </w:tcPr>
          <w:p>
            <w:pPr>
              <w:spacing w:after="0"/>
            </w:pPr>
            <w:r>
              <w:rPr>
                <w:rFonts w:ascii="Consolas" w:cs="Consolas" w:eastAsia="Consolas" w:hAnsi="Consolas"/>
                <w:b/>
                <w:bCs/>
                <w:color w:val="5B6764"/>
                <w:spacing w:val="20"/>
                <w:sz w:val="15"/>
                <w:szCs w:val="15"/>
              </w:rPr>
              <w:t xml:space="preserve">WHY</w:t>
            </w:r>
          </w:p>
        </w:tc>
        <w:tc>
          <w:tcPr>
            <w:tcW w:type="dxa" w:w="1500"/>
            <w:shd w:fill="F2F6F5" w:val="clear"/>
            <w:tcMar>
              <w:top w:type="dxa" w:w="100"/>
              <w:left w:type="dxa" w:w="140"/>
              <w:bottom w:type="dxa" w:w="100"/>
              <w:right w:type="dxa" w:w="140"/>
            </w:tcMar>
          </w:tcPr>
          <w:p>
            <w:pPr>
              <w:spacing w:after="0"/>
            </w:pPr>
            <w:r>
              <w:rPr>
                <w:rFonts w:ascii="Consolas" w:cs="Consolas" w:eastAsia="Consolas" w:hAnsi="Consolas"/>
                <w:b/>
                <w:bCs/>
                <w:color w:val="5B6764"/>
                <w:spacing w:val="20"/>
                <w:sz w:val="15"/>
                <w:szCs w:val="15"/>
              </w:rPr>
              <w:t xml:space="preserve">STATUS</w:t>
            </w:r>
          </w:p>
        </w:tc>
      </w:tr>
      <w:tr>
        <w:tc>
          <w:tcPr>
            <w:tcW w:type="dxa" w:w="8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v1.0</w:t>
            </w:r>
          </w:p>
        </w:tc>
        <w:tc>
          <w:tcPr>
            <w:tcW w:type="dxa" w:w="20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Retrieval-augmented assistant</w:t>
            </w:r>
          </w:p>
        </w:tc>
        <w:tc>
          <w:tcPr>
            <w:tcW w:type="dxa" w:w="50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Baseline: always retrieve, then answer. Simple, but it searched the corpus even for greetings and could not reach outside it.</w:t>
            </w:r>
          </w:p>
        </w:tc>
        <w:tc>
          <w:tcPr>
            <w:tcW w:type="dxa" w:w="15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Working</w:t>
            </w:r>
          </w:p>
        </w:tc>
      </w:tr>
      <w:tr>
        <w:tc>
          <w:tcPr>
            <w:tcW w:type="dxa" w:w="8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v1.1</w:t>
            </w:r>
          </w:p>
        </w:tc>
        <w:tc>
          <w:tcPr>
            <w:tcW w:type="dxa" w:w="20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Relevance grading and fallback</w:t>
            </w:r>
          </w:p>
        </w:tc>
        <w:tc>
          <w:tcPr>
            <w:tcW w:type="dxa" w:w="50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The model decides whether to retrieve, grades what comes back, and falls back to web search when internal documents are insufficient.</w:t>
            </w:r>
          </w:p>
        </w:tc>
        <w:tc>
          <w:tcPr>
            <w:tcW w:type="dxa" w:w="15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Working</w:t>
            </w:r>
          </w:p>
        </w:tc>
      </w:tr>
      <w:tr>
        <w:tc>
          <w:tcPr>
            <w:tcW w:type="dxa" w:w="8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v1.2</w:t>
            </w:r>
          </w:p>
        </w:tc>
        <w:tc>
          <w:tcPr>
            <w:tcW w:type="dxa" w:w="20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Multi-agent orchestration</w:t>
            </w:r>
          </w:p>
        </w:tc>
        <w:tc>
          <w:tcPr>
            <w:tcW w:type="dxa" w:w="50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One retrieval pipeline could not serve CVE assessment and database operations. Intent classification now routes to specialised agents.</w:t>
            </w:r>
          </w:p>
        </w:tc>
        <w:tc>
          <w:tcPr>
            <w:tcW w:type="dxa" w:w="15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Not validated</w:t>
            </w:r>
          </w:p>
        </w:tc>
      </w:tr>
      <w:tr>
        <w:tc>
          <w:tcPr>
            <w:tcW w:type="dxa" w:w="8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w:t>
            </w:r>
          </w:p>
        </w:tc>
        <w:tc>
          <w:tcPr>
            <w:tcW w:type="dxa" w:w="20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Model provider</w:t>
            </w:r>
          </w:p>
        </w:tc>
        <w:tc>
          <w:tcPr>
            <w:tcW w:type="dxa" w:w="50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Restore a sanctioned inference and embedding service so development can resume.</w:t>
            </w:r>
          </w:p>
        </w:tc>
        <w:tc>
          <w:tcPr>
            <w:tcW w:type="dxa" w:w="1500"/>
            <w:tcMar>
              <w:top w:type="dxa" w:w="100"/>
              <w:left w:type="dxa" w:w="140"/>
              <w:bottom w:type="dxa" w:w="100"/>
              <w:right w:type="dxa" w:w="140"/>
            </w:tcMar>
          </w:tcPr>
          <w:p>
            <w:pPr>
              <w:spacing w:after="0" w:line="260"/>
            </w:pPr>
            <w:r>
              <w:rPr>
                <w:rFonts w:ascii="Calibri" w:cs="Calibri" w:eastAsia="Calibri" w:hAnsi="Calibri"/>
                <w:b/>
                <w:bCs/>
                <w:color w:val="131A18"/>
                <w:sz w:val="19"/>
                <w:szCs w:val="19"/>
              </w:rPr>
              <w:t xml:space="preserve">Blocked — D-1</w:t>
            </w:r>
          </w:p>
        </w:tc>
      </w:tr>
      <w:tr>
        <w:tc>
          <w:tcPr>
            <w:tcW w:type="dxa" w:w="8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w:t>
            </w:r>
          </w:p>
        </w:tc>
        <w:tc>
          <w:tcPr>
            <w:tcW w:type="dxa" w:w="20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Design decisions</w:t>
            </w:r>
          </w:p>
        </w:tc>
        <w:tc>
          <w:tcPr>
            <w:tcW w:type="dxa" w:w="50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Settle retrieval-time entitlements, the token model, the human gate on verdicts, trace retention and the corpus classification policy.</w:t>
            </w:r>
          </w:p>
        </w:tc>
        <w:tc>
          <w:tcPr>
            <w:tcW w:type="dxa" w:w="15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Next</w:t>
            </w:r>
          </w:p>
        </w:tc>
      </w:tr>
      <w:tr>
        <w:tc>
          <w:tcPr>
            <w:tcW w:type="dxa" w:w="8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w:t>
            </w:r>
          </w:p>
        </w:tc>
        <w:tc>
          <w:tcPr>
            <w:tcW w:type="dxa" w:w="20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Hardening</w:t>
            </w:r>
          </w:p>
        </w:tc>
        <w:tc>
          <w:tcPr>
            <w:tcW w:type="dxa" w:w="50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Restore certificate verification, per-user rate limiting, upload validation, secret handling in images.</w:t>
            </w:r>
          </w:p>
        </w:tc>
        <w:tc>
          <w:tcPr>
            <w:tcW w:type="dxa" w:w="15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Then</w:t>
            </w:r>
          </w:p>
        </w:tc>
      </w:tr>
      <w:tr>
        <w:tc>
          <w:tcPr>
            <w:tcW w:type="dxa" w:w="8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w:t>
            </w:r>
          </w:p>
        </w:tc>
        <w:tc>
          <w:tcPr>
            <w:tcW w:type="dxa" w:w="20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Evidence</w:t>
            </w:r>
          </w:p>
        </w:tc>
        <w:tc>
          <w:tcPr>
            <w:tcW w:type="dxa" w:w="50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Test the controls we claim; add CI gates; measure answer quality; establish the four-week benefit baseline.</w:t>
            </w:r>
          </w:p>
        </w:tc>
        <w:tc>
          <w:tcPr>
            <w:tcW w:type="dxa" w:w="15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Gate</w:t>
            </w:r>
          </w:p>
        </w:tc>
      </w:tr>
      <w:tr>
        <w:tc>
          <w:tcPr>
            <w:tcW w:type="dxa" w:w="8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w:t>
            </w:r>
          </w:p>
        </w:tc>
        <w:tc>
          <w:tcPr>
            <w:tcW w:type="dxa" w:w="20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Operational readiness</w:t>
            </w:r>
          </w:p>
        </w:tc>
        <w:tc>
          <w:tcPr>
            <w:tcW w:type="dxa" w:w="50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Named ownership, support model, runbook, managed runtime, backup and restore.</w:t>
            </w:r>
          </w:p>
        </w:tc>
        <w:tc>
          <w:tcPr>
            <w:tcW w:type="dxa" w:w="15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Gate</w:t>
            </w:r>
          </w:p>
        </w:tc>
      </w:tr>
      <w:tr>
        <w:tc>
          <w:tcPr>
            <w:tcW w:type="dxa" w:w="8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v2.0</w:t>
            </w:r>
          </w:p>
        </w:tc>
        <w:tc>
          <w:tcPr>
            <w:tcW w:type="dxa" w:w="20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Supported internal service</w:t>
            </w:r>
          </w:p>
        </w:tc>
        <w:tc>
          <w:tcPr>
            <w:tcW w:type="dxa" w:w="50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Rollout beyond the pilot team.</w:t>
            </w:r>
          </w:p>
        </w:tc>
        <w:tc>
          <w:tcPr>
            <w:tcW w:type="dxa" w:w="15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Subject to approval</w:t>
            </w:r>
          </w:p>
        </w:tc>
      </w:tr>
    </w:tbl>
    <w:p>
      <w:pPr>
        <w:spacing w:after="200"/>
      </w:pPr>
    </w:p>
    <w:tbl>
      <w:tblPr>
        <w:tblW w:type="dxa" w:w="9360"/>
        <w:tblBorders>
          <w:top w:val="none" w:color="FFFFFF" w:sz="0"/>
          <w:left w:val="single" w:color="0E6B60" w:sz="12"/>
          <w:bottom w:val="none" w:color="FFFFFF" w:sz="0"/>
          <w:right w:val="none" w:color="FFFFFF" w:sz="0"/>
          <w:insideH w:val="none" w:color="FFFFFF" w:sz="0"/>
          <w:insideV w:val="none" w:color="FFFFFF" w:sz="0"/>
        </w:tblBorders>
      </w:tblPr>
      <w:tblGrid>
        <w:gridCol w:w="9360"/>
      </w:tblGrid>
      <w:tr>
        <w:tc>
          <w:tcPr>
            <w:tcW w:type="dxa" w:w="9360"/>
            <w:shd w:fill="F2F6F5" w:val="clear"/>
            <w:tcMar>
              <w:top w:type="dxa" w:w="160"/>
              <w:left w:type="dxa" w:w="220"/>
              <w:bottom w:type="dxa" w:w="160"/>
              <w:right w:type="dxa" w:w="220"/>
            </w:tcMar>
          </w:tcPr>
          <w:p>
            <w:pPr>
              <w:spacing w:after="80"/>
            </w:pPr>
            <w:r>
              <w:rPr>
                <w:rFonts w:ascii="Consolas" w:cs="Consolas" w:eastAsia="Consolas" w:hAnsi="Consolas"/>
                <w:b/>
                <w:bCs/>
                <w:color w:val="0E6B60"/>
                <w:spacing w:val="30"/>
                <w:sz w:val="15"/>
                <w:szCs w:val="15"/>
              </w:rPr>
              <w:t xml:space="preserve">PROPOSED GATE</w:t>
            </w:r>
          </w:p>
          <w:p>
            <w:pPr>
              <w:spacing w:after="0" w:line="276"/>
            </w:pPr>
            <w:r>
              <w:rPr>
                <w:rFonts w:ascii="Calibri" w:cs="Calibri" w:eastAsia="Calibri" w:hAnsi="Calibri"/>
                <w:color w:val="131A18"/>
                <w:sz w:val="20"/>
                <w:szCs w:val="20"/>
              </w:rPr>
              <w:t xml:space="preserve">We propose that the evidence and operational-readiness rows are treated as prerequisites rather than parallel work, and that Kortex is not opened beyond the pilot team until both are cleared. We would rather the CoE confirm or adjust that gate than set it ourselves.</w:t>
            </w:r>
          </w:p>
        </w:tc>
      </w:tr>
    </w:tbl>
    <w:p>
      <w:pPr>
        <w:pStyle w:val="Heading1"/>
        <w:pBdr>
          <w:bottom w:val="single" w:color="D9E0DE" w:sz="6" w:space="6"/>
        </w:pBdr>
        <w:spacing w:after="180" w:before="420"/>
      </w:pPr>
      <w:r>
        <w:rPr>
          <w:rFonts w:ascii="Calibri" w:cs="Calibri" w:eastAsia="Calibri" w:hAnsi="Calibri"/>
          <w:b/>
          <w:bCs/>
          <w:color w:val="131A18"/>
          <w:sz w:val="30"/>
          <w:szCs w:val="30"/>
        </w:rPr>
        <w:t xml:space="preserve">10. Decisions requested from the CoE</w:t>
      </w:r>
    </w:p>
    <w:p>
      <w:pPr>
        <w:spacing w:after="140" w:line="276"/>
      </w:pPr>
      <w:r>
        <w:rPr>
          <w:rFonts w:ascii="Calibri" w:cs="Calibri" w:eastAsia="Calibri" w:hAnsi="Calibri"/>
          <w:color w:val="131A18"/>
          <w:sz w:val="21"/>
          <w:szCs w:val="21"/>
        </w:rPr>
        <w:t xml:space="preserve">Seven decisions, in the order they block us.</w:t>
      </w:r>
    </w:p>
    <w:tbl>
      <w:tblPr>
        <w:tblW w:type="dxa" w:w="9360"/>
        <w:tblBorders>
          <w:top w:val="single" w:color="D9E0DE" w:sz="4"/>
          <w:left w:val="single" w:color="D9E0DE" w:sz="4"/>
          <w:bottom w:val="single" w:color="D9E0DE" w:sz="4"/>
          <w:right w:val="single" w:color="D9E0DE" w:sz="4"/>
          <w:insideH w:val="single" w:color="D9E0DE" w:sz="4"/>
          <w:insideV w:val="single" w:color="D9E0DE" w:sz="4"/>
        </w:tblBorders>
      </w:tblPr>
      <w:tblGrid>
        <w:gridCol w:w="800"/>
        <w:gridCol w:w="4200"/>
        <w:gridCol w:w="4360"/>
      </w:tblGrid>
      <w:tr>
        <w:trPr>
          <w:tblHeader/>
        </w:trPr>
        <w:tc>
          <w:tcPr>
            <w:tcW w:type="dxa" w:w="800"/>
            <w:shd w:fill="F2F6F5" w:val="clear"/>
            <w:tcMar>
              <w:top w:type="dxa" w:w="100"/>
              <w:left w:type="dxa" w:w="140"/>
              <w:bottom w:type="dxa" w:w="100"/>
              <w:right w:type="dxa" w:w="140"/>
            </w:tcMar>
          </w:tcPr>
          <w:p>
            <w:pPr>
              <w:spacing w:after="0"/>
            </w:pPr>
            <w:r>
              <w:rPr>
                <w:rFonts w:ascii="Consolas" w:cs="Consolas" w:eastAsia="Consolas" w:hAnsi="Consolas"/>
                <w:b/>
                <w:bCs/>
                <w:color w:val="5B6764"/>
                <w:spacing w:val="20"/>
                <w:sz w:val="15"/>
                <w:szCs w:val="15"/>
              </w:rPr>
              <w:t xml:space="preserve">REF</w:t>
            </w:r>
          </w:p>
        </w:tc>
        <w:tc>
          <w:tcPr>
            <w:tcW w:type="dxa" w:w="4200"/>
            <w:shd w:fill="F2F6F5" w:val="clear"/>
            <w:tcMar>
              <w:top w:type="dxa" w:w="100"/>
              <w:left w:type="dxa" w:w="140"/>
              <w:bottom w:type="dxa" w:w="100"/>
              <w:right w:type="dxa" w:w="140"/>
            </w:tcMar>
          </w:tcPr>
          <w:p>
            <w:pPr>
              <w:spacing w:after="0"/>
            </w:pPr>
            <w:r>
              <w:rPr>
                <w:rFonts w:ascii="Consolas" w:cs="Consolas" w:eastAsia="Consolas" w:hAnsi="Consolas"/>
                <w:b/>
                <w:bCs/>
                <w:color w:val="5B6764"/>
                <w:spacing w:val="20"/>
                <w:sz w:val="15"/>
                <w:szCs w:val="15"/>
              </w:rPr>
              <w:t xml:space="preserve">DECISION</w:t>
            </w:r>
          </w:p>
        </w:tc>
        <w:tc>
          <w:tcPr>
            <w:tcW w:type="dxa" w:w="4360"/>
            <w:shd w:fill="F2F6F5" w:val="clear"/>
            <w:tcMar>
              <w:top w:type="dxa" w:w="100"/>
              <w:left w:type="dxa" w:w="140"/>
              <w:bottom w:type="dxa" w:w="100"/>
              <w:right w:type="dxa" w:w="140"/>
            </w:tcMar>
          </w:tcPr>
          <w:p>
            <w:pPr>
              <w:spacing w:after="0"/>
            </w:pPr>
            <w:r>
              <w:rPr>
                <w:rFonts w:ascii="Consolas" w:cs="Consolas" w:eastAsia="Consolas" w:hAnsi="Consolas"/>
                <w:b/>
                <w:bCs/>
                <w:color w:val="5B6764"/>
                <w:spacing w:val="20"/>
                <w:sz w:val="15"/>
                <w:szCs w:val="15"/>
              </w:rPr>
              <w:t xml:space="preserve">WHAT IT UNBLOCKS</w:t>
            </w:r>
          </w:p>
        </w:tc>
      </w:tr>
      <w:tr>
        <w:tc>
          <w:tcPr>
            <w:tcW w:type="dxa" w:w="8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D-1</w:t>
            </w:r>
          </w:p>
        </w:tc>
        <w:tc>
          <w:tcPr>
            <w:tcW w:type="dxa" w:w="42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Name a sanctioned model service for chat inference and embeddings, and indicate how the running cost should be carried.</w:t>
            </w:r>
          </w:p>
        </w:tc>
        <w:tc>
          <w:tcPr>
            <w:tcW w:type="dxa" w:w="43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All development. This is the immediate blocker. If Finastra has already assessed a provider, adopting it is a configuration change for us.</w:t>
            </w:r>
          </w:p>
        </w:tc>
      </w:tr>
      <w:tr>
        <w:tc>
          <w:tcPr>
            <w:tcW w:type="dxa" w:w="8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D-2</w:t>
            </w:r>
          </w:p>
        </w:tc>
        <w:tc>
          <w:tcPr>
            <w:tcW w:type="dxa" w:w="42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Confirm the data-protection position in Section 7 — the corpus classification, the exclusion of client data, and the acceptability of sending retrieved extracts to the model provider.</w:t>
            </w:r>
          </w:p>
        </w:tc>
        <w:tc>
          <w:tcPr>
            <w:tcW w:type="dxa" w:w="43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The architecture. If the classification is stricter than we assume, the self-hosted model option changes the design and the cost.</w:t>
            </w:r>
          </w:p>
        </w:tc>
      </w:tr>
      <w:tr>
        <w:tc>
          <w:tcPr>
            <w:tcW w:type="dxa" w:w="8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D-3</w:t>
            </w:r>
          </w:p>
        </w:tc>
        <w:tc>
          <w:tcPr>
            <w:tcW w:type="dxa" w:w="42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Tell us whether this duplicates an existing Finastra capability.</w:t>
            </w:r>
          </w:p>
        </w:tc>
        <w:tc>
          <w:tcPr>
            <w:tcW w:type="dxa" w:w="43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Whether we build UC-01 at all. Documentation Q&amp;A may be served by something that already exists; the CVE assessment and inventory matching are more specific to us.</w:t>
            </w:r>
          </w:p>
        </w:tc>
      </w:tr>
      <w:tr>
        <w:tc>
          <w:tcPr>
            <w:tcW w:type="dxa" w:w="8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D-4</w:t>
            </w:r>
          </w:p>
        </w:tc>
        <w:tc>
          <w:tcPr>
            <w:tcW w:type="dxa" w:w="42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Rule on retention of prompts, responses and traces, and on user offboarding.</w:t>
            </w:r>
          </w:p>
        </w:tc>
        <w:tc>
          <w:tcPr>
            <w:tcW w:type="dxa" w:w="43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Observability configuration and the privacy position — now governing client-derived content, not only internal questions.</w:t>
            </w:r>
          </w:p>
        </w:tc>
      </w:tr>
      <w:tr>
        <w:tc>
          <w:tcPr>
            <w:tcW w:type="dxa" w:w="8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D-5</w:t>
            </w:r>
          </w:p>
        </w:tc>
        <w:tc>
          <w:tcPr>
            <w:tcW w:type="dxa" w:w="42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Confirm registration, AI Act classification and whether a DPIA or third-party risk assessment is required.</w:t>
            </w:r>
          </w:p>
        </w:tc>
        <w:tc>
          <w:tcPr>
            <w:tcW w:type="dxa" w:w="43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Compliance sequencing — these may carry lead times we should start now.</w:t>
            </w:r>
          </w:p>
        </w:tc>
      </w:tr>
      <w:tr>
        <w:tc>
          <w:tcPr>
            <w:tcW w:type="dxa" w:w="8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D-6</w:t>
            </w:r>
          </w:p>
        </w:tc>
        <w:tc>
          <w:tcPr>
            <w:tcW w:type="dxa" w:w="42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Confirm or adjust the readiness gate in Section 9.</w:t>
            </w:r>
          </w:p>
        </w:tc>
        <w:tc>
          <w:tcPr>
            <w:tcW w:type="dxa" w:w="43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An agreed definition of done for going beyond the pilot team.</w:t>
            </w:r>
          </w:p>
        </w:tc>
      </w:tr>
      <w:tr>
        <w:tc>
          <w:tcPr>
            <w:tcW w:type="dxa" w:w="8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D-7</w:t>
            </w:r>
          </w:p>
        </w:tc>
        <w:tc>
          <w:tcPr>
            <w:tcW w:type="dxa" w:w="42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Rule on the database write capability in Section 7 — and on whether phasing it behind a read-only first release is the right approach.</w:t>
            </w:r>
          </w:p>
        </w:tc>
        <w:tc>
          <w:tcPr>
            <w:tcW w:type="dxa" w:w="43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The most consequential capability in the initiative. We would rather build to conditions the CoE sets than propose our own and be corrected later.</w:t>
            </w:r>
          </w:p>
        </w:tc>
      </w:tr>
    </w:tbl>
    <w:p>
      <w:pPr>
        <w:spacing w:after="200"/>
      </w:pPr>
    </w:p>
    <w:tbl>
      <w:tblPr>
        <w:tblW w:type="dxa" w:w="9360"/>
        <w:tblBorders>
          <w:top w:val="none" w:color="FFFFFF" w:sz="0"/>
          <w:left w:val="single" w:color="0E6B60" w:sz="12"/>
          <w:bottom w:val="none" w:color="FFFFFF" w:sz="0"/>
          <w:right w:val="none" w:color="FFFFFF" w:sz="0"/>
          <w:insideH w:val="none" w:color="FFFFFF" w:sz="0"/>
          <w:insideV w:val="none" w:color="FFFFFF" w:sz="0"/>
        </w:tblBorders>
      </w:tblPr>
      <w:tblGrid>
        <w:gridCol w:w="9360"/>
      </w:tblGrid>
      <w:tr>
        <w:tc>
          <w:tcPr>
            <w:tcW w:type="dxa" w:w="9360"/>
            <w:shd w:fill="F2F6F5" w:val="clear"/>
            <w:tcMar>
              <w:top w:type="dxa" w:w="160"/>
              <w:left w:type="dxa" w:w="220"/>
              <w:bottom w:type="dxa" w:w="160"/>
              <w:right w:type="dxa" w:w="220"/>
            </w:tcMar>
          </w:tcPr>
          <w:p>
            <w:pPr>
              <w:spacing w:after="80"/>
            </w:pPr>
            <w:r>
              <w:rPr>
                <w:rFonts w:ascii="Consolas" w:cs="Consolas" w:eastAsia="Consolas" w:hAnsi="Consolas"/>
                <w:b/>
                <w:bCs/>
                <w:color w:val="0E6B60"/>
                <w:spacing w:val="30"/>
                <w:sz w:val="15"/>
                <w:szCs w:val="15"/>
              </w:rPr>
              <w:t xml:space="preserve">OUR RECOMMENDATION</w:t>
            </w:r>
          </w:p>
          <w:p>
            <w:pPr>
              <w:spacing w:after="100" w:line="276"/>
            </w:pPr>
            <w:r>
              <w:rPr>
                <w:rFonts w:ascii="Calibri" w:cs="Calibri" w:eastAsia="Calibri" w:hAnsi="Calibri"/>
                <w:color w:val="131A18"/>
                <w:sz w:val="20"/>
                <w:szCs w:val="20"/>
              </w:rPr>
              <w:t xml:space="preserve">Endorse the initiative in principle and resolve D-1 so development can resume; treat D-2 as the design-defining decision; and confirm the readiness gate so we build to a known standard rather than discovering it at the end.</w:t>
            </w:r>
          </w:p>
          <w:p>
            <w:pPr>
              <w:spacing w:after="0" w:line="276"/>
            </w:pPr>
            <w:r>
              <w:rPr>
                <w:rFonts w:ascii="Calibri" w:cs="Calibri" w:eastAsia="Calibri" w:hAnsi="Calibri"/>
                <w:color w:val="131A18"/>
                <w:sz w:val="20"/>
                <w:szCs w:val="20"/>
              </w:rPr>
              <w:t xml:space="preserve">We would also ask that the lower-risk layers — the instruction profiles, the integration samples, and the skills that handle no client data — be assessed on their own terms, so they are not held behind the decisions above.</w:t>
            </w:r>
          </w:p>
        </w:tc>
      </w:tr>
    </w:tbl>
    <w:p>
      <w:pPr>
        <w:pStyle w:val="Heading1"/>
        <w:pBdr>
          <w:bottom w:val="single" w:color="D9E0DE" w:sz="6" w:space="6"/>
        </w:pBdr>
        <w:spacing w:after="180" w:before="420"/>
      </w:pPr>
      <w:r>
        <w:rPr>
          <w:rFonts w:ascii="Calibri" w:cs="Calibri" w:eastAsia="Calibri" w:hAnsi="Calibri"/>
          <w:b/>
          <w:bCs/>
          <w:color w:val="131A18"/>
          <w:sz w:val="30"/>
          <w:szCs w:val="30"/>
        </w:rPr>
        <w:t xml:space="preserve">Appendix — programme and delivery register</w:t>
      </w:r>
    </w:p>
    <w:p>
      <w:pPr>
        <w:pStyle w:val="Heading2"/>
        <w:spacing w:after="110" w:before="280"/>
      </w:pPr>
      <w:r>
        <w:rPr>
          <w:rFonts w:ascii="Calibri" w:cs="Calibri" w:eastAsia="Calibri" w:hAnsi="Calibri"/>
          <w:b/>
          <w:bCs/>
          <w:color w:val="131A18"/>
          <w:sz w:val="23"/>
          <w:szCs w:val="23"/>
        </w:rPr>
        <w:t xml:space="preserve">How the pieces fit together</w:t>
      </w:r>
    </w:p>
    <w:p>
      <w:pPr>
        <w:spacing w:after="140" w:line="276"/>
      </w:pPr>
      <w:r>
        <w:rPr>
          <w:rFonts w:ascii="Calibri" w:cs="Calibri" w:eastAsia="Calibri" w:hAnsi="Calibri"/>
          <w:color w:val="131A18"/>
          <w:sz w:val="21"/>
          <w:szCs w:val="21"/>
        </w:rPr>
        <w:t xml:space="preserve">The initiative is organised in layers rather than separate projects. The platform is the entry point; skills are self-contained integrations that its agents call; instruction profiles and samples support the way the team works with all of it.</w:t>
      </w:r>
    </w:p>
    <w:tbl>
      <w:tblPr>
        <w:tblW w:type="dxa" w:w="9360"/>
        <w:tblBorders>
          <w:top w:val="single" w:color="D9E0DE" w:sz="4"/>
          <w:left w:val="single" w:color="D9E0DE" w:sz="4"/>
          <w:bottom w:val="single" w:color="D9E0DE" w:sz="4"/>
          <w:right w:val="single" w:color="D9E0DE" w:sz="4"/>
          <w:insideH w:val="single" w:color="D9E0DE" w:sz="4"/>
          <w:insideV w:val="single" w:color="D9E0DE" w:sz="4"/>
        </w:tblBorders>
      </w:tblPr>
      <w:tblGrid>
        <w:gridCol w:w="2100"/>
        <w:gridCol w:w="5460"/>
        <w:gridCol w:w="1800"/>
      </w:tblGrid>
      <w:tr>
        <w:trPr>
          <w:tblHeader/>
        </w:trPr>
        <w:tc>
          <w:tcPr>
            <w:tcW w:type="dxa" w:w="2100"/>
            <w:shd w:fill="F2F6F5" w:val="clear"/>
            <w:tcMar>
              <w:top w:type="dxa" w:w="100"/>
              <w:left w:type="dxa" w:w="140"/>
              <w:bottom w:type="dxa" w:w="100"/>
              <w:right w:type="dxa" w:w="140"/>
            </w:tcMar>
          </w:tcPr>
          <w:p>
            <w:pPr>
              <w:spacing w:after="0"/>
            </w:pPr>
            <w:r>
              <w:rPr>
                <w:rFonts w:ascii="Consolas" w:cs="Consolas" w:eastAsia="Consolas" w:hAnsi="Consolas"/>
                <w:b/>
                <w:bCs/>
                <w:color w:val="5B6764"/>
                <w:spacing w:val="20"/>
                <w:sz w:val="15"/>
                <w:szCs w:val="15"/>
              </w:rPr>
              <w:t xml:space="preserve">LAYER</w:t>
            </w:r>
          </w:p>
        </w:tc>
        <w:tc>
          <w:tcPr>
            <w:tcW w:type="dxa" w:w="5460"/>
            <w:shd w:fill="F2F6F5" w:val="clear"/>
            <w:tcMar>
              <w:top w:type="dxa" w:w="100"/>
              <w:left w:type="dxa" w:w="140"/>
              <w:bottom w:type="dxa" w:w="100"/>
              <w:right w:type="dxa" w:w="140"/>
            </w:tcMar>
          </w:tcPr>
          <w:p>
            <w:pPr>
              <w:spacing w:after="0"/>
            </w:pPr>
            <w:r>
              <w:rPr>
                <w:rFonts w:ascii="Consolas" w:cs="Consolas" w:eastAsia="Consolas" w:hAnsi="Consolas"/>
                <w:b/>
                <w:bCs/>
                <w:color w:val="5B6764"/>
                <w:spacing w:val="20"/>
                <w:sz w:val="15"/>
                <w:szCs w:val="15"/>
              </w:rPr>
              <w:t xml:space="preserve">CONTENTS</w:t>
            </w:r>
          </w:p>
        </w:tc>
        <w:tc>
          <w:tcPr>
            <w:tcW w:type="dxa" w:w="1800"/>
            <w:shd w:fill="F2F6F5" w:val="clear"/>
            <w:tcMar>
              <w:top w:type="dxa" w:w="100"/>
              <w:left w:type="dxa" w:w="140"/>
              <w:bottom w:type="dxa" w:w="100"/>
              <w:right w:type="dxa" w:w="140"/>
            </w:tcMar>
          </w:tcPr>
          <w:p>
            <w:pPr>
              <w:spacing w:after="0"/>
            </w:pPr>
            <w:r>
              <w:rPr>
                <w:rFonts w:ascii="Consolas" w:cs="Consolas" w:eastAsia="Consolas" w:hAnsi="Consolas"/>
                <w:b/>
                <w:bCs/>
                <w:color w:val="5B6764"/>
                <w:spacing w:val="20"/>
                <w:sz w:val="15"/>
                <w:szCs w:val="15"/>
              </w:rPr>
              <w:t xml:space="preserve">CLIENT DATA</w:t>
            </w:r>
          </w:p>
        </w:tc>
      </w:tr>
      <w:tr>
        <w:tc>
          <w:tcPr>
            <w:tcW w:type="dxa" w:w="21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Kortex platform</w:t>
            </w:r>
          </w:p>
        </w:tc>
        <w:tc>
          <w:tcPr>
            <w:tcW w:type="dxa" w:w="54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Back end, front end, ingestion pipeline, infrastructure, orchestrator and agents.</w:t>
            </w:r>
          </w:p>
        </w:tc>
        <w:tc>
          <w:tcPr>
            <w:tcW w:type="dxa" w:w="18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Corpus: none</w:t>
            </w:r>
          </w:p>
        </w:tc>
      </w:tr>
      <w:tr>
        <w:tc>
          <w:tcPr>
            <w:tcW w:type="dxa" w:w="21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Skills</w:t>
            </w:r>
          </w:p>
        </w:tc>
        <w:tc>
          <w:tcPr>
            <w:tcW w:type="dxa" w:w="54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Integrations the agents call: database administration, Salesforce, ServiceNow, Jira, Office 365, Case 360°, infrastructure analysis, report rendering.</w:t>
            </w:r>
          </w:p>
        </w:tc>
        <w:tc>
          <w:tcPr>
            <w:tcW w:type="dxa" w:w="18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Case skills: yes</w:t>
            </w:r>
          </w:p>
        </w:tc>
      </w:tr>
      <w:tr>
        <w:tc>
          <w:tcPr>
            <w:tcW w:type="dxa" w:w="21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Instruction profiles</w:t>
            </w:r>
          </w:p>
        </w:tc>
        <w:tc>
          <w:tcPr>
            <w:tcW w:type="dxa" w:w="54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Curated instruction sets, agents and reusable prompts per role.</w:t>
            </w:r>
          </w:p>
        </w:tc>
        <w:tc>
          <w:tcPr>
            <w:tcW w:type="dxa" w:w="18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None</w:t>
            </w:r>
          </w:p>
        </w:tc>
      </w:tr>
      <w:tr>
        <w:tc>
          <w:tcPr>
            <w:tcW w:type="dxa" w:w="21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Integration samples</w:t>
            </w:r>
          </w:p>
        </w:tc>
        <w:tc>
          <w:tcPr>
            <w:tcW w:type="dxa" w:w="54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Reference implementations for calling a model endpoint from Python and from Java.</w:t>
            </w:r>
          </w:p>
        </w:tc>
        <w:tc>
          <w:tcPr>
            <w:tcW w:type="dxa" w:w="18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None</w:t>
            </w:r>
          </w:p>
        </w:tc>
      </w:tr>
    </w:tbl>
    <w:p>
      <w:pPr>
        <w:spacing w:after="200"/>
      </w:pPr>
    </w:p>
    <w:p>
      <w:pPr>
        <w:pStyle w:val="Heading2"/>
        <w:spacing w:after="110" w:before="280"/>
      </w:pPr>
      <w:r>
        <w:rPr>
          <w:rFonts w:ascii="Calibri" w:cs="Calibri" w:eastAsia="Calibri" w:hAnsi="Calibri"/>
          <w:b/>
          <w:bCs/>
          <w:color w:val="131A18"/>
          <w:sz w:val="23"/>
          <w:szCs w:val="23"/>
        </w:rPr>
        <w:t xml:space="preserve">Specified user stories</w:t>
      </w:r>
    </w:p>
    <w:tbl>
      <w:tblPr>
        <w:tblW w:type="dxa" w:w="9360"/>
        <w:tblBorders>
          <w:top w:val="single" w:color="D9E0DE" w:sz="4"/>
          <w:left w:val="single" w:color="D9E0DE" w:sz="4"/>
          <w:bottom w:val="single" w:color="D9E0DE" w:sz="4"/>
          <w:right w:val="single" w:color="D9E0DE" w:sz="4"/>
          <w:insideH w:val="single" w:color="D9E0DE" w:sz="4"/>
          <w:insideV w:val="single" w:color="D9E0DE" w:sz="4"/>
        </w:tblBorders>
      </w:tblPr>
      <w:tblGrid>
        <w:gridCol w:w="1000"/>
        <w:gridCol w:w="2400"/>
        <w:gridCol w:w="5960"/>
      </w:tblGrid>
      <w:tr>
        <w:trPr>
          <w:tblHeader/>
        </w:trPr>
        <w:tc>
          <w:tcPr>
            <w:tcW w:type="dxa" w:w="1000"/>
            <w:shd w:fill="F2F6F5" w:val="clear"/>
            <w:tcMar>
              <w:top w:type="dxa" w:w="100"/>
              <w:left w:type="dxa" w:w="140"/>
              <w:bottom w:type="dxa" w:w="100"/>
              <w:right w:type="dxa" w:w="140"/>
            </w:tcMar>
          </w:tcPr>
          <w:p>
            <w:pPr>
              <w:spacing w:after="0"/>
            </w:pPr>
            <w:r>
              <w:rPr>
                <w:rFonts w:ascii="Consolas" w:cs="Consolas" w:eastAsia="Consolas" w:hAnsi="Consolas"/>
                <w:b/>
                <w:bCs/>
                <w:color w:val="5B6764"/>
                <w:spacing w:val="20"/>
                <w:sz w:val="15"/>
                <w:szCs w:val="15"/>
              </w:rPr>
              <w:t xml:space="preserve">REF</w:t>
            </w:r>
          </w:p>
        </w:tc>
        <w:tc>
          <w:tcPr>
            <w:tcW w:type="dxa" w:w="2400"/>
            <w:shd w:fill="F2F6F5" w:val="clear"/>
            <w:tcMar>
              <w:top w:type="dxa" w:w="100"/>
              <w:left w:type="dxa" w:w="140"/>
              <w:bottom w:type="dxa" w:w="100"/>
              <w:right w:type="dxa" w:w="140"/>
            </w:tcMar>
          </w:tcPr>
          <w:p>
            <w:pPr>
              <w:spacing w:after="0"/>
            </w:pPr>
            <w:r>
              <w:rPr>
                <w:rFonts w:ascii="Consolas" w:cs="Consolas" w:eastAsia="Consolas" w:hAnsi="Consolas"/>
                <w:b/>
                <w:bCs/>
                <w:color w:val="5B6764"/>
                <w:spacing w:val="20"/>
                <w:sz w:val="15"/>
                <w:szCs w:val="15"/>
              </w:rPr>
              <w:t xml:space="preserve">STORY</w:t>
            </w:r>
          </w:p>
        </w:tc>
        <w:tc>
          <w:tcPr>
            <w:tcW w:type="dxa" w:w="5960"/>
            <w:shd w:fill="F2F6F5" w:val="clear"/>
            <w:tcMar>
              <w:top w:type="dxa" w:w="100"/>
              <w:left w:type="dxa" w:w="140"/>
              <w:bottom w:type="dxa" w:w="100"/>
              <w:right w:type="dxa" w:w="140"/>
            </w:tcMar>
          </w:tcPr>
          <w:p>
            <w:pPr>
              <w:spacing w:after="0"/>
            </w:pPr>
            <w:r>
              <w:rPr>
                <w:rFonts w:ascii="Consolas" w:cs="Consolas" w:eastAsia="Consolas" w:hAnsi="Consolas"/>
                <w:b/>
                <w:bCs/>
                <w:color w:val="5B6764"/>
                <w:spacing w:val="20"/>
                <w:sz w:val="15"/>
                <w:szCs w:val="15"/>
              </w:rPr>
              <w:t xml:space="preserve">SCOPE</w:t>
            </w:r>
          </w:p>
        </w:tc>
      </w:tr>
      <w:tr>
        <w:tc>
          <w:tcPr>
            <w:tcW w:type="dxa" w:w="10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K0001</w:t>
            </w:r>
          </w:p>
        </w:tc>
        <w:tc>
          <w:tcPr>
            <w:tcW w:type="dxa" w:w="24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Internationalisation</w:t>
            </w:r>
          </w:p>
        </w:tc>
        <w:tc>
          <w:tcPr>
            <w:tcW w:type="dxa" w:w="59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French and English interface with persisted preference; the assistant replies in the user's language.</w:t>
            </w:r>
          </w:p>
        </w:tc>
      </w:tr>
      <w:tr>
        <w:tc>
          <w:tcPr>
            <w:tcW w:type="dxa" w:w="10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K0002</w:t>
            </w:r>
          </w:p>
        </w:tc>
        <w:tc>
          <w:tcPr>
            <w:tcW w:type="dxa" w:w="24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Orchestrator agent</w:t>
            </w:r>
          </w:p>
        </w:tc>
        <w:tc>
          <w:tcPr>
            <w:tcW w:type="dxa" w:w="59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Single entry point that classifies intent and routes to the Search, CVE and DBAdmin agents.</w:t>
            </w:r>
          </w:p>
        </w:tc>
      </w:tr>
      <w:tr>
        <w:tc>
          <w:tcPr>
            <w:tcW w:type="dxa" w:w="10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K0003</w:t>
            </w:r>
          </w:p>
        </w:tc>
        <w:tc>
          <w:tcPr>
            <w:tcW w:type="dxa" w:w="24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Agent interaction UI</w:t>
            </w:r>
          </w:p>
        </w:tc>
        <w:tc>
          <w:tcPr>
            <w:tcW w:type="dxa" w:w="59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Surfaces the agent hierarchy and tool calls in the chat interface.</w:t>
            </w:r>
          </w:p>
        </w:tc>
      </w:tr>
      <w:tr>
        <w:tc>
          <w:tcPr>
            <w:tcW w:type="dxa" w:w="10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K0004</w:t>
            </w:r>
          </w:p>
        </w:tc>
        <w:tc>
          <w:tcPr>
            <w:tcW w:type="dxa" w:w="24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Multi-model support</w:t>
            </w:r>
          </w:p>
        </w:tc>
        <w:tc>
          <w:tcPr>
            <w:tcW w:type="dxa" w:w="59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Model selection with an interface adapting to reasoning, tool-calling and vision capability. Dependent on D-1.</w:t>
            </w:r>
          </w:p>
        </w:tc>
      </w:tr>
      <w:tr>
        <w:tc>
          <w:tcPr>
            <w:tcW w:type="dxa" w:w="10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K0005</w:t>
            </w:r>
          </w:p>
        </w:tc>
        <w:tc>
          <w:tcPr>
            <w:tcW w:type="dxa" w:w="24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Roles and permissions</w:t>
            </w:r>
          </w:p>
        </w:tc>
        <w:tc>
          <w:tcPr>
            <w:tcW w:type="dxa" w:w="59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Five roles, three modules, deny-by-default provisioning, self-service access requests, admin management screens.</w:t>
            </w:r>
          </w:p>
        </w:tc>
      </w:tr>
      <w:tr>
        <w:tc>
          <w:tcPr>
            <w:tcW w:type="dxa" w:w="10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K0006</w:t>
            </w:r>
          </w:p>
        </w:tc>
        <w:tc>
          <w:tcPr>
            <w:tcW w:type="dxa" w:w="240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Ingestion management UI</w:t>
            </w:r>
          </w:p>
        </w:tc>
        <w:tc>
          <w:tcPr>
            <w:tcW w:type="dxa" w:w="5960"/>
            <w:tcMar>
              <w:top w:type="dxa" w:w="100"/>
              <w:left w:type="dxa" w:w="140"/>
              <w:bottom w:type="dxa" w:w="100"/>
              <w:right w:type="dxa" w:w="140"/>
            </w:tcMar>
          </w:tcPr>
          <w:p>
            <w:pPr>
              <w:spacing w:after="0" w:line="260"/>
            </w:pPr>
            <w:r>
              <w:rPr>
                <w:rFonts w:ascii="Calibri" w:cs="Calibri" w:eastAsia="Calibri" w:hAnsi="Calibri"/>
                <w:color w:val="131A18"/>
                <w:sz w:val="19"/>
                <w:szCs w:val="19"/>
              </w:rPr>
              <w:t xml:space="preserve">Document inventory, extract drill-down, upload with live progress, deduplication and deletion.</w:t>
            </w:r>
          </w:p>
        </w:tc>
      </w:tr>
    </w:tbl>
    <w:p>
      <w:pPr>
        <w:spacing w:after="300"/>
      </w:pPr>
    </w:p>
    <w:p>
      <w:pPr>
        <w:pBdr>
          <w:top w:val="single" w:color="D9E0DE" w:sz="6" w:space="10"/>
        </w:pBdr>
        <w:spacing w:before="200"/>
      </w:pPr>
      <w:r>
        <w:rPr>
          <w:rFonts w:ascii="Consolas" w:cs="Consolas" w:eastAsia="Consolas" w:hAnsi="Consolas"/>
          <w:color w:val="5B6764"/>
          <w:sz w:val="17"/>
          <w:szCs w:val="17"/>
        </w:rPr>
        <w:t xml:space="preserve">Kortex AI Initiative · KTP DevOps, Finastra · Pre-build submission to the AI Centre of Excellence · 27 August 2026. Presented at early development stage. Nothing described here is in production or in use beyond the project team.</w:t>
      </w:r>
    </w:p>
    <w:sectPr>
      <w:pgSz w:w="12240" w:h="15840" w:orient="portrait"/>
      <w:pgMar w:top="1152"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decimal"/>
      <w:lvlText w:val="%1."/>
      <w:lvlJc w:val="left"/>
      <w:pPr>
        <w:ind w:left="504" w:hanging="331"/>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31A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131A18"/>
      <w:sz w:val="30"/>
      <w:szCs w:val="30"/>
    </w:rPr>
  </w:style>
  <w:style w:type="paragraph" w:styleId="Heading2">
    <w:name w:val="Heading 2"/>
    <w:basedOn w:val="Normal"/>
    <w:next w:val="Normal"/>
    <w:qFormat/>
    <w:rPr>
      <w:rFonts w:ascii="Calibri" w:cs="Calibri" w:eastAsia="Calibri" w:hAnsi="Calibri"/>
      <w:b/>
      <w:bCs/>
      <w:color w:val="131A1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Kortex AI Initiative</dc:title>
  <dc:creator>KTP DevOps, Finastra</dc:creator>
  <dc:description>Pre-build submission to the AI Centre of Excellence</dc:description>
  <cp:lastModifiedBy>Un-named</cp:lastModifiedBy>
  <cp:revision>1</cp:revision>
  <dcterms:created xsi:type="dcterms:W3CDTF">2026-08-27T05:51:43.066Z</dcterms:created>
  <dcterms:modified xsi:type="dcterms:W3CDTF">2026-08-27T05:51:43.067Z</dcterms:modified>
</cp:coreProperties>
</file>

<file path=docProps/custom.xml><?xml version="1.0" encoding="utf-8"?>
<Properties xmlns="http://schemas.openxmlformats.org/officeDocument/2006/custom-properties" xmlns:vt="http://schemas.openxmlformats.org/officeDocument/2006/docPropsVTypes"/>
</file>