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onsolas" w:cs="Consolas" w:eastAsia="Consolas" w:hAnsi="Consolas"/>
          <w:b/>
          <w:bCs/>
          <w:color w:val="0E6B60"/>
          <w:spacing w:val="40"/>
          <w:sz w:val="16"/>
          <w:szCs w:val="16"/>
        </w:rPr>
        <w:t xml:space="preserve">KTP DEVOPS  ·  FINASTRA  ·  PRE-BUILD SUBMISSION TO THE AI COE</w:t>
      </w:r>
    </w:p>
    <w:p>
      <w:pPr>
        <w:spacing w:after="200"/>
      </w:pPr>
      <w:r>
        <w:rPr>
          <w:rFonts w:ascii="Calibri" w:cs="Calibri" w:eastAsia="Calibri" w:hAnsi="Calibri"/>
          <w:b/>
          <w:bCs/>
          <w:color w:val="131A18"/>
          <w:sz w:val="60"/>
          <w:szCs w:val="60"/>
        </w:rPr>
        <w:t xml:space="preserve">Kortex AI Initiative</w:t>
      </w:r>
    </w:p>
    <w:p>
      <w:pPr>
        <w:pBdr>
          <w:bottom w:val="single" w:color="131A18" w:sz="12" w:space="14"/>
        </w:pBdr>
        <w:spacing w:after="300" w:line="300"/>
      </w:pPr>
      <w:r>
        <w:rPr>
          <w:rFonts w:ascii="Calibri" w:cs="Calibri" w:eastAsia="Calibri" w:hAnsi="Calibri"/>
          <w:color w:val="33403D"/>
          <w:sz w:val="24"/>
          <w:szCs w:val="24"/>
        </w:rPr>
        <w:t xml:space="preserve">A single working entry point for the KTP DevOps team — where the day's status is reviewed, product and vulnerability questions are answered from Finastra's own knowledge, and operational work is carried out. We are bringing this to the AI Centre of Excellence before building further, as the policy asks.</w:t>
      </w:r>
    </w:p>
    <w:p>
      <w:pPr>
        <w:spacing w:after="200"/>
      </w:pP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2600"/>
        <w:gridCol w:w="6760"/>
      </w:tblGrid>
      <w:tr>
        <w:trPr>
          <w:tblHeader/>
        </w:trPr>
        <w:tc>
          <w:tcPr>
            <w:tcW w:type="dxa" w:w="26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FIELD</w:t>
            </w:r>
          </w:p>
        </w:tc>
        <w:tc>
          <w:tcPr>
            <w:tcW w:type="dxa" w:w="67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DETAIL</w:t>
            </w:r>
          </w:p>
        </w:tc>
      </w:tr>
      <w:tr>
        <w:tc>
          <w:tcPr>
            <w:tcW w:type="dxa" w:w="2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Initiative</w:t>
            </w:r>
          </w:p>
        </w:tc>
        <w:tc>
          <w:tcPr>
            <w:tcW w:type="dxa" w:w="67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Kortex Agentic Platform</w:t>
            </w:r>
          </w:p>
        </w:tc>
      </w:tr>
      <w:tr>
        <w:tc>
          <w:tcPr>
            <w:tcW w:type="dxa" w:w="2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Owner</w:t>
            </w:r>
          </w:p>
        </w:tc>
        <w:tc>
          <w:tcPr>
            <w:tcW w:type="dxa" w:w="67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KTP DevOps team</w:t>
            </w:r>
          </w:p>
        </w:tc>
      </w:tr>
      <w:tr>
        <w:tc>
          <w:tcPr>
            <w:tcW w:type="dxa" w:w="2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Stage</w:t>
            </w:r>
          </w:p>
        </w:tc>
        <w:tc>
          <w:tcPr>
            <w:tcW w:type="dxa" w:w="67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Early development — paused, see Section 4</w:t>
            </w:r>
          </w:p>
        </w:tc>
      </w:tr>
      <w:tr>
        <w:tc>
          <w:tcPr>
            <w:tcW w:type="dxa" w:w="2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Pilot population</w:t>
            </w:r>
          </w:p>
        </w:tc>
        <w:tc>
          <w:tcPr>
            <w:tcW w:type="dxa" w:w="67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DevOps and Client Services teams</w:t>
            </w:r>
          </w:p>
        </w:tc>
      </w:tr>
      <w:tr>
        <w:tc>
          <w:tcPr>
            <w:tcW w:type="dxa" w:w="2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Client data</w:t>
            </w:r>
          </w:p>
        </w:tc>
        <w:tc>
          <w:tcPr>
            <w:tcW w:type="dxa" w:w="67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Never ingested into the corpus — see Section 7</w:t>
            </w:r>
          </w:p>
        </w:tc>
      </w:tr>
      <w:tr>
        <w:tc>
          <w:tcPr>
            <w:tcW w:type="dxa" w:w="2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Date</w:t>
            </w:r>
          </w:p>
        </w:tc>
        <w:tc>
          <w:tcPr>
            <w:tcW w:type="dxa" w:w="67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27 August 2026</w:t>
            </w:r>
          </w:p>
        </w:tc>
      </w:tr>
    </w:tbl>
    <w:p>
      <w:pPr>
        <w:spacing w:after="240"/>
      </w:pPr>
    </w:p>
    <w:tbl>
      <w:tblPr>
        <w:tblW w:type="dxa" w:w="9360"/>
        <w:tblBorders>
          <w:top w:val="none" w:color="FFFFFF" w:sz="0"/>
          <w:left w:val="single" w:color="0E6B60" w:sz="12"/>
          <w:bottom w:val="none" w:color="FFFFFF" w:sz="0"/>
          <w:right w:val="none" w:color="FFFFFF" w:sz="0"/>
          <w:insideH w:val="none" w:color="FFFFFF" w:sz="0"/>
          <w:insideV w:val="none" w:color="FFFFFF" w:sz="0"/>
        </w:tblBorders>
      </w:tblPr>
      <w:tblGrid>
        <w:gridCol w:w="9360"/>
      </w:tblGrid>
      <w:tr>
        <w:tc>
          <w:tcPr>
            <w:tcW w:type="dxa" w:w="9360"/>
            <w:shd w:fill="F2F6F5" w:val="clear"/>
            <w:tcMar>
              <w:top w:type="dxa" w:w="160"/>
              <w:left w:type="dxa" w:w="220"/>
              <w:bottom w:type="dxa" w:w="160"/>
              <w:right w:type="dxa" w:w="220"/>
            </w:tcMar>
          </w:tcPr>
          <w:p>
            <w:pPr>
              <w:spacing w:after="80"/>
            </w:pPr>
            <w:r>
              <w:rPr>
                <w:rFonts w:ascii="Consolas" w:cs="Consolas" w:eastAsia="Consolas" w:hAnsi="Consolas"/>
                <w:b/>
                <w:bCs/>
                <w:color w:val="0E6B60"/>
                <w:spacing w:val="30"/>
                <w:sz w:val="15"/>
                <w:szCs w:val="15"/>
              </w:rPr>
              <w:t xml:space="preserve">WHAT WE ARE ASKING FOR</w:t>
            </w:r>
          </w:p>
          <w:p>
            <w:pPr>
              <w:spacing w:after="100" w:line="276"/>
            </w:pPr>
            <w:r>
              <w:rPr>
                <w:rFonts w:ascii="Calibri" w:cs="Calibri" w:eastAsia="Calibri" w:hAnsi="Calibri"/>
                <w:color w:val="131A18"/>
                <w:sz w:val="20"/>
                <w:szCs w:val="20"/>
              </w:rPr>
              <w:t xml:space="preserve">A sanctioned model service so development can resume; confirmation that the data flows in Section 5 and the protections in Section 7 meet the required standard; and agreement on the readiness gate in Section 9 that must be cleared before anyone outside the pilot team uses this.</w:t>
            </w:r>
          </w:p>
          <w:p>
            <w:pPr>
              <w:spacing w:after="0" w:line="276"/>
            </w:pPr>
            <w:r>
              <w:rPr>
                <w:rFonts w:ascii="Calibri" w:cs="Calibri" w:eastAsia="Calibri" w:hAnsi="Calibri"/>
                <w:color w:val="131A18"/>
                <w:sz w:val="20"/>
                <w:szCs w:val="20"/>
              </w:rPr>
              <w:t xml:space="preserve">We are not asking for production approval, and we are not presenting a finished system. What we are asking the CoE to judge is whether the idea is sound, whether the approach is the right one, and what conditions we should build to.</w:t>
            </w:r>
          </w:p>
        </w:tc>
      </w:tr>
    </w:tbl>
    <w:p>
      <w:r>
        <w:br w:type="page"/>
      </w:r>
    </w:p>
    <w:p>
      <w:pPr>
        <w:pStyle w:val="Heading1"/>
        <w:pBdr>
          <w:bottom w:val="single" w:color="D9E0DE" w:sz="6" w:space="6"/>
        </w:pBdr>
        <w:spacing w:after="180" w:before="420"/>
      </w:pPr>
      <w:r>
        <w:rPr>
          <w:rFonts w:ascii="Calibri" w:cs="Calibri" w:eastAsia="Calibri" w:hAnsi="Calibri"/>
          <w:b/>
          <w:bCs/>
          <w:color w:val="131A18"/>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9E0DE" w:sz="6" w:space="6"/>
        </w:pBdr>
        <w:spacing w:after="180" w:before="420"/>
      </w:pPr>
      <w:r>
        <w:rPr>
          <w:rFonts w:ascii="Calibri" w:cs="Calibri" w:eastAsia="Calibri" w:hAnsi="Calibri"/>
          <w:b/>
          <w:bCs/>
          <w:color w:val="131A18"/>
          <w:sz w:val="30"/>
          <w:szCs w:val="30"/>
        </w:rPr>
        <w:t xml:space="preserve">1. Executive summary</w:t>
      </w:r>
    </w:p>
    <w:p>
      <w:pPr>
        <w:spacing w:after="140" w:line="276"/>
      </w:pPr>
      <w:r>
        <w:rPr>
          <w:rFonts w:ascii="Calibri" w:cs="Calibri" w:eastAsia="Calibri" w:hAnsi="Calibri"/>
          <w:color w:val="131A18"/>
          <w:sz w:val="21"/>
          <w:szCs w:val="21"/>
        </w:rPr>
        <w:t xml:space="preserve">The KTP DevOps team is developing </w:t>
      </w:r>
      <w:r>
        <w:rPr>
          <w:rFonts w:ascii="Calibri" w:cs="Calibri" w:eastAsia="Calibri" w:hAnsi="Calibri"/>
          <w:b/>
          <w:bCs/>
          <w:color w:val="131A18"/>
          <w:sz w:val="21"/>
          <w:szCs w:val="21"/>
        </w:rPr>
        <w:t xml:space="preserve">Kortex</w:t>
      </w:r>
      <w:r>
        <w:rPr>
          <w:rFonts w:ascii="Calibri" w:cs="Calibri" w:eastAsia="Calibri" w:hAnsi="Calibri"/>
          <w:color w:val="131A18"/>
          <w:sz w:val="21"/>
          <w:szCs w:val="21"/>
        </w:rPr>
        <w:t xml:space="preserve">, an internal platform for the KTP Suite — the family of treasury and payments products comprising CTI, KTP, FFC, Payment Factory, KTPWeb and Cargo.</w:t>
      </w:r>
    </w:p>
    <w:p>
      <w:pPr>
        <w:spacing w:after="140" w:line="276"/>
      </w:pPr>
      <w:r>
        <w:rPr>
          <w:rFonts w:ascii="Calibri" w:cs="Calibri" w:eastAsia="Calibri" w:hAnsi="Calibri"/>
          <w:color w:val="131A18"/>
          <w:sz w:val="21"/>
          <w:szCs w:val="21"/>
        </w:rPr>
        <w:t xml:space="preserve">Kortex is not a question-and-answer assistant, and we want that clear from the outset. The intent is </w:t>
      </w:r>
      <w:r>
        <w:rPr>
          <w:rFonts w:ascii="Calibri" w:cs="Calibri" w:eastAsia="Calibri" w:hAnsi="Calibri"/>
          <w:b/>
          <w:bCs/>
          <w:color w:val="131A18"/>
          <w:sz w:val="21"/>
          <w:szCs w:val="21"/>
        </w:rPr>
        <w:t xml:space="preserve">an alternative entry point for the team's daily work</w:t>
      </w:r>
      <w:r>
        <w:rPr>
          <w:rFonts w:ascii="Calibri" w:cs="Calibri" w:eastAsia="Calibri" w:hAnsi="Calibri"/>
          <w:color w:val="131A18"/>
          <w:sz w:val="21"/>
          <w:szCs w:val="21"/>
        </w:rPr>
        <w:t xml:space="preserve">: open it to see what needs attention today, ask what a product does and get an answer sourced from our own documentation, look up a support case or a vulnerability — and act on it. Some of that acting changes state in downstream systems. Section 7 sets out exactly where, and what we propose to do about it.</w:t>
      </w:r>
    </w:p>
    <w:p>
      <w:pPr>
        <w:spacing w:after="140" w:line="276"/>
      </w:pPr>
      <w:r>
        <w:rPr>
          <w:rFonts w:ascii="Calibri" w:cs="Calibri" w:eastAsia="Calibri" w:hAnsi="Calibri"/>
          <w:color w:val="131A18"/>
          <w:sz w:val="21"/>
          <w:szCs w:val="21"/>
        </w:rPr>
        <w:t xml:space="preserve">The initiative is at an </w:t>
      </w:r>
      <w:r>
        <w:rPr>
          <w:rFonts w:ascii="Calibri" w:cs="Calibri" w:eastAsia="Calibri" w:hAnsi="Calibri"/>
          <w:b/>
          <w:bCs/>
          <w:color w:val="131A18"/>
          <w:sz w:val="21"/>
          <w:szCs w:val="21"/>
        </w:rPr>
        <w:t xml:space="preserve">early development stage</w:t>
      </w:r>
      <w:r>
        <w:rPr>
          <w:rFonts w:ascii="Calibri" w:cs="Calibri" w:eastAsia="Calibri" w:hAnsi="Calibri"/>
          <w:color w:val="131A18"/>
          <w:sz w:val="21"/>
          <w:szCs w:val="21"/>
        </w:rPr>
        <w:t xml:space="preserve">. A working prototype demonstrates the core pattern end to end; the multi-agent extension is written but has not been validated. </w:t>
      </w:r>
      <w:r>
        <w:rPr>
          <w:rFonts w:ascii="Calibri" w:cs="Calibri" w:eastAsia="Calibri" w:hAnsi="Calibri"/>
          <w:b/>
          <w:bCs/>
          <w:color w:val="131A18"/>
          <w:sz w:val="21"/>
          <w:szCs w:val="21"/>
        </w:rPr>
        <w:t xml:space="preserve">Development is currently paused</w:t>
      </w:r>
      <w:r>
        <w:rPr>
          <w:rFonts w:ascii="Calibri" w:cs="Calibri" w:eastAsia="Calibri" w:hAnsi="Calibri"/>
          <w:color w:val="131A18"/>
          <w:sz w:val="21"/>
          <w:szCs w:val="21"/>
        </w:rPr>
        <w:t xml:space="preserve"> because the model service the prototype was built against — GitHub Models — has been fully retired.</w:t>
      </w:r>
    </w:p>
    <w:p>
      <w:pPr>
        <w:spacing w:after="60"/>
      </w:pP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1400"/>
        <w:gridCol w:w="7960"/>
      </w:tblGrid>
      <w:tr>
        <w:trPr>
          <w:tblHeader/>
        </w:trPr>
        <w:tc>
          <w:tcPr>
            <w:tcW w:type="dxa" w:w="14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FIGURE</w:t>
            </w:r>
          </w:p>
        </w:tc>
        <w:tc>
          <w:tcPr>
            <w:tcW w:type="dxa" w:w="79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WHAT IT COUNTS</w:t>
            </w:r>
          </w:p>
        </w:tc>
      </w:tr>
      <w:tr>
        <w:tc>
          <w:tcPr>
            <w:tcW w:type="dxa" w:w="1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7</w:t>
            </w:r>
          </w:p>
        </w:tc>
        <w:tc>
          <w:tcPr>
            <w:tcW w:type="dxa" w:w="79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Use cases identified</w:t>
            </w:r>
          </w:p>
        </w:tc>
      </w:tr>
      <w:tr>
        <w:tc>
          <w:tcPr>
            <w:tcW w:type="dxa" w:w="1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8</w:t>
            </w:r>
          </w:p>
        </w:tc>
        <w:tc>
          <w:tcPr>
            <w:tcW w:type="dxa" w:w="79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Specialised agents — 2 working, 6 planned</w:t>
            </w:r>
          </w:p>
        </w:tc>
      </w:tr>
      <w:tr>
        <w:tc>
          <w:tcPr>
            <w:tcW w:type="dxa" w:w="1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2</w:t>
            </w:r>
          </w:p>
        </w:tc>
        <w:tc>
          <w:tcPr>
            <w:tcW w:type="dxa" w:w="79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Capabilities that change state, not just report</w:t>
            </w:r>
          </w:p>
        </w:tc>
      </w:tr>
      <w:tr>
        <w:tc>
          <w:tcPr>
            <w:tcW w:type="dxa" w:w="1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1</w:t>
            </w:r>
          </w:p>
        </w:tc>
        <w:tc>
          <w:tcPr>
            <w:tcW w:type="dxa" w:w="79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Data flow carrying Finastra content out</w:t>
            </w:r>
          </w:p>
        </w:tc>
      </w:tr>
    </w:tbl>
    <w:p>
      <w:pPr>
        <w:spacing w:after="180"/>
      </w:pPr>
    </w:p>
    <w:p>
      <w:pPr>
        <w:spacing w:after="140" w:line="276"/>
      </w:pPr>
      <w:r>
        <w:rPr>
          <w:rFonts w:ascii="Calibri" w:cs="Calibri" w:eastAsia="Calibri" w:hAnsi="Calibri"/>
          <w:color w:val="131A18"/>
          <w:sz w:val="21"/>
          <w:szCs w:val="21"/>
        </w:rPr>
        <w:t xml:space="preserve">We are presenting now rather than later for three reasons, each of which maps to something the CoE exists to do. We are </w:t>
      </w:r>
      <w:r>
        <w:rPr>
          <w:rFonts w:ascii="Calibri" w:cs="Calibri" w:eastAsia="Calibri" w:hAnsi="Calibri"/>
          <w:b/>
          <w:bCs/>
          <w:color w:val="131A18"/>
          <w:sz w:val="21"/>
          <w:szCs w:val="21"/>
        </w:rPr>
        <w:t xml:space="preserve">asking before we build</w:t>
      </w:r>
      <w:r>
        <w:rPr>
          <w:rFonts w:ascii="Calibri" w:cs="Calibri" w:eastAsia="Calibri" w:hAnsi="Calibri"/>
          <w:color w:val="131A18"/>
          <w:sz w:val="21"/>
          <w:szCs w:val="21"/>
        </w:rPr>
        <w:t xml:space="preserve">, while the design decisions that are expensive to reverse are still open. We are </w:t>
      </w:r>
      <w:r>
        <w:rPr>
          <w:rFonts w:ascii="Calibri" w:cs="Calibri" w:eastAsia="Calibri" w:hAnsi="Calibri"/>
          <w:b/>
          <w:bCs/>
          <w:color w:val="131A18"/>
          <w:sz w:val="21"/>
          <w:szCs w:val="21"/>
        </w:rPr>
        <w:t xml:space="preserve">asking whether this has already been solved</w:t>
      </w:r>
      <w:r>
        <w:rPr>
          <w:rFonts w:ascii="Calibri" w:cs="Calibri" w:eastAsia="Calibri" w:hAnsi="Calibri"/>
          <w:color w:val="131A18"/>
          <w:sz w:val="21"/>
          <w:szCs w:val="21"/>
        </w:rPr>
        <w:t xml:space="preserve"> at Finastra, particularly on model procurement, where we are stuck on a problem another team has probably already worked through. And we want the </w:t>
      </w:r>
      <w:r>
        <w:rPr>
          <w:rFonts w:ascii="Calibri" w:cs="Calibri" w:eastAsia="Calibri" w:hAnsi="Calibri"/>
          <w:b/>
          <w:bCs/>
          <w:color w:val="131A18"/>
          <w:sz w:val="21"/>
          <w:szCs w:val="21"/>
        </w:rPr>
        <w:t xml:space="preserve">security, privacy and regulatory standards</w:t>
      </w:r>
      <w:r>
        <w:rPr>
          <w:rFonts w:ascii="Calibri" w:cs="Calibri" w:eastAsia="Calibri" w:hAnsi="Calibri"/>
          <w:color w:val="131A18"/>
          <w:sz w:val="21"/>
          <w:szCs w:val="21"/>
        </w:rPr>
        <w:t xml:space="preserve"> designed in from the start rather than retrofitted, which is why Section 7 leads on data protection rather than treating it as an annex.</w:t>
      </w:r>
    </w:p>
    <w:p>
      <w:pPr>
        <w:pStyle w:val="Heading1"/>
        <w:pBdr>
          <w:bottom w:val="single" w:color="D9E0DE" w:sz="6" w:space="6"/>
        </w:pBdr>
        <w:spacing w:after="180" w:before="420"/>
      </w:pPr>
      <w:r>
        <w:rPr>
          <w:rFonts w:ascii="Calibri" w:cs="Calibri" w:eastAsia="Calibri" w:hAnsi="Calibri"/>
          <w:b/>
          <w:bCs/>
          <w:color w:val="131A18"/>
          <w:sz w:val="30"/>
          <w:szCs w:val="30"/>
        </w:rPr>
        <w:t xml:space="preserve">2. Objectives and business value</w:t>
      </w:r>
    </w:p>
    <w:p>
      <w:pPr>
        <w:spacing w:after="140" w:line="276"/>
      </w:pPr>
      <w:r>
        <w:rPr>
          <w:rFonts w:ascii="Calibri" w:cs="Calibri" w:eastAsia="Calibri" w:hAnsi="Calibri"/>
          <w:color w:val="131A18"/>
          <w:sz w:val="21"/>
          <w:szCs w:val="21"/>
        </w:rPr>
        <w:t xml:space="preserve">The KTP DevOps team supports a product family whose knowledge is fragmented across product documentation, Salesforce cases, ServiceNow vulnerability records, Jira issues and the experience held by individual engineers. Four objectives follow from that: reaching product knowledge, reaching resolution knowledge, seeing the day's work in one place, and building the capability to do more of this.</w:t>
      </w:r>
    </w:p>
    <w:p>
      <w:pPr>
        <w:pStyle w:val="Heading2"/>
        <w:spacing w:after="110" w:before="280"/>
      </w:pPr>
      <w:r>
        <w:rPr>
          <w:rFonts w:ascii="Calibri" w:cs="Calibri" w:eastAsia="Calibri" w:hAnsi="Calibri"/>
          <w:b/>
          <w:bCs/>
          <w:color w:val="131A18"/>
          <w:sz w:val="23"/>
          <w:szCs w:val="23"/>
        </w:rPr>
        <w:t xml:space="preserve">Who this is for</w:t>
      </w:r>
    </w:p>
    <w:p>
      <w:pPr>
        <w:spacing w:after="140" w:line="276"/>
      </w:pPr>
      <w:r>
        <w:rPr>
          <w:rFonts w:ascii="Calibri" w:cs="Calibri" w:eastAsia="Calibri" w:hAnsi="Calibri"/>
          <w:color w:val="131A18"/>
          <w:sz w:val="21"/>
          <w:szCs w:val="21"/>
        </w:rPr>
        <w:t xml:space="preserve">The pilot population is the </w:t>
      </w:r>
      <w:r>
        <w:rPr>
          <w:rFonts w:ascii="Calibri" w:cs="Calibri" w:eastAsia="Calibri" w:hAnsi="Calibri"/>
          <w:b/>
          <w:bCs/>
          <w:color w:val="131A18"/>
          <w:sz w:val="21"/>
          <w:szCs w:val="21"/>
        </w:rPr>
        <w:t xml:space="preserve">DevOps and Client Services teams</w:t>
      </w:r>
      <w:r>
        <w:rPr>
          <w:rFonts w:ascii="Calibri" w:cs="Calibri" w:eastAsia="Calibri" w:hAnsi="Calibri"/>
          <w:color w:val="131A18"/>
          <w:sz w:val="21"/>
          <w:szCs w:val="21"/>
        </w:rPr>
        <w:t xml:space="preserve"> — a mix of technical and client-facing roles, each of which uses the platform differently.</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3200"/>
        <w:gridCol w:w="6160"/>
      </w:tblGrid>
      <w:tr>
        <w:trPr>
          <w:tblHeader/>
        </w:trPr>
        <w:tc>
          <w:tcPr>
            <w:tcW w:type="dxa" w:w="32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PROFILE</w:t>
            </w:r>
          </w:p>
        </w:tc>
        <w:tc>
          <w:tcPr>
            <w:tcW w:type="dxa" w:w="61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WHAT KORTEX DOES FOR THEM</w:t>
            </w:r>
          </w:p>
        </w:tc>
      </w:tr>
      <w:tr>
        <w:tc>
          <w:tcPr>
            <w:tcW w:type="dxa" w:w="3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Support</w:t>
            </w:r>
          </w:p>
        </w:tc>
        <w:tc>
          <w:tcPr>
            <w:tcW w:type="dxa" w:w="61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Diagnose issues, find solutions in documentation, work through case resolution</w:t>
            </w:r>
          </w:p>
        </w:tc>
      </w:tr>
      <w:tr>
        <w:tc>
          <w:tcPr>
            <w:tcW w:type="dxa" w:w="3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Consultants and project managers</w:t>
            </w:r>
          </w:p>
        </w:tc>
        <w:tc>
          <w:tcPr>
            <w:tcW w:type="dxa" w:w="61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Implementation guidance, case follow-up, go-live support</w:t>
            </w:r>
          </w:p>
        </w:tc>
      </w:tr>
      <w:tr>
        <w:tc>
          <w:tcPr>
            <w:tcW w:type="dxa" w:w="3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DevOps and SRE</w:t>
            </w:r>
          </w:p>
        </w:tc>
        <w:tc>
          <w:tcPr>
            <w:tcW w:type="dxa" w:w="61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Technical ticket triage, vulnerability management, database operations</w:t>
            </w:r>
          </w:p>
        </w:tc>
      </w:tr>
      <w:tr>
        <w:tc>
          <w:tcPr>
            <w:tcW w:type="dxa" w:w="3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Management</w:t>
            </w:r>
          </w:p>
        </w:tc>
        <w:tc>
          <w:tcPr>
            <w:tcW w:type="dxa" w:w="61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Status summaries, dashboard insight, escalation support</w:t>
            </w:r>
          </w:p>
        </w:tc>
      </w:tr>
    </w:tbl>
    <w:p>
      <w:pPr>
        <w:spacing w:after="200"/>
      </w:pPr>
    </w:p>
    <w:p>
      <w:pPr>
        <w:pStyle w:val="Heading2"/>
        <w:spacing w:after="110" w:before="280"/>
      </w:pPr>
      <w:r>
        <w:rPr>
          <w:rFonts w:ascii="Calibri" w:cs="Calibri" w:eastAsia="Calibri" w:hAnsi="Calibri"/>
          <w:b/>
          <w:bCs/>
          <w:color w:val="131A18"/>
          <w:sz w:val="23"/>
          <w:szCs w:val="23"/>
        </w:rPr>
        <w:t xml:space="preserve">Objective 1 — Product answers without waiting for the person who knows</w:t>
      </w:r>
    </w:p>
    <w:p>
      <w:pPr>
        <w:spacing w:after="140" w:line="276"/>
      </w:pPr>
      <w:r>
        <w:rPr>
          <w:rFonts w:ascii="Calibri" w:cs="Calibri" w:eastAsia="Calibri" w:hAnsi="Calibri"/>
          <w:color w:val="131A18"/>
          <w:sz w:val="21"/>
          <w:szCs w:val="21"/>
        </w:rPr>
        <w:t xml:space="preserve">The KTP Suite is large, and the people who understand it best are the people most interrupted. Finding out how something works today means reading through product documentation, or asking a colleague and waiting — and that colleague may be in another time zone, on leave, or in the middle of their own escalation. The knowledge is not missing. Reaching it depends on someone's availability.</w:t>
      </w:r>
    </w:p>
    <w:p>
      <w:pPr>
        <w:spacing w:after="140" w:line="276"/>
      </w:pPr>
      <w:r>
        <w:rPr>
          <w:rFonts w:ascii="Calibri" w:cs="Calibri" w:eastAsia="Calibri" w:hAnsi="Calibri"/>
          <w:color w:val="131A18"/>
          <w:sz w:val="21"/>
          <w:szCs w:val="21"/>
        </w:rPr>
        <w:t xml:space="preserve">Kortex answers product questions directly from the official documentation, with citations back to the source, and — this matters more than it first sounds — </w:t>
      </w:r>
      <w:r>
        <w:rPr>
          <w:rFonts w:ascii="Calibri" w:cs="Calibri" w:eastAsia="Calibri" w:hAnsi="Calibri"/>
          <w:b/>
          <w:bCs/>
          <w:color w:val="131A18"/>
          <w:sz w:val="21"/>
          <w:szCs w:val="21"/>
        </w:rPr>
        <w:t xml:space="preserve">correct for the version the user is actually running</w:t>
      </w:r>
      <w:r>
        <w:rPr>
          <w:rFonts w:ascii="Calibri" w:cs="Calibri" w:eastAsia="Calibri" w:hAnsi="Calibri"/>
          <w:color w:val="131A18"/>
          <w:sz w:val="21"/>
          <w:szCs w:val="21"/>
        </w:rPr>
        <w:t xml:space="preserve">. Someone working on CTI 23.2 gets 23.2's answer, not 24.1's. This is also the clearest thing a general-purpose assistant cannot do for us: it has no way of knowing which release is in front of the person asking.</w:t>
      </w:r>
    </w:p>
    <w:p>
      <w:pPr>
        <w:spacing w:after="140" w:line="276"/>
      </w:pPr>
      <w:r>
        <w:rPr>
          <w:rFonts w:ascii="Calibri" w:cs="Calibri" w:eastAsia="Calibri" w:hAnsi="Calibri"/>
          <w:color w:val="131A18"/>
          <w:sz w:val="21"/>
          <w:szCs w:val="21"/>
        </w:rPr>
        <w:t xml:space="preserve">Three consequences follow, and each is worth stating separately:</w:t>
      </w:r>
    </w:p>
    <w:p>
      <w:pPr>
        <w:pStyle w:val="ListParagraph"/>
        <w:numPr>
          <w:ilvl w:val="0"/>
          <w:numId w:val="2"/>
        </w:numPr>
        <w:spacing w:after="90" w:line="276"/>
      </w:pPr>
      <w:r>
        <w:rPr>
          <w:rFonts w:ascii="Calibri" w:cs="Calibri" w:eastAsia="Calibri" w:hAnsi="Calibri"/>
          <w:b/>
          <w:bCs/>
          <w:color w:val="131A18"/>
          <w:sz w:val="21"/>
          <w:szCs w:val="21"/>
        </w:rPr>
        <w:t xml:space="preserve">Specialist time is reclaimed.</w:t>
      </w:r>
      <w:r>
        <w:rPr>
          <w:rFonts w:ascii="Calibri" w:cs="Calibri" w:eastAsia="Calibri" w:hAnsi="Calibri"/>
          <w:color w:val="131A18"/>
          <w:sz w:val="21"/>
          <w:szCs w:val="21"/>
        </w:rPr>
        <w:t xml:space="preserve"> Routine questions stop arriving at the few people who can answer everything.</w:t>
      </w:r>
    </w:p>
    <w:p>
      <w:pPr>
        <w:pStyle w:val="ListParagraph"/>
        <w:numPr>
          <w:ilvl w:val="0"/>
          <w:numId w:val="2"/>
        </w:numPr>
        <w:spacing w:after="90" w:line="276"/>
      </w:pPr>
      <w:r>
        <w:rPr>
          <w:rFonts w:ascii="Calibri" w:cs="Calibri" w:eastAsia="Calibri" w:hAnsi="Calibri"/>
          <w:b/>
          <w:bCs/>
          <w:color w:val="131A18"/>
          <w:sz w:val="21"/>
          <w:szCs w:val="21"/>
        </w:rPr>
        <w:t xml:space="preserve">New joiners get further alone.</w:t>
      </w:r>
      <w:r>
        <w:rPr>
          <w:rFonts w:ascii="Calibri" w:cs="Calibri" w:eastAsia="Calibri" w:hAnsi="Calibri"/>
          <w:color w:val="131A18"/>
          <w:sz w:val="21"/>
          <w:szCs w:val="21"/>
        </w:rPr>
        <w:t xml:space="preserve"> Onboarding currently runs on shoulder-tapping. This is also the benefit easiest to measure, which matters given we have no baseline for anything else.</w:t>
      </w:r>
    </w:p>
    <w:p>
      <w:pPr>
        <w:pStyle w:val="ListParagraph"/>
        <w:numPr>
          <w:ilvl w:val="0"/>
          <w:numId w:val="2"/>
        </w:numPr>
        <w:spacing w:after="90" w:line="276"/>
      </w:pPr>
      <w:r>
        <w:rPr>
          <w:rFonts w:ascii="Calibri" w:cs="Calibri" w:eastAsia="Calibri" w:hAnsi="Calibri"/>
          <w:b/>
          <w:bCs/>
          <w:color w:val="131A18"/>
          <w:sz w:val="21"/>
          <w:szCs w:val="21"/>
        </w:rPr>
        <w:t xml:space="preserve">Answers become traceable.</w:t>
      </w:r>
      <w:r>
        <w:rPr>
          <w:rFonts w:ascii="Calibri" w:cs="Calibri" w:eastAsia="Calibri" w:hAnsi="Calibri"/>
          <w:color w:val="131A18"/>
          <w:sz w:val="21"/>
          <w:szCs w:val="21"/>
        </w:rPr>
        <w:t xml:space="preserve"> Every response cites its source and is recorded. A corridor conversation is neither — so this makes knowledge transfer auditable in a way our current practice is not.</w:t>
      </w:r>
    </w:p>
    <w:p>
      <w:pPr>
        <w:spacing w:after="140" w:line="276"/>
      </w:pPr>
      <w:r>
        <w:rPr>
          <w:rFonts w:ascii="Calibri" w:cs="Calibri" w:eastAsia="Calibri" w:hAnsi="Calibri"/>
          <w:color w:val="131A18"/>
          <w:sz w:val="21"/>
          <w:szCs w:val="21"/>
        </w:rPr>
        <w:t xml:space="preserve">The corpus is maintained operationally: documentation is uploaded as it is published, and on each release. Version history is retained deliberately, because colleagues supporting older releases need the answer that was true for theirs.</w:t>
      </w:r>
    </w:p>
    <w:p>
      <w:pPr>
        <w:pStyle w:val="Heading2"/>
        <w:spacing w:after="110" w:before="280"/>
      </w:pPr>
      <w:r>
        <w:rPr>
          <w:rFonts w:ascii="Calibri" w:cs="Calibri" w:eastAsia="Calibri" w:hAnsi="Calibri"/>
          <w:b/>
          <w:bCs/>
          <w:color w:val="131A18"/>
          <w:sz w:val="23"/>
          <w:szCs w:val="23"/>
        </w:rPr>
        <w:t xml:space="preserve">Objective 2 — Get from symptom to resolution faster</w:t>
      </w:r>
    </w:p>
    <w:p>
      <w:pPr>
        <w:spacing w:after="140" w:line="276"/>
      </w:pPr>
      <w:r>
        <w:rPr>
          <w:rFonts w:ascii="Calibri" w:cs="Calibri" w:eastAsia="Calibri" w:hAnsi="Calibri"/>
          <w:color w:val="131A18"/>
          <w:sz w:val="21"/>
          <w:szCs w:val="21"/>
        </w:rPr>
        <w:t xml:space="preserve">When an engineer picks up an application error or a vulnerability report, the work divides into two parts: working out what is going on, and fixing it. The second part is often minutes. The first routinely takes days.</w:t>
      </w:r>
    </w:p>
    <w:p>
      <w:pPr>
        <w:spacing w:after="140" w:line="276"/>
      </w:pPr>
      <w:r>
        <w:rPr>
          <w:rFonts w:ascii="Calibri" w:cs="Calibri" w:eastAsia="Calibri" w:hAnsi="Calibri"/>
          <w:color w:val="131A18"/>
          <w:sz w:val="21"/>
          <w:szCs w:val="21"/>
        </w:rPr>
        <w:t xml:space="preserve">It takes days because there is no way to know whether a precedent exists. So the engineer reads the documentation, searches related email threads, and asks colleagues whether anyone has seen it before — completing that whole sweep before establishing whether the answer was already written down by someone else months ago. When it was, the exploration was wasted. When it was not, the exploration was necessary but nobody else benefits from it next time.</w:t>
      </w:r>
    </w:p>
    <w:p>
      <w:pPr>
        <w:spacing w:after="140" w:line="276"/>
      </w:pPr>
      <w:r>
        <w:rPr>
          <w:rFonts w:ascii="Calibri" w:cs="Calibri" w:eastAsia="Calibri" w:hAnsi="Calibri"/>
          <w:color w:val="131A18"/>
          <w:sz w:val="21"/>
          <w:szCs w:val="21"/>
        </w:rPr>
        <w:t xml:space="preserve">The knowledge that would shorten this exists, but not in the official documentation. It is in the investigation and resolution write-ups produced every time somebody solves one of these — and those live in individual reports and individual memories. </w:t>
      </w:r>
      <w:r>
        <w:rPr>
          <w:rFonts w:ascii="Calibri" w:cs="Calibri" w:eastAsia="Calibri" w:hAnsi="Calibri"/>
          <w:b/>
          <w:bCs/>
          <w:color w:val="131A18"/>
          <w:sz w:val="21"/>
          <w:szCs w:val="21"/>
        </w:rPr>
        <w:t xml:space="preserve">Objective 1 is about reaching knowledge that has been published. This one is about reaching knowledge we had to earn.</w:t>
      </w:r>
    </w:p>
    <w:p>
      <w:pPr>
        <w:spacing w:after="140" w:line="276"/>
      </w:pPr>
      <w:r>
        <w:rPr>
          <w:rFonts w:ascii="Calibri" w:cs="Calibri" w:eastAsia="Calibri" w:hAnsi="Calibri"/>
          <w:color w:val="131A18"/>
          <w:sz w:val="21"/>
          <w:szCs w:val="21"/>
        </w:rPr>
        <w:t xml:space="preserve">Two kinds of work sit here, and they behave the same way:</w:t>
      </w:r>
    </w:p>
    <w:p>
      <w:pPr>
        <w:pStyle w:val="ListParagraph"/>
        <w:numPr>
          <w:ilvl w:val="0"/>
          <w:numId w:val="2"/>
        </w:numPr>
        <w:spacing w:after="90" w:line="276"/>
      </w:pPr>
      <w:r>
        <w:rPr>
          <w:rFonts w:ascii="Calibri" w:cs="Calibri" w:eastAsia="Calibri" w:hAnsi="Calibri"/>
          <w:b/>
          <w:bCs/>
          <w:color w:val="131A18"/>
          <w:sz w:val="21"/>
          <w:szCs w:val="21"/>
        </w:rPr>
        <w:t xml:space="preserve">Application bugs and errors</w:t>
      </w:r>
      <w:r>
        <w:rPr>
          <w:rFonts w:ascii="Calibri" w:cs="Calibri" w:eastAsia="Calibri" w:hAnsi="Calibri"/>
          <w:color w:val="131A18"/>
          <w:sz w:val="21"/>
          <w:szCs w:val="21"/>
        </w:rPr>
        <w:t xml:space="preserve"> — where a colleague has almost certainly met something similar.</w:t>
      </w:r>
    </w:p>
    <w:p>
      <w:pPr>
        <w:pStyle w:val="ListParagraph"/>
        <w:numPr>
          <w:ilvl w:val="0"/>
          <w:numId w:val="2"/>
        </w:numPr>
        <w:spacing w:after="90" w:line="276"/>
      </w:pPr>
      <w:r>
        <w:rPr>
          <w:rFonts w:ascii="Calibri" w:cs="Calibri" w:eastAsia="Calibri" w:hAnsi="Calibri"/>
          <w:b/>
          <w:bCs/>
          <w:color w:val="131A18"/>
          <w:sz w:val="21"/>
          <w:szCs w:val="21"/>
        </w:rPr>
        <w:t xml:space="preserve">Vulnerability handling</w:t>
      </w:r>
      <w:r>
        <w:rPr>
          <w:rFonts w:ascii="Calibri" w:cs="Calibri" w:eastAsia="Calibri" w:hAnsi="Calibri"/>
          <w:color w:val="131A18"/>
          <w:sz w:val="21"/>
          <w:szCs w:val="21"/>
        </w:rPr>
        <w:t xml:space="preserve"> — where a report arrives, is distributed across the team, and each engineer investigates and remediates for their own case or server. Our accumulated assessments describe how vulnerabilities actually affect our products, which no external source knows.</w:t>
      </w:r>
    </w:p>
    <w:p>
      <w:pPr>
        <w:spacing w:after="140" w:line="276"/>
      </w:pPr>
      <w:r>
        <w:rPr>
          <w:rFonts w:ascii="Calibri" w:cs="Calibri" w:eastAsia="Calibri" w:hAnsi="Calibri"/>
          <w:color w:val="131A18"/>
          <w:sz w:val="21"/>
          <w:szCs w:val="21"/>
        </w:rPr>
        <w:t xml:space="preserve">The question we want answerable in seconds is the one that currently takes days to even ask: have we seen this before, and what did we actually do about it?</w:t>
      </w:r>
    </w:p>
    <w:p>
      <w:pPr>
        <w:pStyle w:val="Heading2"/>
        <w:spacing w:after="110" w:before="280"/>
      </w:pPr>
      <w:r>
        <w:rPr>
          <w:rFonts w:ascii="Calibri" w:cs="Calibri" w:eastAsia="Calibri" w:hAnsi="Calibri"/>
          <w:b/>
          <w:bCs/>
          <w:color w:val="131A18"/>
          <w:sz w:val="23"/>
          <w:szCs w:val="23"/>
        </w:rPr>
        <w:t xml:space="preserve">Objective 3 — One place to start the day</w:t>
      </w:r>
    </w:p>
    <w:p>
      <w:pPr>
        <w:spacing w:after="140" w:line="276"/>
      </w:pPr>
      <w:r>
        <w:rPr>
          <w:rFonts w:ascii="Calibri" w:cs="Calibri" w:eastAsia="Calibri" w:hAnsi="Calibri"/>
          <w:color w:val="131A18"/>
          <w:sz w:val="21"/>
          <w:szCs w:val="21"/>
        </w:rPr>
        <w:t xml:space="preserve">A working day currently begins by checking several systems in turn to establish what needs attention — Jira for issues, Salesforce for cases, ServiceNow for vulnerability records, the databases for whatever is running. Reconstructing that picture is a daily tax, and it is paid before any actual work starts.</w:t>
      </w:r>
    </w:p>
    <w:p>
      <w:pPr>
        <w:spacing w:after="140" w:line="276"/>
      </w:pPr>
      <w:r>
        <w:rPr>
          <w:rFonts w:ascii="Calibri" w:cs="Calibri" w:eastAsia="Calibri" w:hAnsi="Calibri"/>
          <w:color w:val="131A18"/>
          <w:sz w:val="21"/>
          <w:szCs w:val="21"/>
        </w:rPr>
        <w:t xml:space="preserve">Kortex is intended to present that picture in one place, scoped to the individual: what has moved, what is waiting, what needs a decision — and then let the person act on it without leaving. Salesforce, ServiceNow, Jira, Office 365 and our database administration application are integrated to make this possible, but the integration is the method, not the point. The point is being able to start.</w:t>
      </w:r>
    </w:p>
    <w:p>
      <w:pPr>
        <w:spacing w:after="140" w:line="276"/>
      </w:pPr>
      <w:r>
        <w:rPr>
          <w:rFonts w:ascii="Calibri" w:cs="Calibri" w:eastAsia="Calibri" w:hAnsi="Calibri"/>
          <w:color w:val="131A18"/>
          <w:sz w:val="21"/>
          <w:szCs w:val="21"/>
        </w:rPr>
        <w:t xml:space="preserve">The case-oriented integrations handle client-identifying content and therefore carry a higher classification than the rest of the platform; Section 7 sets out how we propose to treat them.</w:t>
      </w:r>
    </w:p>
    <w:p>
      <w:pPr>
        <w:pStyle w:val="Heading2"/>
        <w:spacing w:after="110" w:before="280"/>
      </w:pPr>
      <w:r>
        <w:rPr>
          <w:rFonts w:ascii="Calibri" w:cs="Calibri" w:eastAsia="Calibri" w:hAnsi="Calibri"/>
          <w:b/>
          <w:bCs/>
          <w:color w:val="131A18"/>
          <w:sz w:val="23"/>
          <w:szCs w:val="23"/>
        </w:rPr>
        <w:t xml:space="preserve">Objective 4 — Build AI development skills in the team</w:t>
      </w:r>
    </w:p>
    <w:p>
      <w:pPr>
        <w:spacing w:after="140" w:line="276"/>
      </w:pPr>
      <w:r>
        <w:rPr>
          <w:rFonts w:ascii="Calibri" w:cs="Calibri" w:eastAsia="Calibri" w:hAnsi="Calibri"/>
          <w:color w:val="131A18"/>
          <w:sz w:val="21"/>
          <w:szCs w:val="21"/>
        </w:rPr>
        <w:t xml:space="preserve">The team is new to building with AI, and this initiative is deliberately also a learning exercise. The intent is to expand the team's skillset with the technologies this kind of work requires — retrieval, orchestration, evaluation, and the frameworks around them, of which LangChain is one example among several — rather than to acquire a single tool.</w:t>
      </w:r>
    </w:p>
    <w:p>
      <w:pPr>
        <w:spacing w:after="140" w:line="276"/>
      </w:pPr>
      <w:r>
        <w:rPr>
          <w:rFonts w:ascii="Calibri" w:cs="Calibri" w:eastAsia="Calibri" w:hAnsi="Calibri"/>
          <w:color w:val="131A18"/>
          <w:sz w:val="21"/>
          <w:szCs w:val="21"/>
        </w:rPr>
        <w:t xml:space="preserve">The expected return is optionality. A team that understands how these systems are built recognises where else they would help, and can judge what to build, what to buy and what to leave alone. We would equally welcome the CoE pointing us toward teams further ahead than us; learning in that direction is the more valuable one.</w:t>
      </w:r>
    </w:p>
    <w:p>
      <w:pPr>
        <w:spacing w:after="60"/>
      </w:pPr>
    </w:p>
    <w:tbl>
      <w:tblPr>
        <w:tblW w:type="dxa" w:w="9360"/>
        <w:tblBorders>
          <w:top w:val="none" w:color="FFFFFF" w:sz="0"/>
          <w:left w:val="single" w:color="0E6B60" w:sz="12"/>
          <w:bottom w:val="none" w:color="FFFFFF" w:sz="0"/>
          <w:right w:val="none" w:color="FFFFFF" w:sz="0"/>
          <w:insideH w:val="none" w:color="FFFFFF" w:sz="0"/>
          <w:insideV w:val="none" w:color="FFFFFF" w:sz="0"/>
        </w:tblBorders>
      </w:tblPr>
      <w:tblGrid>
        <w:gridCol w:w="9360"/>
      </w:tblGrid>
      <w:tr>
        <w:tc>
          <w:tcPr>
            <w:tcW w:type="dxa" w:w="9360"/>
            <w:shd w:fill="F2F6F5" w:val="clear"/>
            <w:tcMar>
              <w:top w:type="dxa" w:w="160"/>
              <w:left w:type="dxa" w:w="220"/>
              <w:bottom w:type="dxa" w:w="160"/>
              <w:right w:type="dxa" w:w="220"/>
            </w:tcMar>
          </w:tcPr>
          <w:p>
            <w:pPr>
              <w:spacing w:after="80"/>
            </w:pPr>
            <w:r>
              <w:rPr>
                <w:rFonts w:ascii="Consolas" w:cs="Consolas" w:eastAsia="Consolas" w:hAnsi="Consolas"/>
                <w:b/>
                <w:bCs/>
                <w:color w:val="0E6B60"/>
                <w:spacing w:val="30"/>
                <w:sz w:val="15"/>
                <w:szCs w:val="15"/>
              </w:rPr>
              <w:t xml:space="preserve">ON BENEFIT MEASUREMENT</w:t>
            </w:r>
          </w:p>
          <w:p>
            <w:pPr>
              <w:spacing w:after="100" w:line="276"/>
            </w:pPr>
            <w:r>
              <w:rPr>
                <w:rFonts w:ascii="Calibri" w:cs="Calibri" w:eastAsia="Calibri" w:hAnsi="Calibri"/>
                <w:color w:val="131A18"/>
                <w:sz w:val="20"/>
                <w:szCs w:val="20"/>
              </w:rPr>
              <w:t xml:space="preserve">We do not have a measured baseline for any of these objectives, and at this stage we would not expect to. Figures quoted now would be estimates presented as evidence.</w:t>
            </w:r>
          </w:p>
          <w:p>
            <w:pPr>
              <w:spacing w:after="0" w:line="276"/>
            </w:pPr>
            <w:r>
              <w:rPr>
                <w:rFonts w:ascii="Calibri" w:cs="Calibri" w:eastAsia="Calibri" w:hAnsi="Calibri"/>
                <w:color w:val="131A18"/>
                <w:sz w:val="20"/>
                <w:szCs w:val="20"/>
              </w:rPr>
              <w:t xml:space="preserve">We propose instead that establishing a baseline becomes a condition of proceeding past prototype: across the DevOps and Client Services pilot, instrument how long a defined set of questions takes to answer today against how long it takes through Kortex, over a four-week window. The telemetry needed to do this is already part of the design.</w:t>
            </w:r>
          </w:p>
        </w:tc>
      </w:tr>
    </w:tbl>
    <w:p>
      <w:pPr>
        <w:pStyle w:val="Heading1"/>
        <w:pBdr>
          <w:bottom w:val="single" w:color="D9E0DE" w:sz="6" w:space="6"/>
        </w:pBdr>
        <w:spacing w:after="180" w:before="420"/>
      </w:pPr>
      <w:r>
        <w:rPr>
          <w:rFonts w:ascii="Calibri" w:cs="Calibri" w:eastAsia="Calibri" w:hAnsi="Calibri"/>
          <w:b/>
          <w:bCs/>
          <w:color w:val="131A18"/>
          <w:sz w:val="30"/>
          <w:szCs w:val="30"/>
        </w:rPr>
        <w:t xml:space="preserve">3. Use cases</w:t>
      </w:r>
    </w:p>
    <w:p>
      <w:pPr>
        <w:spacing w:after="140" w:line="276"/>
      </w:pPr>
      <w:r>
        <w:rPr>
          <w:rFonts w:ascii="Calibri" w:cs="Calibri" w:eastAsia="Calibri" w:hAnsi="Calibri"/>
          <w:color w:val="131A18"/>
          <w:sz w:val="21"/>
          <w:szCs w:val="21"/>
        </w:rPr>
        <w:t xml:space="preserve">Seven use cases have been identified, all within Kortex. Several are delivered through skills — self-contained integrations with Salesforce, ServiceNow, Jira, Office 365 and our database administration application — which Kortex agents call.</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900"/>
        <w:gridCol w:w="2100"/>
        <w:gridCol w:w="5060"/>
        <w:gridCol w:w="1300"/>
      </w:tblGrid>
      <w:tr>
        <w:trPr>
          <w:tblHeader/>
        </w:trPr>
        <w:tc>
          <w:tcPr>
            <w:tcW w:type="dxa" w:w="9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REF</w:t>
            </w:r>
          </w:p>
        </w:tc>
        <w:tc>
          <w:tcPr>
            <w:tcW w:type="dxa" w:w="21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USE CASE</w:t>
            </w:r>
          </w:p>
        </w:tc>
        <w:tc>
          <w:tcPr>
            <w:tcW w:type="dxa" w:w="50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HOW IT WORKS</w:t>
            </w:r>
          </w:p>
        </w:tc>
        <w:tc>
          <w:tcPr>
            <w:tcW w:type="dxa" w:w="13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STATUS</w:t>
            </w:r>
          </w:p>
        </w:tc>
      </w:tr>
      <w:tr>
        <w:tc>
          <w:tcPr>
            <w:tcW w:type="dxa" w:w="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UC-01</w:t>
            </w:r>
          </w:p>
        </w:tc>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Product documentation Q&amp;A</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Semantic retrieval over the ingested corpus, with relevance grading and a web-search fallback when internal documents do not answer the question.</w:t>
            </w:r>
          </w:p>
        </w:tc>
        <w:tc>
          <w:tcPr>
            <w:tcW w:type="dxa" w:w="13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Working</w:t>
            </w:r>
          </w:p>
        </w:tc>
      </w:tr>
      <w:tr>
        <w:tc>
          <w:tcPr>
            <w:tcW w:type="dxa" w:w="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UC-02</w:t>
            </w:r>
          </w:p>
        </w:tc>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CVE impact assessment</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Correlates an incoming advisory with our own investigation and resolution history. Vulnerability report data is read-only to us.</w:t>
            </w:r>
          </w:p>
        </w:tc>
        <w:tc>
          <w:tcPr>
            <w:tcW w:type="dxa" w:w="13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Planned</w:t>
            </w:r>
          </w:p>
        </w:tc>
      </w:tr>
      <w:tr>
        <w:tc>
          <w:tcPr>
            <w:tcW w:type="dxa" w:w="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UC-03</w:t>
            </w:r>
          </w:p>
        </w:tc>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Database operations</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Database questions and operations routed to our existing database administration service. Includes write operations — see Section 7.</w:t>
            </w:r>
          </w:p>
        </w:tc>
        <w:tc>
          <w:tcPr>
            <w:tcW w:type="dxa" w:w="13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Working</w:t>
            </w:r>
          </w:p>
        </w:tc>
      </w:tr>
      <w:tr>
        <w:tc>
          <w:tcPr>
            <w:tcW w:type="dxa" w:w="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UC-04</w:t>
            </w:r>
          </w:p>
        </w:tc>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Document corpus management</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Admin interface to browse, upload and delete ingested documents, with asynchronous processing and content-hash deduplication.</w:t>
            </w:r>
          </w:p>
        </w:tc>
        <w:tc>
          <w:tcPr>
            <w:tcW w:type="dxa" w:w="13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Partial</w:t>
            </w:r>
          </w:p>
        </w:tc>
      </w:tr>
      <w:tr>
        <w:tc>
          <w:tcPr>
            <w:tcW w:type="dxa" w:w="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UC-05</w:t>
            </w:r>
          </w:p>
        </w:tc>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Daily operational digest</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Per-agent daily reports aggregated into a single view, which can be carried into a chat session for follow-up questions.</w:t>
            </w:r>
          </w:p>
        </w:tc>
        <w:tc>
          <w:tcPr>
            <w:tcW w:type="dxa" w:w="13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Partial</w:t>
            </w:r>
          </w:p>
        </w:tc>
      </w:tr>
      <w:tr>
        <w:tc>
          <w:tcPr>
            <w:tcW w:type="dxa" w:w="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UC-06</w:t>
            </w:r>
          </w:p>
        </w:tc>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Case 360° triage</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Pulls a Salesforce case together with related ServiceNow, Jira and Office 365 context. Client-identifying content — higher classification.</w:t>
            </w:r>
          </w:p>
        </w:tc>
        <w:tc>
          <w:tcPr>
            <w:tcW w:type="dxa" w:w="13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Partial</w:t>
            </w:r>
          </w:p>
        </w:tc>
      </w:tr>
      <w:tr>
        <w:tc>
          <w:tcPr>
            <w:tcW w:type="dxa" w:w="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UC-07</w:t>
            </w:r>
          </w:p>
        </w:tc>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Role-based profiles</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Curated instruction sets per profile so day-to-day assistant use follows team conventions.</w:t>
            </w:r>
          </w:p>
        </w:tc>
        <w:tc>
          <w:tcPr>
            <w:tcW w:type="dxa" w:w="13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Partial</w:t>
            </w:r>
          </w:p>
        </w:tc>
      </w:tr>
    </w:tbl>
    <w:p>
      <w:pPr>
        <w:spacing w:after="200"/>
      </w:pPr>
    </w:p>
    <w:p>
      <w:pPr>
        <w:pStyle w:val="Heading2"/>
        <w:spacing w:after="110" w:before="280"/>
      </w:pPr>
      <w:r>
        <w:rPr>
          <w:rFonts w:ascii="Calibri" w:cs="Calibri" w:eastAsia="Calibri" w:hAnsi="Calibri"/>
          <w:b/>
          <w:bCs/>
          <w:color w:val="131A18"/>
          <w:sz w:val="23"/>
          <w:szCs w:val="23"/>
        </w:rPr>
        <w:t xml:space="preserve">Planned, held pending the model decision</w:t>
      </w:r>
    </w:p>
    <w:p>
      <w:pPr>
        <w:pStyle w:val="ListParagraph"/>
        <w:numPr>
          <w:ilvl w:val="0"/>
          <w:numId w:val="2"/>
        </w:numPr>
        <w:spacing w:after="90" w:line="276"/>
      </w:pPr>
      <w:r>
        <w:rPr>
          <w:rFonts w:ascii="Calibri" w:cs="Calibri" w:eastAsia="Calibri" w:hAnsi="Calibri"/>
          <w:b/>
          <w:bCs/>
          <w:color w:val="131A18"/>
          <w:sz w:val="21"/>
          <w:szCs w:val="21"/>
        </w:rPr>
        <w:t xml:space="preserve">User-selectable models</w:t>
      </w:r>
      <w:r>
        <w:rPr>
          <w:rFonts w:ascii="Calibri" w:cs="Calibri" w:eastAsia="Calibri" w:hAnsi="Calibri"/>
          <w:color w:val="131A18"/>
          <w:sz w:val="21"/>
          <w:szCs w:val="21"/>
        </w:rPr>
        <w:t xml:space="preserve"> — letting users pick a model per task, with the interface adapting to reasoning, tool-calling and vision capability. Specified, not built.</w:t>
      </w:r>
    </w:p>
    <w:p>
      <w:pPr>
        <w:pStyle w:val="ListParagraph"/>
        <w:numPr>
          <w:ilvl w:val="0"/>
          <w:numId w:val="2"/>
        </w:numPr>
        <w:spacing w:after="90" w:line="276"/>
      </w:pPr>
      <w:r>
        <w:rPr>
          <w:rFonts w:ascii="Calibri" w:cs="Calibri" w:eastAsia="Calibri" w:hAnsi="Calibri"/>
          <w:b/>
          <w:bCs/>
          <w:color w:val="131A18"/>
          <w:sz w:val="21"/>
          <w:szCs w:val="21"/>
        </w:rPr>
        <w:t xml:space="preserve">Image input</w:t>
      </w:r>
      <w:r>
        <w:rPr>
          <w:rFonts w:ascii="Calibri" w:cs="Calibri" w:eastAsia="Calibri" w:hAnsi="Calibri"/>
          <w:color w:val="131A18"/>
          <w:sz w:val="21"/>
          <w:szCs w:val="21"/>
        </w:rPr>
        <w:t xml:space="preserve"> — attaching a screenshot to a question. Support work is largely visual: an error dialog, a stack trace, a configuration screen. Ingesting case-specific troubleshooting documentation makes this more useful still, since much of that material is itself screenshots.</w:t>
      </w:r>
    </w:p>
    <w:p>
      <w:pPr>
        <w:pStyle w:val="Heading2"/>
        <w:spacing w:after="110" w:before="280"/>
      </w:pPr>
      <w:r>
        <w:rPr>
          <w:rFonts w:ascii="Calibri" w:cs="Calibri" w:eastAsia="Calibri" w:hAnsi="Calibri"/>
          <w:b/>
          <w:bCs/>
          <w:color w:val="131A18"/>
          <w:sz w:val="23"/>
          <w:szCs w:val="23"/>
        </w:rPr>
        <w:t xml:space="preserve">Evaluated and rejected</w:t>
      </w:r>
    </w:p>
    <w:p>
      <w:pPr>
        <w:pStyle w:val="ListParagraph"/>
        <w:numPr>
          <w:ilvl w:val="0"/>
          <w:numId w:val="2"/>
        </w:numPr>
        <w:spacing w:after="90" w:line="276"/>
      </w:pPr>
      <w:r>
        <w:rPr>
          <w:rFonts w:ascii="Calibri" w:cs="Calibri" w:eastAsia="Calibri" w:hAnsi="Calibri"/>
          <w:b/>
          <w:bCs/>
          <w:color w:val="131A18"/>
          <w:sz w:val="21"/>
          <w:szCs w:val="21"/>
        </w:rPr>
        <w:t xml:space="preserve">Hosted web search.</w:t>
      </w:r>
      <w:r>
        <w:rPr>
          <w:rFonts w:ascii="Calibri" w:cs="Calibri" w:eastAsia="Calibri" w:hAnsi="Calibri"/>
          <w:color w:val="131A18"/>
          <w:sz w:val="21"/>
          <w:szCs w:val="21"/>
        </w:rPr>
        <w:t xml:space="preserve"> Its free tier could not carry our usage, and paying for one would have placed a history of what Finastra staff research with a third party under contract. We run self-hosted metasearch instead — a container inside the Kortex stack, with no external API dependency, no vendor account and no key.</w:t>
      </w:r>
    </w:p>
    <w:p>
      <w:pPr>
        <w:pStyle w:val="Heading1"/>
        <w:pBdr>
          <w:bottom w:val="single" w:color="D9E0DE" w:sz="6" w:space="6"/>
        </w:pBdr>
        <w:spacing w:after="180" w:before="420"/>
      </w:pPr>
      <w:r>
        <w:rPr>
          <w:rFonts w:ascii="Calibri" w:cs="Calibri" w:eastAsia="Calibri" w:hAnsi="Calibri"/>
          <w:b/>
          <w:bCs/>
          <w:color w:val="131A18"/>
          <w:sz w:val="30"/>
          <w:szCs w:val="30"/>
        </w:rPr>
        <w:t xml:space="preserve">4. Where the project stands</w:t>
      </w:r>
    </w:p>
    <w:p>
      <w:pPr>
        <w:spacing w:after="140" w:line="276"/>
      </w:pPr>
      <w:r>
        <w:rPr>
          <w:rFonts w:ascii="Calibri" w:cs="Calibri" w:eastAsia="Calibri" w:hAnsi="Calibri"/>
          <w:color w:val="131A18"/>
          <w:sz w:val="21"/>
          <w:szCs w:val="21"/>
        </w:rPr>
        <w:t xml:space="preserve">We would rather be direct about this than present the initiative as further along than it is.</w:t>
      </w:r>
    </w:p>
    <w:p>
      <w:pPr>
        <w:pStyle w:val="Heading2"/>
        <w:spacing w:after="110" w:before="280"/>
      </w:pPr>
      <w:r>
        <w:rPr>
          <w:rFonts w:ascii="Calibri" w:cs="Calibri" w:eastAsia="Calibri" w:hAnsi="Calibri"/>
          <w:b/>
          <w:bCs/>
          <w:color w:val="131A18"/>
          <w:sz w:val="23"/>
          <w:szCs w:val="23"/>
        </w:rPr>
        <w:t xml:space="preserve">What has been demonstrated</w:t>
      </w:r>
    </w:p>
    <w:p>
      <w:pPr>
        <w:spacing w:after="140" w:line="276"/>
      </w:pPr>
      <w:r>
        <w:rPr>
          <w:rFonts w:ascii="Calibri" w:cs="Calibri" w:eastAsia="Calibri" w:hAnsi="Calibri"/>
          <w:color w:val="131A18"/>
          <w:sz w:val="21"/>
          <w:szCs w:val="21"/>
        </w:rPr>
        <w:t xml:space="preserve">The core pattern works end to end: sign-in, role-based access, semantic retrieval over an ingested corpus, streamed answers with source citations, and conversation memory. The multi-agent extension is written and structurally complete, but has not been validated against real questions or real users.</w:t>
      </w:r>
    </w:p>
    <w:p>
      <w:pPr>
        <w:pStyle w:val="Heading2"/>
        <w:spacing w:after="110" w:before="280"/>
      </w:pPr>
      <w:r>
        <w:rPr>
          <w:rFonts w:ascii="Calibri" w:cs="Calibri" w:eastAsia="Calibri" w:hAnsi="Calibri"/>
          <w:b/>
          <w:bCs/>
          <w:color w:val="131A18"/>
          <w:sz w:val="23"/>
          <w:szCs w:val="23"/>
        </w:rPr>
        <w:t xml:space="preserve">What has stopped</w:t>
      </w:r>
    </w:p>
    <w:tbl>
      <w:tblPr>
        <w:tblW w:type="dxa" w:w="9360"/>
        <w:tblBorders>
          <w:top w:val="none" w:color="FFFFFF" w:sz="0"/>
          <w:left w:val="single" w:color="A33C22" w:sz="12"/>
          <w:bottom w:val="none" w:color="FFFFFF" w:sz="0"/>
          <w:right w:val="none" w:color="FFFFFF" w:sz="0"/>
          <w:insideH w:val="none" w:color="FFFFFF" w:sz="0"/>
          <w:insideV w:val="none" w:color="FFFFFF" w:sz="0"/>
        </w:tblBorders>
      </w:tblPr>
      <w:tblGrid>
        <w:gridCol w:w="9360"/>
      </w:tblGrid>
      <w:tr>
        <w:tc>
          <w:tcPr>
            <w:tcW w:type="dxa" w:w="9360"/>
            <w:shd w:fill="FBF0EC" w:val="clear"/>
            <w:tcMar>
              <w:top w:type="dxa" w:w="160"/>
              <w:left w:type="dxa" w:w="220"/>
              <w:bottom w:type="dxa" w:w="160"/>
              <w:right w:type="dxa" w:w="220"/>
            </w:tcMar>
          </w:tcPr>
          <w:p>
            <w:pPr>
              <w:spacing w:after="80"/>
            </w:pPr>
            <w:r>
              <w:rPr>
                <w:rFonts w:ascii="Consolas" w:cs="Consolas" w:eastAsia="Consolas" w:hAnsi="Consolas"/>
                <w:b/>
                <w:bCs/>
                <w:color w:val="A33C22"/>
                <w:spacing w:val="30"/>
                <w:sz w:val="15"/>
                <w:szCs w:val="15"/>
              </w:rPr>
              <w:t xml:space="preserve">DEVELOPMENT IS BLOCKED</w:t>
            </w:r>
          </w:p>
          <w:p>
            <w:pPr>
              <w:spacing w:after="100" w:line="276"/>
            </w:pPr>
            <w:r>
              <w:rPr>
                <w:rFonts w:ascii="Calibri" w:cs="Calibri" w:eastAsia="Calibri" w:hAnsi="Calibri"/>
                <w:color w:val="131A18"/>
                <w:sz w:val="20"/>
                <w:szCs w:val="20"/>
              </w:rPr>
              <w:t xml:space="preserve">Kortex was built against </w:t>
            </w:r>
            <w:r>
              <w:rPr>
                <w:rFonts w:ascii="Calibri" w:cs="Calibri" w:eastAsia="Calibri" w:hAnsi="Calibri"/>
                <w:b/>
                <w:bCs/>
                <w:color w:val="131A18"/>
                <w:sz w:val="20"/>
                <w:szCs w:val="20"/>
              </w:rPr>
              <w:t xml:space="preserve">GitHub Models</w:t>
            </w:r>
            <w:r>
              <w:rPr>
                <w:rFonts w:ascii="Calibri" w:cs="Calibri" w:eastAsia="Calibri" w:hAnsi="Calibri"/>
                <w:color w:val="131A18"/>
                <w:sz w:val="20"/>
                <w:szCs w:val="20"/>
              </w:rPr>
              <w:t xml:space="preserve"> for both chat inference and embeddings. That service has now been fully retired. Every path through the system depends on it — answering, intent classification, document grading and corpus embedding — so development has halted rather than slowed.</w:t>
            </w:r>
          </w:p>
          <w:p>
            <w:pPr>
              <w:spacing w:after="0" w:line="276"/>
            </w:pPr>
            <w:r>
              <w:rPr>
                <w:rFonts w:ascii="Calibri" w:cs="Calibri" w:eastAsia="Calibri" w:hAnsi="Calibri"/>
                <w:color w:val="131A18"/>
                <w:sz w:val="20"/>
                <w:szCs w:val="20"/>
              </w:rPr>
              <w:t xml:space="preserve">This is the single reason we are bringing the submission now rather than after further build.</w:t>
            </w:r>
          </w:p>
        </w:tc>
      </w:tr>
    </w:tbl>
    <w:p>
      <w:pPr>
        <w:spacing w:after="140"/>
      </w:pPr>
    </w:p>
    <w:p>
      <w:pPr>
        <w:spacing w:after="140" w:line="276"/>
      </w:pPr>
      <w:r>
        <w:rPr>
          <w:rFonts w:ascii="Calibri" w:cs="Calibri" w:eastAsia="Calibri" w:hAnsi="Calibri"/>
          <w:color w:val="131A18"/>
          <w:sz w:val="21"/>
          <w:szCs w:val="21"/>
        </w:rPr>
        <w:t xml:space="preserve">In fairness to the decision that has been made for us: GitHub Models was an experimentation-tier service, and the prototype had already run into its limits. Our own status report records first responses taking around a minute because of rate-limit backoff, and the ingestion pipeline carries a deliberate pause between embedding batches for the same reason. We would have had to move to a production-grade inference service regardless.</w:t>
      </w:r>
    </w:p>
    <w:p>
      <w:pPr>
        <w:pStyle w:val="Heading2"/>
        <w:spacing w:after="110" w:before="280"/>
      </w:pPr>
      <w:r>
        <w:rPr>
          <w:rFonts w:ascii="Calibri" w:cs="Calibri" w:eastAsia="Calibri" w:hAnsi="Calibri"/>
          <w:b/>
          <w:bCs/>
          <w:color w:val="131A18"/>
          <w:sz w:val="23"/>
          <w:szCs w:val="23"/>
        </w:rPr>
        <w:t xml:space="preserve">Why this is a procurement question, not an engineering one</w:t>
      </w:r>
    </w:p>
    <w:p>
      <w:pPr>
        <w:spacing w:after="140" w:line="276"/>
      </w:pPr>
      <w:r>
        <w:rPr>
          <w:rFonts w:ascii="Calibri" w:cs="Calibri" w:eastAsia="Calibri" w:hAnsi="Calibri"/>
          <w:color w:val="131A18"/>
          <w:sz w:val="21"/>
          <w:szCs w:val="21"/>
        </w:rPr>
        <w:t xml:space="preserve">The model client is built against an OpenAI-compatible interface with a configurable endpoint. Any provider offering that interface is a </w:t>
      </w:r>
      <w:r>
        <w:rPr>
          <w:rFonts w:ascii="Calibri" w:cs="Calibri" w:eastAsia="Calibri" w:hAnsi="Calibri"/>
          <w:b/>
          <w:bCs/>
          <w:color w:val="131A18"/>
          <w:sz w:val="21"/>
          <w:szCs w:val="21"/>
        </w:rPr>
        <w:t xml:space="preserve">configuration change</w:t>
      </w:r>
      <w:r>
        <w:rPr>
          <w:rFonts w:ascii="Calibri" w:cs="Calibri" w:eastAsia="Calibri" w:hAnsi="Calibri"/>
          <w:color w:val="131A18"/>
          <w:sz w:val="21"/>
          <w:szCs w:val="21"/>
        </w:rPr>
        <w:t xml:space="preserve"> — endpoint, credential, model name — not a redesign. The architecture in Section 5 is unaffected by which provider is chosen.</w:t>
      </w:r>
    </w:p>
    <w:p>
      <w:pPr>
        <w:spacing w:after="140" w:line="276"/>
      </w:pPr>
      <w:r>
        <w:rPr>
          <w:rFonts w:ascii="Calibri" w:cs="Calibri" w:eastAsia="Calibri" w:hAnsi="Calibri"/>
          <w:color w:val="131A18"/>
          <w:sz w:val="21"/>
          <w:szCs w:val="21"/>
        </w:rPr>
        <w:t xml:space="preserve">There is one real migration cost. The embedding model determines the vector dimensions of the corpus index, so </w:t>
      </w:r>
      <w:r>
        <w:rPr>
          <w:rFonts w:ascii="Calibri" w:cs="Calibri" w:eastAsia="Calibri" w:hAnsi="Calibri"/>
          <w:b/>
          <w:bCs/>
          <w:color w:val="131A18"/>
          <w:sz w:val="21"/>
          <w:szCs w:val="21"/>
        </w:rPr>
        <w:t xml:space="preserve">changing embedding provider means re-embedding the entire corpus</w:t>
      </w:r>
      <w:r>
        <w:rPr>
          <w:rFonts w:ascii="Calibri" w:cs="Calibri" w:eastAsia="Calibri" w:hAnsi="Calibri"/>
          <w:color w:val="131A18"/>
          <w:sz w:val="21"/>
          <w:szCs w:val="21"/>
        </w:rPr>
        <w:t xml:space="preserve"> and recreating the index. That is manageable now, while the corpus is small, and progressively less so later.</w:t>
      </w:r>
    </w:p>
    <w:p>
      <w:pPr>
        <w:pStyle w:val="Heading2"/>
        <w:spacing w:after="110" w:before="280"/>
      </w:pPr>
      <w:r>
        <w:rPr>
          <w:rFonts w:ascii="Calibri" w:cs="Calibri" w:eastAsia="Calibri" w:hAnsi="Calibri"/>
          <w:b/>
          <w:bCs/>
          <w:color w:val="131A18"/>
          <w:sz w:val="23"/>
          <w:szCs w:val="23"/>
        </w:rPr>
        <w:t xml:space="preserve">Options, for the CoE to rule on</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2400"/>
        <w:gridCol w:w="3100"/>
        <w:gridCol w:w="1360"/>
        <w:gridCol w:w="2500"/>
      </w:tblGrid>
      <w:tr>
        <w:trPr>
          <w:tblHeader/>
        </w:trPr>
        <w:tc>
          <w:tcPr>
            <w:tcW w:type="dxa" w:w="24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OPTION</w:t>
            </w:r>
          </w:p>
        </w:tc>
        <w:tc>
          <w:tcPr>
            <w:tcW w:type="dxa" w:w="31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DATA HANDLING POSTURE</w:t>
            </w:r>
          </w:p>
        </w:tc>
        <w:tc>
          <w:tcPr>
            <w:tcW w:type="dxa" w:w="13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EFFORT</w:t>
            </w:r>
          </w:p>
        </w:tc>
        <w:tc>
          <w:tcPr>
            <w:tcW w:type="dxa" w:w="25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NOTES</w:t>
            </w:r>
          </w:p>
        </w:tc>
      </w:tr>
      <w:tr>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Tenant-scoped managed service on Finastra's existing cloud platform</w:t>
            </w:r>
          </w:p>
        </w:tc>
        <w:tc>
          <w:tcPr>
            <w:tcW w:type="dxa" w:w="3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Contractual no-training commitment, controllable processing region, private connectivity typically available</w:t>
            </w:r>
          </w:p>
        </w:tc>
        <w:tc>
          <w:tcPr>
            <w:tcW w:type="dxa" w:w="13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Configuration</w:t>
            </w:r>
          </w:p>
        </w:tc>
        <w:tc>
          <w:tcPr>
            <w:tcW w:type="dxa" w:w="2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Likely the lowest-friction route if another Finastra team has already been assessed and onboarded.</w:t>
            </w:r>
          </w:p>
        </w:tc>
      </w:tr>
      <w:tr>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Managed model catalogue on an alternative hyperscaler</w:t>
            </w:r>
          </w:p>
        </w:tc>
        <w:tc>
          <w:tcPr>
            <w:tcW w:type="dxa" w:w="3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Broadly comparable, subject to contract</w:t>
            </w:r>
          </w:p>
        </w:tc>
        <w:tc>
          <w:tcPr>
            <w:tcW w:type="dxa" w:w="13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Configuration</w:t>
            </w:r>
          </w:p>
        </w:tc>
        <w:tc>
          <w:tcPr>
            <w:tcW w:type="dxa" w:w="2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Depends on existing platform commitments.</w:t>
            </w:r>
          </w:p>
        </w:tc>
      </w:tr>
      <w:tr>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Self-hosted open-weight models</w:t>
            </w:r>
          </w:p>
        </w:tc>
        <w:tc>
          <w:tcPr>
            <w:tcW w:type="dxa" w:w="3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Strongest — no content leaves Finastra infrastructure at all</w:t>
            </w:r>
          </w:p>
        </w:tc>
        <w:tc>
          <w:tcPr>
            <w:tcW w:type="dxa" w:w="13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Significant</w:t>
            </w:r>
          </w:p>
        </w:tc>
        <w:tc>
          <w:tcPr>
            <w:tcW w:type="dxa" w:w="2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Requires GPU capacity and operational ownership. Removes the only content egress in the design.</w:t>
            </w:r>
          </w:p>
        </w:tc>
      </w:tr>
      <w:tr>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Direct vendor API</w:t>
            </w:r>
          </w:p>
        </w:tc>
        <w:tc>
          <w:tcPr>
            <w:tcW w:type="dxa" w:w="3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Varies by contract</w:t>
            </w:r>
          </w:p>
        </w:tc>
        <w:tc>
          <w:tcPr>
            <w:tcW w:type="dxa" w:w="13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Configuration</w:t>
            </w:r>
          </w:p>
        </w:tc>
        <w:tc>
          <w:tcPr>
            <w:tcW w:type="dxa" w:w="2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Would need its own third-party risk assessment.</w:t>
            </w:r>
          </w:p>
        </w:tc>
      </w:tr>
    </w:tbl>
    <w:p>
      <w:pPr>
        <w:spacing w:after="180"/>
      </w:pPr>
    </w:p>
    <w:tbl>
      <w:tblPr>
        <w:tblW w:type="dxa" w:w="9360"/>
        <w:tblBorders>
          <w:top w:val="none" w:color="FFFFFF" w:sz="0"/>
          <w:left w:val="single" w:color="0E6B60" w:sz="12"/>
          <w:bottom w:val="none" w:color="FFFFFF" w:sz="0"/>
          <w:right w:val="none" w:color="FFFFFF" w:sz="0"/>
          <w:insideH w:val="none" w:color="FFFFFF" w:sz="0"/>
          <w:insideV w:val="none" w:color="FFFFFF" w:sz="0"/>
        </w:tblBorders>
      </w:tblPr>
      <w:tblGrid>
        <w:gridCol w:w="9360"/>
      </w:tblGrid>
      <w:tr>
        <w:tc>
          <w:tcPr>
            <w:tcW w:type="dxa" w:w="9360"/>
            <w:shd w:fill="F2F6F5" w:val="clear"/>
            <w:tcMar>
              <w:top w:type="dxa" w:w="160"/>
              <w:left w:type="dxa" w:w="220"/>
              <w:bottom w:type="dxa" w:w="160"/>
              <w:right w:type="dxa" w:w="220"/>
            </w:tcMar>
          </w:tcPr>
          <w:p>
            <w:pPr>
              <w:spacing w:after="80"/>
            </w:pPr>
            <w:r>
              <w:rPr>
                <w:rFonts w:ascii="Consolas" w:cs="Consolas" w:eastAsia="Consolas" w:hAnsi="Consolas"/>
                <w:b/>
                <w:bCs/>
                <w:color w:val="0E6B60"/>
                <w:spacing w:val="30"/>
                <w:sz w:val="15"/>
                <w:szCs w:val="15"/>
              </w:rPr>
              <w:t xml:space="preserve">OUR POSITION</w:t>
            </w:r>
          </w:p>
          <w:p>
            <w:pPr>
              <w:spacing w:after="0" w:line="276"/>
            </w:pPr>
            <w:r>
              <w:rPr>
                <w:rFonts w:ascii="Calibri" w:cs="Calibri" w:eastAsia="Calibri" w:hAnsi="Calibri"/>
                <w:color w:val="131A18"/>
                <w:sz w:val="20"/>
                <w:szCs w:val="20"/>
              </w:rPr>
              <w:t xml:space="preserve">We have no preference we would defend over the CoE's. The question that matters is which providers Finastra has already assessed and approved — which is precisely the case for bringing this to a central forum rather than each team solving it alone.</w:t>
            </w:r>
          </w:p>
        </w:tc>
      </w:tr>
    </w:tbl>
    <w:p>
      <w:pPr>
        <w:pStyle w:val="Heading2"/>
        <w:spacing w:after="110" w:before="280"/>
      </w:pPr>
      <w:r>
        <w:rPr>
          <w:rFonts w:ascii="Calibri" w:cs="Calibri" w:eastAsia="Calibri" w:hAnsi="Calibri"/>
          <w:b/>
          <w:bCs/>
          <w:color w:val="131A18"/>
          <w:sz w:val="23"/>
          <w:szCs w:val="23"/>
        </w:rPr>
        <w:t xml:space="preserve">What this now costs</w:t>
      </w:r>
    </w:p>
    <w:p>
      <w:pPr>
        <w:spacing w:after="140" w:line="276"/>
      </w:pPr>
      <w:r>
        <w:rPr>
          <w:rFonts w:ascii="Calibri" w:cs="Calibri" w:eastAsia="Calibri" w:hAnsi="Calibri"/>
          <w:color w:val="131A18"/>
          <w:sz w:val="21"/>
          <w:szCs w:val="21"/>
        </w:rPr>
        <w:t xml:space="preserve">Worth stating plainly, because it changes the business case. The prototype ran on a service that carried no marginal cost to us. Every replacement above has one: managed services charge per token, and self-hosting substitutes GPU capacity and operational ownership for that. </w:t>
      </w:r>
      <w:r>
        <w:rPr>
          <w:rFonts w:ascii="Calibri" w:cs="Calibri" w:eastAsia="Calibri" w:hAnsi="Calibri"/>
          <w:b/>
          <w:bCs/>
          <w:color w:val="131A18"/>
          <w:sz w:val="21"/>
          <w:szCs w:val="21"/>
        </w:rPr>
        <w:t xml:space="preserve">This initiative no longer carries zero marginal cost, and we are not going to present it as though it does.</w:t>
      </w:r>
    </w:p>
    <w:p>
      <w:pPr>
        <w:spacing w:after="140" w:line="276"/>
      </w:pPr>
      <w:r>
        <w:rPr>
          <w:rFonts w:ascii="Calibri" w:cs="Calibri" w:eastAsia="Calibri" w:hAnsi="Calibri"/>
          <w:color w:val="131A18"/>
          <w:sz w:val="21"/>
          <w:szCs w:val="21"/>
        </w:rPr>
        <w:t xml:space="preserve">We are not putting a figure in this paper, because a credible one depends on which provider is chosen and on usage volumes we have not yet measured. We will produce an estimate once D-1 is settled.</w:t>
      </w:r>
    </w:p>
    <w:p>
      <w:pPr>
        <w:spacing w:after="140" w:line="276"/>
      </w:pPr>
      <w:r>
        <w:rPr>
          <w:rFonts w:ascii="Calibri" w:cs="Calibri" w:eastAsia="Calibri" w:hAnsi="Calibri"/>
          <w:color w:val="131A18"/>
          <w:sz w:val="21"/>
          <w:szCs w:val="21"/>
        </w:rPr>
        <w:t xml:space="preserve">Two aspects of the design make the cost shape more predictable than it might first appear. The corpus is </w:t>
      </w:r>
      <w:r>
        <w:rPr>
          <w:rFonts w:ascii="Calibri" w:cs="Calibri" w:eastAsia="Calibri" w:hAnsi="Calibri"/>
          <w:b/>
          <w:bCs/>
          <w:color w:val="131A18"/>
          <w:sz w:val="21"/>
          <w:szCs w:val="21"/>
        </w:rPr>
        <w:t xml:space="preserve">embedded once</w:t>
      </w:r>
      <w:r>
        <w:rPr>
          <w:rFonts w:ascii="Calibri" w:cs="Calibri" w:eastAsia="Calibri" w:hAnsi="Calibri"/>
          <w:color w:val="131A18"/>
          <w:sz w:val="21"/>
          <w:szCs w:val="21"/>
        </w:rPr>
        <w:t xml:space="preserve"> and incrementally thereafter — with content-hash deduplication preventing repeat work — rather than per query. And the lightweight steps in each request, intent classification and document grading, are already routed to a smaller and cheaper model than the one that composes the answer.</w:t>
      </w:r>
    </w:p>
    <w:p>
      <w:pPr>
        <w:pStyle w:val="Heading1"/>
        <w:pBdr>
          <w:bottom w:val="single" w:color="D9E0DE" w:sz="6" w:space="6"/>
        </w:pBdr>
        <w:spacing w:after="180" w:before="420"/>
      </w:pPr>
      <w:r>
        <w:rPr>
          <w:rFonts w:ascii="Calibri" w:cs="Calibri" w:eastAsia="Calibri" w:hAnsi="Calibri"/>
          <w:b/>
          <w:bCs/>
          <w:color w:val="131A18"/>
          <w:sz w:val="30"/>
          <w:szCs w:val="30"/>
        </w:rPr>
        <w:t xml:space="preserve">5. Solution architecture</w:t>
      </w:r>
    </w:p>
    <w:p>
      <w:pPr>
        <w:spacing w:after="140" w:line="276"/>
      </w:pPr>
      <w:r>
        <w:rPr>
          <w:rFonts w:ascii="Calibri" w:cs="Calibri" w:eastAsia="Calibri" w:hAnsi="Calibri"/>
          <w:color w:val="131A18"/>
          <w:sz w:val="21"/>
          <w:szCs w:val="21"/>
        </w:rPr>
        <w:t xml:space="preserve">Kortex is a three-tier containerised application. A web front end handles sign-in and proxies requests server-side. A back end validates the token, enforces role-based access, and passes the request to an orchestrator that classifies intent and routes to the appropriate agent. All state — vectors, conversation memory, user records — is held in self-hosted stores.</w:t>
      </w:r>
    </w:p>
    <w:p>
      <w:pPr>
        <w:spacing w:after="140" w:line="276"/>
      </w:pPr>
      <w:r>
        <w:rPr>
          <w:rFonts w:ascii="Calibri" w:cs="Calibri" w:eastAsia="Calibri" w:hAnsi="Calibri"/>
          <w:color w:val="131A18"/>
          <w:sz w:val="21"/>
          <w:szCs w:val="21"/>
        </w:rPr>
        <w:t xml:space="preserve">For this review, the material question is not the tier diagram but the </w:t>
      </w:r>
      <w:r>
        <w:rPr>
          <w:rFonts w:ascii="Calibri" w:cs="Calibri" w:eastAsia="Calibri" w:hAnsi="Calibri"/>
          <w:b/>
          <w:bCs/>
          <w:color w:val="131A18"/>
          <w:sz w:val="21"/>
          <w:szCs w:val="21"/>
        </w:rPr>
        <w:t xml:space="preserve">trust boundary</w:t>
      </w:r>
      <w:r>
        <w:rPr>
          <w:rFonts w:ascii="Calibri" w:cs="Calibri" w:eastAsia="Calibri" w:hAnsi="Calibri"/>
          <w:color w:val="131A18"/>
          <w:sz w:val="21"/>
          <w:szCs w:val="21"/>
        </w:rPr>
        <w:t xml:space="preserve">: what leaves Finastra-controlled infrastructure, and what rides on it.</w:t>
      </w:r>
    </w:p>
    <w:p>
      <w:pPr>
        <w:pStyle w:val="Heading2"/>
        <w:spacing w:after="110" w:before="280"/>
      </w:pPr>
      <w:r>
        <w:rPr>
          <w:rFonts w:ascii="Calibri" w:cs="Calibri" w:eastAsia="Calibri" w:hAnsi="Calibri"/>
          <w:b/>
          <w:bCs/>
          <w:color w:val="131A18"/>
          <w:sz w:val="23"/>
          <w:szCs w:val="23"/>
        </w:rPr>
        <w:t xml:space="preserve">Inside the boundary — self-hosted, Finastra-controlled</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1700"/>
        <w:gridCol w:w="2400"/>
        <w:gridCol w:w="5260"/>
      </w:tblGrid>
      <w:tr>
        <w:trPr>
          <w:tblHeader/>
        </w:trPr>
        <w:tc>
          <w:tcPr>
            <w:tcW w:type="dxa" w:w="17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LAYER</w:t>
            </w:r>
          </w:p>
        </w:tc>
        <w:tc>
          <w:tcPr>
            <w:tcW w:type="dxa" w:w="24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COMPONENT</w:t>
            </w:r>
          </w:p>
        </w:tc>
        <w:tc>
          <w:tcPr>
            <w:tcW w:type="dxa" w:w="52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ROLE</w:t>
            </w:r>
          </w:p>
        </w:tc>
      </w:tr>
      <w:tr>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Presentation</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Front end</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Sign-in, server-side API proxy, bilingual FR/EN</w:t>
            </w:r>
          </w:p>
        </w:tc>
      </w:tr>
      <w:tr>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Application</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Back end</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Token validation, RBAC (role × module), rate limiting, streaming</w:t>
            </w:r>
          </w:p>
        </w:tc>
      </w:tr>
      <w:tr>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Orchestration</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Orchestrator</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Classifies intent, extracts product / version / CVE, routes</w:t>
            </w:r>
          </w:p>
        </w:tc>
      </w:tr>
      <w:tr>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Agents</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Search</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Corpus retrieval, grading, web fallback. </w:t>
            </w:r>
            <w:r>
              <w:rPr>
                <w:rFonts w:ascii="Calibri" w:cs="Calibri" w:eastAsia="Calibri" w:hAnsi="Calibri"/>
                <w:b/>
                <w:bCs/>
                <w:color w:val="131A18"/>
                <w:sz w:val="19"/>
                <w:szCs w:val="19"/>
              </w:rPr>
              <w:t xml:space="preserve">Working</w:t>
            </w:r>
          </w:p>
        </w:tc>
      </w:tr>
      <w:tr>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Agents</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DBAdmin</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Database operations — </w:t>
            </w:r>
            <w:r>
              <w:rPr>
                <w:rFonts w:ascii="Calibri" w:cs="Calibri" w:eastAsia="Calibri" w:hAnsi="Calibri"/>
                <w:b/>
                <w:bCs/>
                <w:color w:val="131A18"/>
                <w:sz w:val="19"/>
                <w:szCs w:val="19"/>
              </w:rPr>
              <w:t xml:space="preserve">reads and writes</w:t>
            </w:r>
            <w:r>
              <w:rPr>
                <w:rFonts w:ascii="Calibri" w:cs="Calibri" w:eastAsia="Calibri" w:hAnsi="Calibri"/>
                <w:color w:val="131A18"/>
                <w:sz w:val="19"/>
                <w:szCs w:val="19"/>
              </w:rPr>
              <w:t xml:space="preserve">. </w:t>
            </w:r>
            <w:r>
              <w:rPr>
                <w:rFonts w:ascii="Calibri" w:cs="Calibri" w:eastAsia="Calibri" w:hAnsi="Calibri"/>
                <w:b/>
                <w:bCs/>
                <w:color w:val="131A18"/>
                <w:sz w:val="19"/>
                <w:szCs w:val="19"/>
              </w:rPr>
              <w:t xml:space="preserve">Working</w:t>
            </w:r>
          </w:p>
        </w:tc>
      </w:tr>
      <w:tr>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Agents</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CVE</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Vulnerability assessment against our own resolution history</w:t>
            </w:r>
          </w:p>
        </w:tc>
      </w:tr>
      <w:tr>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Agents</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Salesforce</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Case details, attachments, assisted root-cause analysis</w:t>
            </w:r>
          </w:p>
        </w:tc>
      </w:tr>
      <w:tr>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Agents</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Jira</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Issue details, linked commits, JQL search, commit analysis</w:t>
            </w:r>
          </w:p>
        </w:tc>
      </w:tr>
      <w:tr>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Agents</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ServiceNow</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Incidents, changes, requested items, problems</w:t>
            </w:r>
          </w:p>
        </w:tc>
      </w:tr>
      <w:tr>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Agents</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Infrastructure</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Resource reports from vCloud exports, spreadsheets and mail; undocumented server detection</w:t>
            </w:r>
          </w:p>
        </w:tc>
      </w:tr>
      <w:tr>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Agents</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Reports</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Branded Finastra HTML, Word and PDF output</w:t>
            </w:r>
          </w:p>
        </w:tc>
      </w:tr>
      <w:tr>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Data</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Vector store</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Embeddings and document text</w:t>
            </w:r>
          </w:p>
        </w:tc>
      </w:tr>
      <w:tr>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Data</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Cache</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Chat memory (24h expiry), ingestion job queue</w:t>
            </w:r>
          </w:p>
        </w:tc>
      </w:tr>
      <w:tr>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Data</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Application database</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Users, roles, permissions</w:t>
            </w:r>
          </w:p>
        </w:tc>
      </w:tr>
      <w:tr>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Data</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Metasearch</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Self-hosted web search</w:t>
            </w:r>
          </w:p>
        </w:tc>
      </w:tr>
    </w:tbl>
    <w:p>
      <w:pPr>
        <w:spacing w:after="200"/>
      </w:pPr>
    </w:p>
    <w:p>
      <w:pPr>
        <w:pStyle w:val="Heading2"/>
        <w:spacing w:after="110" w:before="280"/>
      </w:pPr>
      <w:r>
        <w:rPr>
          <w:rFonts w:ascii="Calibri" w:cs="Calibri" w:eastAsia="Calibri" w:hAnsi="Calibri"/>
          <w:b/>
          <w:bCs/>
          <w:color w:val="131A18"/>
          <w:sz w:val="23"/>
          <w:szCs w:val="23"/>
        </w:rPr>
        <w:t xml:space="preserve">Reaching Finastra's own corporate systems</w:t>
      </w:r>
    </w:p>
    <w:p>
      <w:pPr>
        <w:spacing w:after="140" w:line="276"/>
      </w:pPr>
      <w:r>
        <w:rPr>
          <w:rFonts w:ascii="Calibri" w:cs="Calibri" w:eastAsia="Calibri" w:hAnsi="Calibri"/>
          <w:color w:val="131A18"/>
          <w:sz w:val="21"/>
          <w:szCs w:val="21"/>
        </w:rPr>
        <w:t xml:space="preserve">Several agents read from systems Finastra already operates. This crosses the self-hosted boundary but is </w:t>
      </w:r>
      <w:r>
        <w:rPr>
          <w:rFonts w:ascii="Calibri" w:cs="Calibri" w:eastAsia="Calibri" w:hAnsi="Calibri"/>
          <w:b/>
          <w:bCs/>
          <w:color w:val="131A18"/>
          <w:sz w:val="21"/>
          <w:szCs w:val="21"/>
        </w:rPr>
        <w:t xml:space="preserve">not disclosure</w:t>
      </w:r>
      <w:r>
        <w:rPr>
          <w:rFonts w:ascii="Calibri" w:cs="Calibri" w:eastAsia="Calibri" w:hAnsi="Calibri"/>
          <w:color w:val="131A18"/>
          <w:sz w:val="21"/>
          <w:szCs w:val="21"/>
        </w:rPr>
        <w:t xml:space="preserve">: the data is Finastra's before Kortex touches it, and reading it reveals nothing to anyone new.</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1900"/>
        <w:gridCol w:w="5200"/>
        <w:gridCol w:w="2260"/>
      </w:tblGrid>
      <w:tr>
        <w:trPr>
          <w:tblHeader/>
        </w:trPr>
        <w:tc>
          <w:tcPr>
            <w:tcW w:type="dxa" w:w="19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SYSTEM</w:t>
            </w:r>
          </w:p>
        </w:tc>
        <w:tc>
          <w:tcPr>
            <w:tcW w:type="dxa" w:w="52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WHAT THE AGENTS READ</w:t>
            </w:r>
          </w:p>
        </w:tc>
        <w:tc>
          <w:tcPr>
            <w:tcW w:type="dxa" w:w="22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NOTE</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Entra ID</w:t>
            </w:r>
          </w:p>
        </w:tc>
        <w:tc>
          <w:tcPr>
            <w:tcW w:type="dxa" w:w="5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Sign-in only. No application data.</w:t>
            </w:r>
          </w:p>
        </w:tc>
        <w:tc>
          <w:tcPr>
            <w:tcW w:type="dxa" w:w="2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Identity provider</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Salesforce</w:t>
            </w:r>
          </w:p>
        </w:tc>
        <w:tc>
          <w:tcPr>
            <w:tcW w:type="dxa" w:w="5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Support cases, case details, attachments.</w:t>
            </w:r>
          </w:p>
        </w:tc>
        <w:tc>
          <w:tcPr>
            <w:tcW w:type="dxa" w:w="2260"/>
            <w:tcMar>
              <w:top w:type="dxa" w:w="100"/>
              <w:left w:type="dxa" w:w="140"/>
              <w:bottom w:type="dxa" w:w="100"/>
              <w:right w:type="dxa" w:w="140"/>
            </w:tcMar>
          </w:tcPr>
          <w:p>
            <w:pPr>
              <w:spacing w:after="0" w:line="260"/>
            </w:pPr>
            <w:r>
              <w:rPr>
                <w:rFonts w:ascii="Calibri" w:cs="Calibri" w:eastAsia="Calibri" w:hAnsi="Calibri"/>
                <w:b/>
                <w:bCs/>
                <w:color w:val="131A18"/>
                <w:sz w:val="19"/>
                <w:szCs w:val="19"/>
              </w:rPr>
              <w:t xml:space="preserve">Client-identifying</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ServiceNow</w:t>
            </w:r>
          </w:p>
        </w:tc>
        <w:tc>
          <w:tcPr>
            <w:tcW w:type="dxa" w:w="5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Incidents, changes, requested items, problems, vulnerability records.</w:t>
            </w:r>
          </w:p>
        </w:tc>
        <w:tc>
          <w:tcPr>
            <w:tcW w:type="dxa" w:w="2260"/>
            <w:tcMar>
              <w:top w:type="dxa" w:w="100"/>
              <w:left w:type="dxa" w:w="140"/>
              <w:bottom w:type="dxa" w:w="100"/>
              <w:right w:type="dxa" w:w="140"/>
            </w:tcMar>
          </w:tcPr>
          <w:p>
            <w:pPr>
              <w:spacing w:after="0" w:line="260"/>
            </w:pPr>
            <w:r>
              <w:rPr>
                <w:rFonts w:ascii="Calibri" w:cs="Calibri" w:eastAsia="Calibri" w:hAnsi="Calibri"/>
                <w:b/>
                <w:bCs/>
                <w:color w:val="131A18"/>
                <w:sz w:val="19"/>
                <w:szCs w:val="19"/>
              </w:rPr>
              <w:t xml:space="preserve">Client-identifying</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Jira · Office 365</w:t>
            </w:r>
          </w:p>
        </w:tc>
        <w:tc>
          <w:tcPr>
            <w:tcW w:type="dxa" w:w="5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Issue details, linked commits, mail context.</w:t>
            </w:r>
          </w:p>
        </w:tc>
        <w:tc>
          <w:tcPr>
            <w:tcW w:type="dxa" w:w="2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Incidental client references</w:t>
            </w:r>
          </w:p>
        </w:tc>
      </w:tr>
    </w:tbl>
    <w:p>
      <w:pPr>
        <w:spacing w:after="200"/>
      </w:pPr>
    </w:p>
    <w:p>
      <w:pPr>
        <w:pStyle w:val="Heading2"/>
        <w:spacing w:after="110" w:before="280"/>
      </w:pPr>
      <w:r>
        <w:rPr>
          <w:rFonts w:ascii="Calibri" w:cs="Calibri" w:eastAsia="Calibri" w:hAnsi="Calibri"/>
          <w:b/>
          <w:bCs/>
          <w:color w:val="131A18"/>
          <w:sz w:val="23"/>
          <w:szCs w:val="23"/>
        </w:rPr>
        <w:t xml:space="preserve">Leaving for the public internet</w:t>
      </w:r>
    </w:p>
    <w:p>
      <w:pPr>
        <w:spacing w:after="140" w:line="276"/>
      </w:pPr>
      <w:r>
        <w:rPr>
          <w:rFonts w:ascii="Calibri" w:cs="Calibri" w:eastAsia="Calibri" w:hAnsi="Calibri"/>
          <w:color w:val="131A18"/>
          <w:sz w:val="21"/>
          <w:szCs w:val="21"/>
        </w:rPr>
        <w:t xml:space="preserve">This is where disclosure actually occurs, and it is a much shorter list.</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2400"/>
        <w:gridCol w:w="5460"/>
        <w:gridCol w:w="1500"/>
      </w:tblGrid>
      <w:tr>
        <w:trPr>
          <w:tblHeader/>
        </w:trPr>
        <w:tc>
          <w:tcPr>
            <w:tcW w:type="dxa" w:w="24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DESTINATION</w:t>
            </w:r>
          </w:p>
        </w:tc>
        <w:tc>
          <w:tcPr>
            <w:tcW w:type="dxa" w:w="54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WHAT CROSSES</w:t>
            </w:r>
          </w:p>
        </w:tc>
        <w:tc>
          <w:tcPr>
            <w:tcW w:type="dxa" w:w="15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STATUS</w:t>
            </w:r>
          </w:p>
        </w:tc>
      </w:tr>
      <w:tr>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Model provider</w:t>
            </w:r>
          </w:p>
        </w:tc>
        <w:tc>
          <w:tcPr>
            <w:tcW w:type="dxa" w:w="54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The user's question together with the retrieved document extracts. At ingestion, full document text for embedding.</w:t>
            </w:r>
          </w:p>
        </w:tc>
        <w:tc>
          <w:tcPr>
            <w:tcW w:type="dxa" w:w="1500"/>
            <w:tcMar>
              <w:top w:type="dxa" w:w="100"/>
              <w:left w:type="dxa" w:w="140"/>
              <w:bottom w:type="dxa" w:w="100"/>
              <w:right w:type="dxa" w:w="140"/>
            </w:tcMar>
          </w:tcPr>
          <w:p>
            <w:pPr>
              <w:spacing w:after="0" w:line="260"/>
            </w:pPr>
            <w:r>
              <w:rPr>
                <w:rFonts w:ascii="Calibri" w:cs="Calibri" w:eastAsia="Calibri" w:hAnsi="Calibri"/>
                <w:b/>
                <w:bCs/>
                <w:color w:val="131A18"/>
                <w:sz w:val="19"/>
                <w:szCs w:val="19"/>
              </w:rPr>
              <w:t xml:space="preserve">To be agreed — D-1</w:t>
            </w:r>
          </w:p>
        </w:tc>
      </w:tr>
      <w:tr>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Public vulnerability database</w:t>
            </w:r>
          </w:p>
        </w:tc>
        <w:tc>
          <w:tcPr>
            <w:tcW w:type="dxa" w:w="54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The CVE identifier only.</w:t>
            </w:r>
          </w:p>
        </w:tc>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 place</w:t>
            </w:r>
          </w:p>
        </w:tc>
      </w:tr>
      <w:tr>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Public search engines (indirect)</w:t>
            </w:r>
          </w:p>
        </w:tc>
        <w:tc>
          <w:tcPr>
            <w:tcW w:type="dxa" w:w="54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Search terms, when the fallback fires. Five engines enabled: Google, Bing, DuckDuckGo, Wikipedia, Stack Overflow. Routed through the corporate proxy; no vendor account holds a history.</w:t>
            </w:r>
          </w:p>
        </w:tc>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 place</w:t>
            </w:r>
          </w:p>
        </w:tc>
      </w:tr>
    </w:tbl>
    <w:p>
      <w:pPr>
        <w:spacing w:after="200"/>
      </w:pPr>
    </w:p>
    <w:p>
      <w:pPr>
        <w:pStyle w:val="Heading2"/>
        <w:spacing w:after="110" w:before="280"/>
      </w:pPr>
      <w:r>
        <w:rPr>
          <w:rFonts w:ascii="Calibri" w:cs="Calibri" w:eastAsia="Calibri" w:hAnsi="Calibri"/>
          <w:b/>
          <w:bCs/>
          <w:color w:val="131A18"/>
          <w:sz w:val="23"/>
          <w:szCs w:val="23"/>
        </w:rPr>
        <w:t xml:space="preserve">Request path</w:t>
      </w:r>
    </w:p>
    <w:p>
      <w:pPr>
        <w:pStyle w:val="ListParagraph"/>
        <w:numPr>
          <w:ilvl w:val="0"/>
          <w:numId w:val="3"/>
        </w:numPr>
        <w:spacing w:after="90" w:line="276"/>
      </w:pPr>
      <w:r>
        <w:rPr>
          <w:rFonts w:ascii="Calibri" w:cs="Calibri" w:eastAsia="Calibri" w:hAnsi="Calibri"/>
          <w:color w:val="131A18"/>
          <w:sz w:val="21"/>
          <w:szCs w:val="21"/>
        </w:rPr>
        <w:t xml:space="preserve">The user signs in through the corporate identity provider; the session is held server-side.</w:t>
      </w:r>
    </w:p>
    <w:p>
      <w:pPr>
        <w:pStyle w:val="ListParagraph"/>
        <w:numPr>
          <w:ilvl w:val="0"/>
          <w:numId w:val="3"/>
        </w:numPr>
        <w:spacing w:after="90" w:line="276"/>
      </w:pPr>
      <w:r>
        <w:rPr>
          <w:rFonts w:ascii="Calibri" w:cs="Calibri" w:eastAsia="Calibri" w:hAnsi="Calibri"/>
          <w:color w:val="131A18"/>
          <w:sz w:val="21"/>
          <w:szCs w:val="21"/>
        </w:rPr>
        <w:t xml:space="preserve">A question is posted to the front-end proxy, which attaches the bearer token and forwards to the back end.</w:t>
      </w:r>
    </w:p>
    <w:p>
      <w:pPr>
        <w:pStyle w:val="ListParagraph"/>
        <w:numPr>
          <w:ilvl w:val="0"/>
          <w:numId w:val="3"/>
        </w:numPr>
        <w:spacing w:after="90" w:line="276"/>
      </w:pPr>
      <w:r>
        <w:rPr>
          <w:rFonts w:ascii="Calibri" w:cs="Calibri" w:eastAsia="Calibri" w:hAnsi="Calibri"/>
          <w:color w:val="131A18"/>
          <w:sz w:val="21"/>
          <w:szCs w:val="21"/>
        </w:rPr>
        <w:t xml:space="preserve">The back end validates the token, resolves the user's role, and checks that the role grants the chat module. Users without an approved role are refused.</w:t>
      </w:r>
    </w:p>
    <w:p>
      <w:pPr>
        <w:pStyle w:val="ListParagraph"/>
        <w:numPr>
          <w:ilvl w:val="0"/>
          <w:numId w:val="3"/>
        </w:numPr>
        <w:spacing w:after="90" w:line="276"/>
      </w:pPr>
      <w:r>
        <w:rPr>
          <w:rFonts w:ascii="Calibri" w:cs="Calibri" w:eastAsia="Calibri" w:hAnsi="Calibri"/>
          <w:color w:val="131A18"/>
          <w:sz w:val="21"/>
          <w:szCs w:val="21"/>
        </w:rPr>
        <w:t xml:space="preserve">The orchestrator classifies the question and extracts any product, version or CVE identifier.</w:t>
      </w:r>
    </w:p>
    <w:p>
      <w:pPr>
        <w:pStyle w:val="ListParagraph"/>
        <w:numPr>
          <w:ilvl w:val="0"/>
          <w:numId w:val="3"/>
        </w:numPr>
        <w:spacing w:after="90" w:line="276"/>
      </w:pPr>
      <w:r>
        <w:rPr>
          <w:rFonts w:ascii="Calibri" w:cs="Calibri" w:eastAsia="Calibri" w:hAnsi="Calibri"/>
          <w:color w:val="131A18"/>
          <w:sz w:val="21"/>
          <w:szCs w:val="21"/>
        </w:rPr>
        <w:t xml:space="preserve">The request is routed to the matching agent. The Search Agent retrieves from the vector store, grades the results for relevance, and falls back to web search only when internal documents do not answer the question.</w:t>
      </w:r>
    </w:p>
    <w:p>
      <w:pPr>
        <w:pStyle w:val="ListParagraph"/>
        <w:numPr>
          <w:ilvl w:val="0"/>
          <w:numId w:val="3"/>
        </w:numPr>
        <w:spacing w:after="90" w:line="276"/>
      </w:pPr>
      <w:r>
        <w:rPr>
          <w:rFonts w:ascii="Calibri" w:cs="Calibri" w:eastAsia="Calibri" w:hAnsi="Calibri"/>
          <w:color w:val="131A18"/>
          <w:sz w:val="21"/>
          <w:szCs w:val="21"/>
        </w:rPr>
        <w:t xml:space="preserve">The answer is streamed back token by token. The conversation turn is written to the cache with a 24-hour expiry, and the interaction is traced for observability.</w:t>
      </w:r>
    </w:p>
    <w:p>
      <w:pPr>
        <w:pStyle w:val="Heading1"/>
        <w:pBdr>
          <w:bottom w:val="single" w:color="D9E0DE" w:sz="6" w:space="6"/>
        </w:pBdr>
        <w:spacing w:after="180" w:before="420"/>
      </w:pPr>
      <w:r>
        <w:rPr>
          <w:rFonts w:ascii="Calibri" w:cs="Calibri" w:eastAsia="Calibri" w:hAnsi="Calibri"/>
          <w:b/>
          <w:bCs/>
          <w:color w:val="131A18"/>
          <w:sz w:val="30"/>
          <w:szCs w:val="30"/>
        </w:rPr>
        <w:t xml:space="preserve">6. Technical components</w:t>
      </w:r>
    </w:p>
    <w:p>
      <w:pPr>
        <w:spacing w:after="140" w:line="276"/>
      </w:pPr>
      <w:r>
        <w:rPr>
          <w:rFonts w:ascii="Calibri" w:cs="Calibri" w:eastAsia="Calibri" w:hAnsi="Calibri"/>
          <w:color w:val="131A18"/>
          <w:sz w:val="21"/>
          <w:szCs w:val="21"/>
        </w:rPr>
        <w:t xml:space="preserve">Components were chosen for portability and for the ability to self-host anything holding Finastra data. Where a hosted alternative was considered and rejected, the reason is recorded.</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1900"/>
        <w:gridCol w:w="2200"/>
        <w:gridCol w:w="5260"/>
      </w:tblGrid>
      <w:tr>
        <w:trPr>
          <w:tblHeader/>
        </w:trPr>
        <w:tc>
          <w:tcPr>
            <w:tcW w:type="dxa" w:w="19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LAYER</w:t>
            </w:r>
          </w:p>
        </w:tc>
        <w:tc>
          <w:tcPr>
            <w:tcW w:type="dxa" w:w="22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SELECTED</w:t>
            </w:r>
          </w:p>
        </w:tc>
        <w:tc>
          <w:tcPr>
            <w:tcW w:type="dxa" w:w="52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RATIONALE</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Language models</w:t>
            </w:r>
          </w:p>
        </w:tc>
        <w:tc>
          <w:tcPr>
            <w:tcW w:type="dxa" w:w="2200"/>
            <w:tcMar>
              <w:top w:type="dxa" w:w="100"/>
              <w:left w:type="dxa" w:w="140"/>
              <w:bottom w:type="dxa" w:w="100"/>
              <w:right w:type="dxa" w:w="140"/>
            </w:tcMar>
          </w:tcPr>
          <w:p>
            <w:pPr>
              <w:spacing w:after="0" w:line="260"/>
            </w:pPr>
            <w:r>
              <w:rPr>
                <w:rFonts w:ascii="Calibri" w:cs="Calibri" w:eastAsia="Calibri" w:hAnsi="Calibri"/>
                <w:b/>
                <w:bCs/>
                <w:color w:val="131A18"/>
                <w:sz w:val="19"/>
                <w:szCs w:val="19"/>
              </w:rPr>
              <w:t xml:space="preserve">Open — D-1</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Previously GitHub Models, now retired. The client is provider-agnostic; see Section 4.</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Agent framework</w:t>
            </w:r>
          </w:p>
        </w:tc>
        <w:tc>
          <w:tcPr>
            <w:tcW w:type="dxa" w:w="2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LangGraph</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Supports cyclic graphs, which the CVE workflow needs, plus native token streaming.</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RAG framework</w:t>
            </w:r>
          </w:p>
        </w:tc>
        <w:tc>
          <w:tcPr>
            <w:tcW w:type="dxa" w:w="2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LangChain</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Mainstream and portable; avoids lock-in to a vendor RAG platform.</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Vector store</w:t>
            </w:r>
          </w:p>
        </w:tc>
        <w:tc>
          <w:tcPr>
            <w:tcW w:type="dxa" w:w="2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Qdrant</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Self-hosted. Document content never leaves the estate at rest.</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Cache and queue</w:t>
            </w:r>
          </w:p>
        </w:tc>
        <w:tc>
          <w:tcPr>
            <w:tcW w:type="dxa" w:w="2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Redis</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Conversation memory (24h expiry) and the ingestion job queue.</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Application database</w:t>
            </w:r>
          </w:p>
        </w:tc>
        <w:tc>
          <w:tcPr>
            <w:tcW w:type="dxa" w:w="2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PostgreSQL</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Users, roles, statuses, modules. Schema under versioned migrations.</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Web search</w:t>
            </w:r>
          </w:p>
        </w:tc>
        <w:tc>
          <w:tcPr>
            <w:tcW w:type="dxa" w:w="2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SearXNG</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Self-hosted container, no external API dependency, no vendor account. Five upstream engines; outbound via the corporate proxy.</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Vulnerability data</w:t>
            </w:r>
          </w:p>
        </w:tc>
        <w:tc>
          <w:tcPr>
            <w:tcW w:type="dxa" w:w="2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NIST NVD API</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Public authoritative source. Only the CVE identifier is sent.</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Authentication</w:t>
            </w:r>
          </w:p>
        </w:tc>
        <w:tc>
          <w:tcPr>
            <w:tcW w:type="dxa" w:w="2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Entra ID (OIDC)</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Corporate identity provider; no local account store.</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Back end</w:t>
            </w:r>
          </w:p>
        </w:tc>
        <w:tc>
          <w:tcPr>
            <w:tcW w:type="dxa" w:w="2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FastAPI (Python 3.12)</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Async throughout; server-sent events for token streaming.</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Front end</w:t>
            </w:r>
          </w:p>
        </w:tc>
        <w:tc>
          <w:tcPr>
            <w:tcW w:type="dxa" w:w="2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Next.js 15</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Server components keep the token out of the browser. Bilingual FR/EN.</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Ingestion</w:t>
            </w:r>
          </w:p>
        </w:tc>
        <w:tc>
          <w:tcPr>
            <w:tcW w:type="dxa" w:w="2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Standalone worker</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PDF, DOCX, PPTX, XLSX, HTML, Markdown, with content-hash deduplication.</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Observability</w:t>
            </w:r>
          </w:p>
        </w:tc>
        <w:tc>
          <w:tcPr>
            <w:tcW w:type="dxa" w:w="2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Langfuse, Prometheus, Grafana, Loki</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All self-hosted. Trace retention policy is an open decision — D-4.</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Secrets</w:t>
            </w:r>
          </w:p>
        </w:tc>
        <w:tc>
          <w:tcPr>
            <w:tcW w:type="dxa" w:w="2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SOPS + age</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AES-256-GCM. Plaintext never committed; private keys stay local.</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Runtime</w:t>
            </w:r>
          </w:p>
        </w:tc>
        <w:tc>
          <w:tcPr>
            <w:tcW w:type="dxa" w:w="2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Podman / Docker Compose</w:t>
            </w:r>
          </w:p>
        </w:tc>
        <w:tc>
          <w:tcPr>
            <w:tcW w:type="dxa" w:w="52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Adequate for development. A supported service would need a managed platform.</w:t>
            </w:r>
          </w:p>
        </w:tc>
      </w:tr>
    </w:tbl>
    <w:p>
      <w:pPr>
        <w:pStyle w:val="Heading1"/>
        <w:pBdr>
          <w:bottom w:val="single" w:color="D9E0DE" w:sz="6" w:space="6"/>
        </w:pBdr>
        <w:spacing w:after="180" w:before="420"/>
      </w:pPr>
      <w:r>
        <w:rPr>
          <w:rFonts w:ascii="Calibri" w:cs="Calibri" w:eastAsia="Calibri" w:hAnsi="Calibri"/>
          <w:b/>
          <w:bCs/>
          <w:color w:val="131A18"/>
          <w:sz w:val="30"/>
          <w:szCs w:val="30"/>
        </w:rPr>
        <w:t xml:space="preserve">7. Protecting company and client data</w:t>
      </w:r>
    </w:p>
    <w:p>
      <w:pPr>
        <w:spacing w:after="140" w:line="276"/>
      </w:pPr>
      <w:r>
        <w:rPr>
          <w:rFonts w:ascii="Calibri" w:cs="Calibri" w:eastAsia="Calibri" w:hAnsi="Calibri"/>
          <w:color w:val="131A18"/>
          <w:sz w:val="21"/>
          <w:szCs w:val="21"/>
        </w:rPr>
        <w:t xml:space="preserve">The CoE's remit includes making sure every AI solution meets the security, privacy and regulatory standards our customers expect. Because we are presenting before building further, these can be designed in rather than retrofitted.</w:t>
      </w:r>
    </w:p>
    <w:p>
      <w:pPr>
        <w:pStyle w:val="Heading2"/>
        <w:spacing w:after="110" w:before="280"/>
      </w:pPr>
      <w:r>
        <w:rPr>
          <w:rFonts w:ascii="Calibri" w:cs="Calibri" w:eastAsia="Calibri" w:hAnsi="Calibri"/>
          <w:b/>
          <w:bCs/>
          <w:color w:val="131A18"/>
          <w:sz w:val="23"/>
          <w:szCs w:val="23"/>
        </w:rPr>
        <w:t xml:space="preserve">What data the system touches</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2300"/>
        <w:gridCol w:w="1600"/>
        <w:gridCol w:w="2800"/>
        <w:gridCol w:w="2660"/>
      </w:tblGrid>
      <w:tr>
        <w:trPr>
          <w:tblHeader/>
        </w:trPr>
        <w:tc>
          <w:tcPr>
            <w:tcW w:type="dxa" w:w="23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DATA CATEGORY</w:t>
            </w:r>
          </w:p>
        </w:tc>
        <w:tc>
          <w:tcPr>
            <w:tcW w:type="dxa" w:w="16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IN SCOPE</w:t>
            </w:r>
          </w:p>
        </w:tc>
        <w:tc>
          <w:tcPr>
            <w:tcW w:type="dxa" w:w="28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WHERE IT LIVES</w:t>
            </w:r>
          </w:p>
        </w:tc>
        <w:tc>
          <w:tcPr>
            <w:tcW w:type="dxa" w:w="26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LEAVES OUR INFRASTRUCTURE?</w:t>
            </w:r>
          </w:p>
        </w:tc>
      </w:tr>
      <w:tr>
        <w:tc>
          <w:tcPr>
            <w:tcW w:type="dxa" w:w="23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Internal product documentation</w:t>
            </w:r>
          </w:p>
        </w:tc>
        <w:tc>
          <w:tcPr>
            <w:tcW w:type="dxa" w:w="1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Yes — the corpus</w:t>
            </w:r>
          </w:p>
        </w:tc>
        <w:tc>
          <w:tcPr>
            <w:tcW w:type="dxa" w:w="2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Self-hosted vector store</w:t>
            </w:r>
          </w:p>
        </w:tc>
        <w:tc>
          <w:tcPr>
            <w:tcW w:type="dxa" w:w="26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Retrieved extracts accompany the question to the model provider</w:t>
            </w:r>
          </w:p>
        </w:tc>
      </w:tr>
      <w:tr>
        <w:tc>
          <w:tcPr>
            <w:tcW w:type="dxa" w:w="23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User identity</w:t>
            </w:r>
          </w:p>
        </w:tc>
        <w:tc>
          <w:tcPr>
            <w:tcW w:type="dxa" w:w="1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Yes — minimal</w:t>
            </w:r>
          </w:p>
        </w:tc>
        <w:tc>
          <w:tcPr>
            <w:tcW w:type="dxa" w:w="2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Self-hosted database: name, work email, directory object ID</w:t>
            </w:r>
          </w:p>
        </w:tc>
        <w:tc>
          <w:tcPr>
            <w:tcW w:type="dxa" w:w="26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No</w:t>
            </w:r>
          </w:p>
        </w:tc>
      </w:tr>
      <w:tr>
        <w:tc>
          <w:tcPr>
            <w:tcW w:type="dxa" w:w="23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Questions and answers</w:t>
            </w:r>
          </w:p>
        </w:tc>
        <w:tc>
          <w:tcPr>
            <w:tcW w:type="dxa" w:w="1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Yes</w:t>
            </w:r>
          </w:p>
        </w:tc>
        <w:tc>
          <w:tcPr>
            <w:tcW w:type="dxa" w:w="2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Cache (24h) and observability traces</w:t>
            </w:r>
          </w:p>
        </w:tc>
        <w:tc>
          <w:tcPr>
            <w:tcW w:type="dxa" w:w="26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The question reaches the model provider</w:t>
            </w:r>
          </w:p>
        </w:tc>
      </w:tr>
      <w:tr>
        <w:tc>
          <w:tcPr>
            <w:tcW w:type="dxa" w:w="23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Public vulnerability data</w:t>
            </w:r>
          </w:p>
        </w:tc>
        <w:tc>
          <w:tcPr>
            <w:tcW w:type="dxa" w:w="1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Yes</w:t>
            </w:r>
          </w:p>
        </w:tc>
        <w:tc>
          <w:tcPr>
            <w:tcW w:type="dxa" w:w="2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Fetched on demand, not stored</w:t>
            </w:r>
          </w:p>
        </w:tc>
        <w:tc>
          <w:tcPr>
            <w:tcW w:type="dxa" w:w="26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Only the CVE identifier is sent</w:t>
            </w:r>
          </w:p>
        </w:tc>
      </w:tr>
      <w:tr>
        <w:tc>
          <w:tcPr>
            <w:tcW w:type="dxa" w:w="23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Troubleshooting documentation, per case</w:t>
            </w:r>
          </w:p>
        </w:tc>
        <w:tc>
          <w:tcPr>
            <w:tcW w:type="dxa" w:w="1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Planned</w:t>
            </w:r>
          </w:p>
        </w:tc>
        <w:tc>
          <w:tcPr>
            <w:tcW w:type="dxa" w:w="2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Self-hosted vector store</w:t>
            </w:r>
          </w:p>
        </w:tc>
        <w:tc>
          <w:tcPr>
            <w:tcW w:type="dxa" w:w="26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Retrieved extracts accompany the question</w:t>
            </w:r>
          </w:p>
        </w:tc>
      </w:tr>
      <w:tr>
        <w:tc>
          <w:tcPr>
            <w:tcW w:type="dxa" w:w="23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Support case, ticket, issue and mailbox content</w:t>
            </w:r>
          </w:p>
        </w:tc>
        <w:tc>
          <w:tcPr>
            <w:tcW w:type="dxa" w:w="1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Retrieved, never stored</w:t>
            </w:r>
          </w:p>
        </w:tc>
        <w:tc>
          <w:tcPr>
            <w:tcW w:type="dxa" w:w="2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Fetched from Salesforce, ServiceNow, Jira or Office 365 for one task; not ingested, not embedded</w:t>
            </w:r>
          </w:p>
        </w:tc>
        <w:tc>
          <w:tcPr>
            <w:tcW w:type="dxa" w:w="26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Only as part of that request's context</w:t>
            </w:r>
          </w:p>
        </w:tc>
      </w:tr>
      <w:tr>
        <w:tc>
          <w:tcPr>
            <w:tcW w:type="dxa" w:w="23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Generated reports</w:t>
            </w:r>
          </w:p>
        </w:tc>
        <w:tc>
          <w:tcPr>
            <w:tcW w:type="dxa" w:w="1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Inherits its input</w:t>
            </w:r>
          </w:p>
        </w:tc>
        <w:tc>
          <w:tcPr>
            <w:tcW w:type="dxa" w:w="2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Branded HTML, Word or PDF assembled from what an agent produced — a report built from case data carries that data in a file</w:t>
            </w:r>
          </w:p>
        </w:tc>
        <w:tc>
          <w:tcPr>
            <w:tcW w:type="dxa" w:w="26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Only if the underlying content did</w:t>
            </w:r>
          </w:p>
        </w:tc>
      </w:tr>
      <w:tr>
        <w:tc>
          <w:tcPr>
            <w:tcW w:type="dxa" w:w="23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Client data in the corpus · production client environments</w:t>
            </w:r>
          </w:p>
        </w:tc>
        <w:tc>
          <w:tcPr>
            <w:tcW w:type="dxa" w:w="1600"/>
            <w:tcMar>
              <w:top w:type="dxa" w:w="100"/>
              <w:left w:type="dxa" w:w="140"/>
              <w:bottom w:type="dxa" w:w="100"/>
              <w:right w:type="dxa" w:w="140"/>
            </w:tcMar>
          </w:tcPr>
          <w:p>
            <w:pPr>
              <w:spacing w:after="0" w:line="260"/>
            </w:pPr>
            <w:r>
              <w:rPr>
                <w:rFonts w:ascii="Calibri" w:cs="Calibri" w:eastAsia="Calibri" w:hAnsi="Calibri"/>
                <w:b/>
                <w:bCs/>
                <w:color w:val="131A18"/>
                <w:sz w:val="19"/>
                <w:szCs w:val="19"/>
              </w:rPr>
              <w:t xml:space="preserve">Excluded</w:t>
            </w:r>
          </w:p>
        </w:tc>
        <w:tc>
          <w:tcPr>
            <w:tcW w:type="dxa" w:w="2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Never ingested, never indexed, not reachable</w:t>
            </w:r>
          </w:p>
        </w:tc>
        <w:tc>
          <w:tcPr>
            <w:tcW w:type="dxa" w:w="26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Not applicable</w:t>
            </w:r>
          </w:p>
        </w:tc>
      </w:tr>
    </w:tbl>
    <w:p>
      <w:pPr>
        <w:spacing w:after="200"/>
      </w:pPr>
    </w:p>
    <w:p>
      <w:pPr>
        <w:pStyle w:val="Heading2"/>
        <w:spacing w:after="110" w:before="280"/>
      </w:pPr>
      <w:r>
        <w:rPr>
          <w:rFonts w:ascii="Calibri" w:cs="Calibri" w:eastAsia="Calibri" w:hAnsi="Calibri"/>
          <w:b/>
          <w:bCs/>
          <w:color w:val="131A18"/>
          <w:sz w:val="23"/>
          <w:szCs w:val="23"/>
        </w:rPr>
        <w:t xml:space="preserve">The client-data boundary, stated precisely</w:t>
      </w:r>
    </w:p>
    <w:p>
      <w:pPr>
        <w:spacing w:after="140" w:line="276"/>
      </w:pPr>
      <w:r>
        <w:rPr>
          <w:rFonts w:ascii="Calibri" w:cs="Calibri" w:eastAsia="Calibri" w:hAnsi="Calibri"/>
          <w:color w:val="131A18"/>
          <w:sz w:val="21"/>
          <w:szCs w:val="21"/>
        </w:rPr>
        <w:t xml:space="preserve">A blanket claim that no client data is in scope would be convenient and would not survive examination. The useful distinction is not whether client-derived data is involved, but </w:t>
      </w:r>
      <w:r>
        <w:rPr>
          <w:rFonts w:ascii="Calibri" w:cs="Calibri" w:eastAsia="Calibri" w:hAnsi="Calibri"/>
          <w:b/>
          <w:bCs/>
          <w:color w:val="131A18"/>
          <w:sz w:val="21"/>
          <w:szCs w:val="21"/>
        </w:rPr>
        <w:t xml:space="preserve">whether it comes to rest inside Kortex</w:t>
      </w:r>
      <w:r>
        <w:rPr>
          <w:rFonts w:ascii="Calibri" w:cs="Calibri" w:eastAsia="Calibri" w:hAnsi="Calibri"/>
          <w:color w:val="131A18"/>
          <w:sz w:val="21"/>
          <w:szCs w:val="21"/>
        </w:rPr>
        <w:t xml:space="preserve">.</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2400"/>
        <w:gridCol w:w="3480"/>
        <w:gridCol w:w="3480"/>
      </w:tblGrid>
      <w:tr>
        <w:trPr>
          <w:tblHeader/>
        </w:trPr>
        <w:tc>
          <w:tcPr>
            <w:tcW w:type="dxa" w:w="24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
            </w:r>
          </w:p>
        </w:tc>
        <w:tc>
          <w:tcPr>
            <w:tcW w:type="dxa" w:w="348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INGESTED INTO THE CORPUS</w:t>
            </w:r>
          </w:p>
        </w:tc>
        <w:tc>
          <w:tcPr>
            <w:tcW w:type="dxa" w:w="348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RETRIEVED FOR ONE TASK</w:t>
            </w:r>
          </w:p>
        </w:tc>
      </w:tr>
      <w:tr>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What happens to it</w:t>
            </w:r>
          </w:p>
        </w:tc>
        <w:tc>
          <w:tcPr>
            <w:tcW w:type="dxa" w:w="348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Split into extracts, embedded, indexed, stored indefinitely</w:t>
            </w:r>
          </w:p>
        </w:tc>
        <w:tc>
          <w:tcPr>
            <w:tcW w:type="dxa" w:w="348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Fetched on demand for a single request, then discarded</w:t>
            </w:r>
          </w:p>
        </w:tc>
      </w:tr>
      <w:tr>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Who can reach it afterwards</w:t>
            </w:r>
          </w:p>
        </w:tc>
        <w:tc>
          <w:tcPr>
            <w:tcW w:type="dxa" w:w="348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Anyone the retrieval layer serves</w:t>
            </w:r>
          </w:p>
        </w:tc>
        <w:tc>
          <w:tcPr>
            <w:tcW w:type="dxa" w:w="348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Only the user whose task it was</w:t>
            </w:r>
          </w:p>
        </w:tc>
      </w:tr>
      <w:tr>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Sent to the model provider</w:t>
            </w:r>
          </w:p>
        </w:tc>
        <w:tc>
          <w:tcPr>
            <w:tcW w:type="dxa" w:w="348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Yes — the full document at ingestion, extracts thereafter</w:t>
            </w:r>
          </w:p>
        </w:tc>
        <w:tc>
          <w:tcPr>
            <w:tcW w:type="dxa" w:w="348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Only if it forms part of that request's context</w:t>
            </w:r>
          </w:p>
        </w:tc>
      </w:tr>
      <w:tr>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Lifetime</w:t>
            </w:r>
          </w:p>
        </w:tc>
        <w:tc>
          <w:tcPr>
            <w:tcW w:type="dxa" w:w="348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Until explicitly deleted</w:t>
            </w:r>
          </w:p>
        </w:tc>
        <w:tc>
          <w:tcPr>
            <w:tcW w:type="dxa" w:w="348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Expires with the conversation — 24 hours</w:t>
            </w:r>
          </w:p>
        </w:tc>
      </w:tr>
    </w:tbl>
    <w:p>
      <w:pPr>
        <w:spacing w:after="180"/>
      </w:pPr>
    </w:p>
    <w:p>
      <w:pPr>
        <w:spacing w:after="140" w:line="276"/>
      </w:pPr>
      <w:r>
        <w:rPr>
          <w:rFonts w:ascii="Calibri" w:cs="Calibri" w:eastAsia="Calibri" w:hAnsi="Calibri"/>
          <w:b/>
          <w:bCs/>
          <w:color w:val="131A18"/>
          <w:sz w:val="21"/>
          <w:szCs w:val="21"/>
        </w:rPr>
        <w:t xml:space="preserve">The commitment we propose to hold is about the first column: client data is never ingested into the corpus.</w:t>
      </w:r>
      <w:r>
        <w:rPr>
          <w:rFonts w:ascii="Calibri" w:cs="Calibri" w:eastAsia="Calibri" w:hAnsi="Calibri"/>
          <w:color w:val="131A18"/>
          <w:sz w:val="21"/>
          <w:szCs w:val="21"/>
        </w:rPr>
        <w:t xml:space="preserve"> That is a meaningful, testable constraint — the corpus is the part of the system that persists, is searchable by everyone it serves, and is sent to the model provider in full at ingestion.</w:t>
      </w:r>
    </w:p>
    <w:p>
      <w:pPr>
        <w:spacing w:after="140" w:line="276"/>
      </w:pPr>
      <w:r>
        <w:rPr>
          <w:rFonts w:ascii="Calibri" w:cs="Calibri" w:eastAsia="Calibri" w:hAnsi="Calibri"/>
          <w:color w:val="131A18"/>
          <w:sz w:val="21"/>
          <w:szCs w:val="21"/>
        </w:rPr>
        <w:t xml:space="preserve">The second column is a different proposition and needs its own controls rather than a prohibition. As the case, ticket and mailbox integrations move from standalone tools into Kortex agents, client-identifying content will be retrieved through Kortex for specific tasks. That is the point of the platform. Four controls make it defensible:</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4200"/>
        <w:gridCol w:w="5160"/>
      </w:tblGrid>
      <w:tr>
        <w:trPr>
          <w:tblHeader/>
        </w:trPr>
        <w:tc>
          <w:tcPr>
            <w:tcW w:type="dxa" w:w="42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CONTROL</w:t>
            </w:r>
          </w:p>
        </w:tc>
        <w:tc>
          <w:tcPr>
            <w:tcW w:type="dxa" w:w="51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WHY</w:t>
            </w:r>
          </w:p>
        </w:tc>
      </w:tr>
      <w:tr>
        <w:tc>
          <w:tcPr>
            <w:tcW w:type="dxa" w:w="4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Retrieve using the user's own entitlements in the source system, never a broad service account</w:t>
            </w:r>
          </w:p>
        </w:tc>
        <w:tc>
          <w:tcPr>
            <w:tcW w:type="dxa" w:w="51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Otherwise Kortex becomes a way to see cases a person could not open directly. This is the control that matters most.</w:t>
            </w:r>
          </w:p>
        </w:tc>
      </w:tr>
      <w:tr>
        <w:tc>
          <w:tcPr>
            <w:tcW w:type="dxa" w:w="4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Never ingested, never embedded</w:t>
            </w:r>
          </w:p>
        </w:tc>
        <w:tc>
          <w:tcPr>
            <w:tcW w:type="dxa" w:w="51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Retrieved case content is used for the request and discarded. It does not become searchable by others.</w:t>
            </w:r>
          </w:p>
        </w:tc>
      </w:tr>
      <w:tr>
        <w:tc>
          <w:tcPr>
            <w:tcW w:type="dxa" w:w="4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Retention follows the conversation</w:t>
            </w:r>
          </w:p>
        </w:tc>
        <w:tc>
          <w:tcPr>
            <w:tcW w:type="dxa" w:w="51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Chat history expires after 24 hours. Client-derived content inherits that lifetime.</w:t>
            </w:r>
          </w:p>
        </w:tc>
      </w:tr>
      <w:tr>
        <w:tc>
          <w:tcPr>
            <w:tcW w:type="dxa" w:w="4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Observability retention must account for it</w:t>
            </w:r>
          </w:p>
        </w:tc>
        <w:tc>
          <w:tcPr>
            <w:tcW w:type="dxa" w:w="51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If a case is pulled into a conversation, it appears in that trace — so the retention ruling we are asking for (D-4) governs client-derived content.</w:t>
            </w:r>
          </w:p>
        </w:tc>
      </w:tr>
    </w:tbl>
    <w:p>
      <w:pPr>
        <w:spacing w:after="180"/>
      </w:pPr>
    </w:p>
    <w:p>
      <w:pPr>
        <w:spacing w:after="140" w:line="276"/>
      </w:pPr>
      <w:r>
        <w:rPr>
          <w:rFonts w:ascii="Calibri" w:cs="Calibri" w:eastAsia="Calibri" w:hAnsi="Calibri"/>
          <w:b/>
          <w:bCs/>
          <w:color w:val="131A18"/>
          <w:sz w:val="21"/>
          <w:szCs w:val="21"/>
        </w:rPr>
        <w:t xml:space="preserve">Two further routes, stated for completeness.</w:t>
      </w:r>
      <w:r>
        <w:rPr>
          <w:rFonts w:ascii="Calibri" w:cs="Calibri" w:eastAsia="Calibri" w:hAnsi="Calibri"/>
          <w:color w:val="131A18"/>
          <w:sz w:val="21"/>
          <w:szCs w:val="21"/>
        </w:rPr>
        <w:t xml:space="preserve"> Test and troubleshooting databases hold anonymised client data and are reachable through the database operations capability; we are asking the CoE to assess whether that anonymisation is sufficient rather than asserting it ourselves. And case-specific troubleshooting documents, planned for the corpus, may carry client identifiers incidentally — which is precisely what the administrator review must screen for.</w:t>
      </w:r>
    </w:p>
    <w:p>
      <w:pPr>
        <w:spacing w:after="140" w:line="276"/>
      </w:pPr>
      <w:r>
        <w:rPr>
          <w:rFonts w:ascii="Calibri" w:cs="Calibri" w:eastAsia="Calibri" w:hAnsi="Calibri"/>
          <w:color w:val="131A18"/>
          <w:sz w:val="21"/>
          <w:szCs w:val="21"/>
        </w:rPr>
        <w:t xml:space="preserve">No production client environment is reachable by any path.</w:t>
      </w:r>
    </w:p>
    <w:p>
      <w:pPr>
        <w:pStyle w:val="Heading2"/>
        <w:spacing w:after="110" w:before="280"/>
      </w:pPr>
      <w:r>
        <w:rPr>
          <w:rFonts w:ascii="Calibri" w:cs="Calibri" w:eastAsia="Calibri" w:hAnsi="Calibri"/>
          <w:b/>
          <w:bCs/>
          <w:color w:val="131A18"/>
          <w:sz w:val="23"/>
          <w:szCs w:val="23"/>
        </w:rPr>
        <w:t xml:space="preserve">Keeping client-derived content away from outbound search</w:t>
      </w:r>
    </w:p>
    <w:p>
      <w:pPr>
        <w:spacing w:after="140" w:line="276"/>
      </w:pPr>
      <w:r>
        <w:rPr>
          <w:rFonts w:ascii="Calibri" w:cs="Calibri" w:eastAsia="Calibri" w:hAnsi="Calibri"/>
          <w:color w:val="131A18"/>
          <w:sz w:val="21"/>
          <w:szCs w:val="21"/>
        </w:rPr>
        <w:t xml:space="preserve">One flow needs an explicit interlock. If a conversation has pulled in case content, and the assistant later falls back to web search, the query it composes could carry something from that case outward. The two capabilities are individually reasonable and problematic in sequence.</w:t>
      </w:r>
    </w:p>
    <w:p>
      <w:pPr>
        <w:spacing w:after="140" w:line="276"/>
      </w:pPr>
      <w:r>
        <w:rPr>
          <w:rFonts w:ascii="Calibri" w:cs="Calibri" w:eastAsia="Calibri" w:hAnsi="Calibri"/>
          <w:color w:val="131A18"/>
          <w:sz w:val="21"/>
          <w:szCs w:val="21"/>
        </w:rPr>
        <w:t xml:space="preserve">We propose to close this deterministically rather than by judgment. </w:t>
      </w:r>
      <w:r>
        <w:rPr>
          <w:rFonts w:ascii="Calibri" w:cs="Calibri" w:eastAsia="Calibri" w:hAnsi="Calibri"/>
          <w:b/>
          <w:bCs/>
          <w:color w:val="131A18"/>
          <w:sz w:val="21"/>
          <w:szCs w:val="21"/>
        </w:rPr>
        <w:t xml:space="preserve">Once any integration has returned client-sourced content into a conversation, outbound web search is disabled for the remainder of that conversation</w:t>
      </w:r>
      <w:r>
        <w:rPr>
          <w:rFonts w:ascii="Calibri" w:cs="Calibri" w:eastAsia="Calibri" w:hAnsi="Calibri"/>
          <w:color w:val="131A18"/>
          <w:sz w:val="21"/>
          <w:szCs w:val="21"/>
        </w:rPr>
        <w:t xml:space="preserve"> — a state flag set when the retrieval happens, not an assessment made afterwards. We deliberately do not want a model deciding whether a given exchange is safe to send outside; a probabilistic classifier is the wrong instrument for a control that must not fail.</w:t>
      </w:r>
    </w:p>
    <w:p>
      <w:pPr>
        <w:spacing w:after="140" w:line="276"/>
      </w:pPr>
      <w:r>
        <w:rPr>
          <w:rFonts w:ascii="Calibri" w:cs="Calibri" w:eastAsia="Calibri" w:hAnsi="Calibri"/>
          <w:color w:val="131A18"/>
          <w:sz w:val="21"/>
          <w:szCs w:val="21"/>
        </w:rPr>
        <w:t xml:space="preserve">Two further measures sit alongside it. Search queries are </w:t>
      </w:r>
      <w:r>
        <w:rPr>
          <w:rFonts w:ascii="Calibri" w:cs="Calibri" w:eastAsia="Calibri" w:hAnsi="Calibri"/>
          <w:b/>
          <w:bCs/>
          <w:color w:val="131A18"/>
          <w:sz w:val="21"/>
          <w:szCs w:val="21"/>
        </w:rPr>
        <w:t xml:space="preserve">constructed from extracted parameters</w:t>
      </w:r>
      <w:r>
        <w:rPr>
          <w:rFonts w:ascii="Calibri" w:cs="Calibri" w:eastAsia="Calibri" w:hAnsi="Calibri"/>
          <w:color w:val="131A18"/>
          <w:sz w:val="21"/>
          <w:szCs w:val="21"/>
        </w:rPr>
        <w:t xml:space="preserve"> — product, version, error code — rather than assembled from free conversation text. And known client identifiers are screened before egress, giving a second check that does not depend on the first.</w:t>
      </w:r>
    </w:p>
    <w:p>
      <w:pPr>
        <w:pStyle w:val="Heading2"/>
        <w:spacing w:after="110" w:before="280"/>
      </w:pPr>
      <w:r>
        <w:rPr>
          <w:rFonts w:ascii="Calibri" w:cs="Calibri" w:eastAsia="Calibri" w:hAnsi="Calibri"/>
          <w:b/>
          <w:bCs/>
          <w:color w:val="131A18"/>
          <w:sz w:val="23"/>
          <w:szCs w:val="23"/>
        </w:rPr>
        <w:t xml:space="preserve">Where Kortex acts, not just answers</w:t>
      </w:r>
    </w:p>
    <w:tbl>
      <w:tblPr>
        <w:tblW w:type="dxa" w:w="9360"/>
        <w:tblBorders>
          <w:top w:val="none" w:color="FFFFFF" w:sz="0"/>
          <w:left w:val="single" w:color="A33C22" w:sz="12"/>
          <w:bottom w:val="none" w:color="FFFFFF" w:sz="0"/>
          <w:right w:val="none" w:color="FFFFFF" w:sz="0"/>
          <w:insideH w:val="none" w:color="FFFFFF" w:sz="0"/>
          <w:insideV w:val="none" w:color="FFFFFF" w:sz="0"/>
        </w:tblBorders>
      </w:tblPr>
      <w:tblGrid>
        <w:gridCol w:w="9360"/>
      </w:tblGrid>
      <w:tr>
        <w:tc>
          <w:tcPr>
            <w:tcW w:type="dxa" w:w="9360"/>
            <w:shd w:fill="FBF0EC" w:val="clear"/>
            <w:tcMar>
              <w:top w:type="dxa" w:w="160"/>
              <w:left w:type="dxa" w:w="220"/>
              <w:bottom w:type="dxa" w:w="160"/>
              <w:right w:type="dxa" w:w="220"/>
            </w:tcMar>
          </w:tcPr>
          <w:p>
            <w:pPr>
              <w:spacing w:after="80"/>
            </w:pPr>
            <w:r>
              <w:rPr>
                <w:rFonts w:ascii="Consolas" w:cs="Consolas" w:eastAsia="Consolas" w:hAnsi="Consolas"/>
                <w:b/>
                <w:bCs/>
                <w:color w:val="A33C22"/>
                <w:spacing w:val="30"/>
                <w:sz w:val="15"/>
                <w:szCs w:val="15"/>
              </w:rPr>
              <w:t xml:space="preserve">TWO CAPABILITIES THAT CHANGE STATE</w:t>
            </w:r>
          </w:p>
          <w:p>
            <w:pPr>
              <w:spacing w:after="100" w:line="276"/>
            </w:pPr>
            <w:r>
              <w:rPr>
                <w:rFonts w:ascii="Calibri" w:cs="Calibri" w:eastAsia="Calibri" w:hAnsi="Calibri"/>
                <w:b/>
                <w:bCs/>
                <w:color w:val="131A18"/>
                <w:sz w:val="20"/>
                <w:szCs w:val="20"/>
              </w:rPr>
              <w:t xml:space="preserve">Database operations — in use today.</w:t>
            </w:r>
            <w:r>
              <w:rPr>
                <w:rFonts w:ascii="Calibri" w:cs="Calibri" w:eastAsia="Calibri" w:hAnsi="Calibri"/>
                <w:color w:val="131A18"/>
                <w:sz w:val="20"/>
                <w:szCs w:val="20"/>
              </w:rPr>
              <w:t xml:space="preserve"> Kortex calls our existing database administration application through a dedicated service account. Which users may do what is decided inside Kortex: an administrator grants read and/or write privilege, per database.</w:t>
            </w:r>
          </w:p>
          <w:p>
            <w:pPr>
              <w:spacing w:after="0" w:line="276"/>
            </w:pPr>
            <w:r>
              <w:rPr>
                <w:rFonts w:ascii="Calibri" w:cs="Calibri" w:eastAsia="Calibri" w:hAnsi="Calibri"/>
                <w:b/>
                <w:bCs/>
                <w:color w:val="131A18"/>
                <w:sz w:val="20"/>
                <w:szCs w:val="20"/>
              </w:rPr>
              <w:t xml:space="preserve">Remediation on servers — planned, not built.</w:t>
            </w:r>
            <w:r>
              <w:rPr>
                <w:rFonts w:ascii="Calibri" w:cs="Calibri" w:eastAsia="Calibri" w:hAnsi="Calibri"/>
                <w:color w:val="131A18"/>
                <w:sz w:val="20"/>
                <w:szCs w:val="20"/>
              </w:rPr>
              <w:t xml:space="preserve"> For repetitive vulnerability cases whose fix is well understood, the intent is that Kortex prepares and applies the remediation rather than only reporting it.</w:t>
            </w:r>
          </w:p>
        </w:tc>
      </w:tr>
    </w:tbl>
    <w:p>
      <w:pPr>
        <w:spacing w:after="140"/>
      </w:pPr>
    </w:p>
    <w:p>
      <w:pPr>
        <w:spacing w:after="140" w:line="276"/>
      </w:pPr>
      <w:r>
        <w:rPr>
          <w:rFonts w:ascii="Calibri" w:cs="Calibri" w:eastAsia="Calibri" w:hAnsi="Calibri"/>
          <w:color w:val="131A18"/>
          <w:sz w:val="21"/>
          <w:szCs w:val="21"/>
        </w:rPr>
        <w:t xml:space="preserve">These are a categorical step beyond retrieval, and they attract the governance weight of the initiative. The risks are well understood — most map to the OWASP Top 10 for LLM Applications — and each has a strategy we intend to build to.</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2100"/>
        <w:gridCol w:w="3600"/>
        <w:gridCol w:w="3660"/>
      </w:tblGrid>
      <w:tr>
        <w:trPr>
          <w:tblHeader/>
        </w:trPr>
        <w:tc>
          <w:tcPr>
            <w:tcW w:type="dxa" w:w="21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RISK</w:t>
            </w:r>
          </w:p>
        </w:tc>
        <w:tc>
          <w:tcPr>
            <w:tcW w:type="dxa" w:w="36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WHY IT APPLIES HERE</w:t>
            </w:r>
          </w:p>
        </w:tc>
        <w:tc>
          <w:tcPr>
            <w:tcW w:type="dxa" w:w="36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OUR STRATEGY</w:t>
            </w:r>
          </w:p>
        </w:tc>
      </w:tr>
      <w:tr>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Prompt injection reaching an action</w:t>
            </w:r>
          </w:p>
        </w:tc>
        <w:tc>
          <w:tcPr>
            <w:tcW w:type="dxa" w:w="3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Retrieved document content enters the model's context and influences what it does. With an action capability attached, a document carrying instructions could in principle steer an operation.</w:t>
            </w:r>
          </w:p>
        </w:tc>
        <w:tc>
          <w:tcPr>
            <w:tcW w:type="dxa" w:w="36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No path from retrieved content to a state change without a person in between. Documents are reviewed before ingestion, so the corpus is a controlled input.</w:t>
            </w:r>
          </w:p>
        </w:tc>
      </w:tr>
      <w:tr>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Excessive agency</w:t>
            </w:r>
          </w:p>
        </w:tc>
        <w:tc>
          <w:tcPr>
            <w:tcW w:type="dxa" w:w="3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An agent granted broad capability can take actions wider than the request warranted, and a model's choice of action is not deterministic.</w:t>
            </w:r>
          </w:p>
        </w:tc>
        <w:tc>
          <w:tcPr>
            <w:tcW w:type="dxa" w:w="36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Read and write are separate capabilities with separate grants. Every state change requires explicit human confirmation showing the exact operation. Server remediation limited to a closed, named list of case types.</w:t>
            </w:r>
          </w:p>
        </w:tc>
      </w:tr>
      <w:tr>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Attribution</w:t>
            </w:r>
          </w:p>
        </w:tc>
        <w:tc>
          <w:tcPr>
            <w:tcW w:type="dxa" w:w="3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Downstream systems see the Kortex service account rather than the person who asked.</w:t>
            </w:r>
          </w:p>
        </w:tc>
        <w:tc>
          <w:tcPr>
            <w:tcW w:type="dxa" w:w="36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Kortex passes the requesting user's identity on every downstream call, and the database administration application records it. Kortex keeps its own trail: who asked, what was proposed, who approved, what ran.</w:t>
            </w:r>
          </w:p>
        </w:tc>
      </w:tr>
      <w:tr>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Privilege escalation into Kortex</w:t>
            </w:r>
          </w:p>
        </w:tc>
        <w:tc>
          <w:tcPr>
            <w:tcW w:type="dxa" w:w="3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Holding a privileged downstream credential makes Kortex itself a target.</w:t>
            </w:r>
          </w:p>
        </w:tc>
        <w:tc>
          <w:tcPr>
            <w:tcW w:type="dxa" w:w="36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The authentication and authorisation hardening in Section 8 is treated as a prerequisite for the action capabilities, and is sequenced first.</w:t>
            </w:r>
          </w:p>
        </w:tc>
      </w:tr>
      <w:tr>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Blast radius</w:t>
            </w:r>
          </w:p>
        </w:tc>
        <w:tc>
          <w:tcPr>
            <w:tcW w:type="dxa" w:w="3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An automated remediation applied at speed can be applied at scale.</w:t>
            </w:r>
          </w:p>
        </w:tc>
        <w:tc>
          <w:tcPr>
            <w:tcW w:type="dxa" w:w="36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One target at a time, rate-limited, never fleet-wide. Every action reversible, with rollback prepared before execution.</w:t>
            </w:r>
          </w:p>
        </w:tc>
      </w:tr>
      <w:tr>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Misinformation acted upon</w:t>
            </w:r>
          </w:p>
        </w:tc>
        <w:tc>
          <w:tcPr>
            <w:tcW w:type="dxa" w:w="3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 vulnerability verdict or proposed fix could be wrong, and wrong in a way that reads as confident.</w:t>
            </w:r>
          </w:p>
        </w:tc>
        <w:tc>
          <w:tcPr>
            <w:tcW w:type="dxa" w:w="36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No verdict counts as an assessment of record without named human confirmation. Answers cite their sources.</w:t>
            </w:r>
          </w:p>
        </w:tc>
      </w:tr>
    </w:tbl>
    <w:p>
      <w:pPr>
        <w:spacing w:after="200"/>
      </w:pPr>
    </w:p>
    <w:p>
      <w:pPr>
        <w:pStyle w:val="Heading2"/>
        <w:spacing w:after="110" w:before="280"/>
      </w:pPr>
      <w:r>
        <w:rPr>
          <w:rFonts w:ascii="Calibri" w:cs="Calibri" w:eastAsia="Calibri" w:hAnsi="Calibri"/>
          <w:b/>
          <w:bCs/>
          <w:color w:val="131A18"/>
          <w:sz w:val="23"/>
          <w:szCs w:val="23"/>
        </w:rPr>
        <w:t xml:space="preserve">Quality control on what enters the corpus</w:t>
      </w:r>
    </w:p>
    <w:p>
      <w:pPr>
        <w:spacing w:after="140" w:line="276"/>
      </w:pPr>
      <w:r>
        <w:rPr>
          <w:rFonts w:ascii="Calibri" w:cs="Calibri" w:eastAsia="Calibri" w:hAnsi="Calibri"/>
          <w:color w:val="131A18"/>
          <w:sz w:val="21"/>
          <w:szCs w:val="21"/>
        </w:rPr>
        <w:t xml:space="preserve">Because everything Kortex asserts is grounded in the corpus, what goes into it matters as much as who can query it. </w:t>
      </w:r>
      <w:r>
        <w:rPr>
          <w:rFonts w:ascii="Calibri" w:cs="Calibri" w:eastAsia="Calibri" w:hAnsi="Calibri"/>
          <w:b/>
          <w:bCs/>
          <w:color w:val="131A18"/>
          <w:sz w:val="21"/>
          <w:szCs w:val="21"/>
        </w:rPr>
        <w:t xml:space="preserve">Ingested documents pass through administrator review before they are indexed.</w:t>
      </w:r>
      <w:r>
        <w:rPr>
          <w:rFonts w:ascii="Calibri" w:cs="Calibri" w:eastAsia="Calibri" w:hAnsi="Calibri"/>
          <w:color w:val="131A18"/>
          <w:sz w:val="21"/>
          <w:szCs w:val="21"/>
        </w:rPr>
        <w:t xml:space="preserve"> That review is the control point for three things at once: whether the document is accurate enough to ground answers, whether it carries client or personal data that should not be present, and whether it contains anything that should not be treated as instruction.</w:t>
      </w:r>
    </w:p>
    <w:p>
      <w:pPr>
        <w:pStyle w:val="Heading2"/>
        <w:spacing w:after="110" w:before="280"/>
      </w:pPr>
      <w:r>
        <w:rPr>
          <w:rFonts w:ascii="Calibri" w:cs="Calibri" w:eastAsia="Calibri" w:hAnsi="Calibri"/>
          <w:b/>
          <w:bCs/>
          <w:color w:val="131A18"/>
          <w:sz w:val="23"/>
          <w:szCs w:val="23"/>
        </w:rPr>
        <w:t xml:space="preserve">Retention and erasure</w:t>
      </w:r>
    </w:p>
    <w:p>
      <w:pPr>
        <w:pStyle w:val="ListParagraph"/>
        <w:numPr>
          <w:ilvl w:val="0"/>
          <w:numId w:val="2"/>
        </w:numPr>
        <w:spacing w:after="90" w:line="276"/>
      </w:pPr>
      <w:r>
        <w:rPr>
          <w:rFonts w:ascii="Calibri" w:cs="Calibri" w:eastAsia="Calibri" w:hAnsi="Calibri"/>
          <w:b/>
          <w:bCs/>
          <w:color w:val="131A18"/>
          <w:sz w:val="21"/>
          <w:szCs w:val="21"/>
        </w:rPr>
        <w:t xml:space="preserve">Chat history</w:t>
      </w:r>
      <w:r>
        <w:rPr>
          <w:rFonts w:ascii="Calibri" w:cs="Calibri" w:eastAsia="Calibri" w:hAnsi="Calibri"/>
          <w:color w:val="131A18"/>
          <w:sz w:val="21"/>
          <w:szCs w:val="21"/>
        </w:rPr>
        <w:t xml:space="preserve"> — expires automatically after 24 hours. Already designed in.</w:t>
      </w:r>
    </w:p>
    <w:p>
      <w:pPr>
        <w:pStyle w:val="ListParagraph"/>
        <w:numPr>
          <w:ilvl w:val="0"/>
          <w:numId w:val="2"/>
        </w:numPr>
        <w:spacing w:after="90" w:line="276"/>
      </w:pPr>
      <w:r>
        <w:rPr>
          <w:rFonts w:ascii="Calibri" w:cs="Calibri" w:eastAsia="Calibri" w:hAnsi="Calibri"/>
          <w:b/>
          <w:bCs/>
          <w:color w:val="131A18"/>
          <w:sz w:val="21"/>
          <w:szCs w:val="21"/>
        </w:rPr>
        <w:t xml:space="preserve">Observability traces</w:t>
      </w:r>
      <w:r>
        <w:rPr>
          <w:rFonts w:ascii="Calibri" w:cs="Calibri" w:eastAsia="Calibri" w:hAnsi="Calibri"/>
          <w:color w:val="131A18"/>
          <w:sz w:val="21"/>
          <w:szCs w:val="21"/>
        </w:rPr>
        <w:t xml:space="preserve"> — capture full prompts and responses. No retention policy is set; we are asking for a ruling (D-4).</w:t>
      </w:r>
    </w:p>
    <w:p>
      <w:pPr>
        <w:pStyle w:val="ListParagraph"/>
        <w:numPr>
          <w:ilvl w:val="0"/>
          <w:numId w:val="2"/>
        </w:numPr>
        <w:spacing w:after="90" w:line="276"/>
      </w:pPr>
      <w:r>
        <w:rPr>
          <w:rFonts w:ascii="Calibri" w:cs="Calibri" w:eastAsia="Calibri" w:hAnsi="Calibri"/>
          <w:b/>
          <w:bCs/>
          <w:color w:val="131A18"/>
          <w:sz w:val="21"/>
          <w:szCs w:val="21"/>
        </w:rPr>
        <w:t xml:space="preserve">Corpus documents</w:t>
      </w:r>
      <w:r>
        <w:rPr>
          <w:rFonts w:ascii="Calibri" w:cs="Calibri" w:eastAsia="Calibri" w:hAnsi="Calibri"/>
          <w:color w:val="131A18"/>
          <w:sz w:val="21"/>
          <w:szCs w:val="21"/>
        </w:rPr>
        <w:t xml:space="preserve"> — individually removable by content hash, taking all derived extracts with them.</w:t>
      </w:r>
    </w:p>
    <w:p>
      <w:pPr>
        <w:pStyle w:val="ListParagraph"/>
        <w:numPr>
          <w:ilvl w:val="0"/>
          <w:numId w:val="2"/>
        </w:numPr>
        <w:spacing w:after="90" w:line="276"/>
      </w:pPr>
      <w:r>
        <w:rPr>
          <w:rFonts w:ascii="Calibri" w:cs="Calibri" w:eastAsia="Calibri" w:hAnsi="Calibri"/>
          <w:b/>
          <w:bCs/>
          <w:color w:val="131A18"/>
          <w:sz w:val="21"/>
          <w:szCs w:val="21"/>
        </w:rPr>
        <w:t xml:space="preserve">User offboarding</w:t>
      </w:r>
      <w:r>
        <w:rPr>
          <w:rFonts w:ascii="Calibri" w:cs="Calibri" w:eastAsia="Calibri" w:hAnsi="Calibri"/>
          <w:color w:val="131A18"/>
          <w:sz w:val="21"/>
          <w:szCs w:val="21"/>
        </w:rPr>
        <w:t xml:space="preserve"> — what happens to a departing user's history and traces needs defining alongside D-4.</w:t>
      </w:r>
    </w:p>
    <w:p>
      <w:pPr>
        <w:pStyle w:val="Heading2"/>
        <w:spacing w:after="110" w:before="280"/>
      </w:pPr>
      <w:r>
        <w:rPr>
          <w:rFonts w:ascii="Calibri" w:cs="Calibri" w:eastAsia="Calibri" w:hAnsi="Calibri"/>
          <w:b/>
          <w:bCs/>
          <w:color w:val="131A18"/>
          <w:sz w:val="23"/>
          <w:szCs w:val="23"/>
        </w:rPr>
        <w:t xml:space="preserve">Regulatory questions we need confirmed</w:t>
      </w:r>
    </w:p>
    <w:p>
      <w:pPr>
        <w:spacing w:after="140" w:line="276"/>
      </w:pPr>
      <w:r>
        <w:rPr>
          <w:rFonts w:ascii="Calibri" w:cs="Calibri" w:eastAsia="Calibri" w:hAnsi="Calibri"/>
          <w:color w:val="131A18"/>
          <w:sz w:val="21"/>
          <w:szCs w:val="21"/>
        </w:rPr>
        <w:t xml:space="preserve">We are flagging these as questions rather than asserting answers.</w:t>
      </w:r>
    </w:p>
    <w:p>
      <w:pPr>
        <w:pStyle w:val="ListParagraph"/>
        <w:numPr>
          <w:ilvl w:val="0"/>
          <w:numId w:val="2"/>
        </w:numPr>
        <w:spacing w:after="90" w:line="276"/>
      </w:pPr>
      <w:r>
        <w:rPr>
          <w:rFonts w:ascii="Calibri" w:cs="Calibri" w:eastAsia="Calibri" w:hAnsi="Calibri"/>
          <w:color w:val="131A18"/>
          <w:sz w:val="21"/>
          <w:szCs w:val="21"/>
        </w:rPr>
        <w:t xml:space="preserve">Whether this must be registered in a Finastra AI system inventory, and under what classification.</w:t>
      </w:r>
    </w:p>
    <w:p>
      <w:pPr>
        <w:pStyle w:val="ListParagraph"/>
        <w:numPr>
          <w:ilvl w:val="0"/>
          <w:numId w:val="2"/>
        </w:numPr>
        <w:spacing w:after="90" w:line="276"/>
      </w:pPr>
      <w:r>
        <w:rPr>
          <w:rFonts w:ascii="Calibri" w:cs="Calibri" w:eastAsia="Calibri" w:hAnsi="Calibri"/>
          <w:color w:val="131A18"/>
          <w:sz w:val="21"/>
          <w:szCs w:val="21"/>
        </w:rPr>
        <w:t xml:space="preserve">Its classification under the EU AI Act. We would expect an internal productivity assistant to sit well below the high-risk threshold — but that is an expectation, not a determination.</w:t>
      </w:r>
    </w:p>
    <w:p>
      <w:pPr>
        <w:pStyle w:val="ListParagraph"/>
        <w:numPr>
          <w:ilvl w:val="0"/>
          <w:numId w:val="2"/>
        </w:numPr>
        <w:spacing w:after="90" w:line="276"/>
      </w:pPr>
      <w:r>
        <w:rPr>
          <w:rFonts w:ascii="Calibri" w:cs="Calibri" w:eastAsia="Calibri" w:hAnsi="Calibri"/>
          <w:color w:val="131A18"/>
          <w:sz w:val="21"/>
          <w:szCs w:val="21"/>
        </w:rPr>
        <w:t xml:space="preserve">Whether a data protection impact assessment is required, given that user-typed questions may incidentally contain personal data.</w:t>
      </w:r>
    </w:p>
    <w:p>
      <w:pPr>
        <w:pStyle w:val="ListParagraph"/>
        <w:numPr>
          <w:ilvl w:val="0"/>
          <w:numId w:val="2"/>
        </w:numPr>
        <w:spacing w:after="90" w:line="276"/>
      </w:pPr>
      <w:r>
        <w:rPr>
          <w:rFonts w:ascii="Calibri" w:cs="Calibri" w:eastAsia="Calibri" w:hAnsi="Calibri"/>
          <w:color w:val="131A18"/>
          <w:sz w:val="21"/>
          <w:szCs w:val="21"/>
        </w:rPr>
        <w:t xml:space="preserve">Whether ICT third-party risk obligations arising from Finastra's position as a supplier to financial institutions extend to a model provider used in internal tooling.</w:t>
      </w:r>
    </w:p>
    <w:p>
      <w:pPr>
        <w:pStyle w:val="ListParagraph"/>
        <w:numPr>
          <w:ilvl w:val="0"/>
          <w:numId w:val="2"/>
        </w:numPr>
        <w:spacing w:after="90" w:line="276"/>
      </w:pPr>
      <w:r>
        <w:rPr>
          <w:rFonts w:ascii="Calibri" w:cs="Calibri" w:eastAsia="Calibri" w:hAnsi="Calibri"/>
          <w:color w:val="131A18"/>
          <w:sz w:val="21"/>
          <w:szCs w:val="21"/>
        </w:rPr>
        <w:t xml:space="preserve">What, if anything, must be disclosed to clients about AI use in the processes that support their products.</w:t>
      </w:r>
    </w:p>
    <w:p>
      <w:pPr>
        <w:pStyle w:val="Heading1"/>
        <w:pBdr>
          <w:bottom w:val="single" w:color="D9E0DE" w:sz="6" w:space="6"/>
        </w:pBdr>
        <w:spacing w:after="180" w:before="420"/>
      </w:pPr>
      <w:r>
        <w:rPr>
          <w:rFonts w:ascii="Calibri" w:cs="Calibri" w:eastAsia="Calibri" w:hAnsi="Calibri"/>
          <w:b/>
          <w:bCs/>
          <w:color w:val="131A18"/>
          <w:sz w:val="30"/>
          <w:szCs w:val="30"/>
        </w:rPr>
        <w:t xml:space="preserve">8. Security, compliance and governance</w:t>
      </w:r>
    </w:p>
    <w:p>
      <w:pPr>
        <w:spacing w:after="140" w:line="276"/>
      </w:pPr>
      <w:r>
        <w:rPr>
          <w:rFonts w:ascii="Calibri" w:cs="Calibri" w:eastAsia="Calibri" w:hAnsi="Calibri"/>
          <w:color w:val="131A18"/>
          <w:sz w:val="21"/>
          <w:szCs w:val="21"/>
        </w:rPr>
        <w:t xml:space="preserve">The platform has been developed against the OWASP Top 10 and the team maintains its own control assessment. Below is what is designed and working today, and what must change before anyone outside the pilot team uses it.</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1900"/>
        <w:gridCol w:w="3730"/>
        <w:gridCol w:w="3730"/>
      </w:tblGrid>
      <w:tr>
        <w:trPr>
          <w:tblHeader/>
        </w:trPr>
        <w:tc>
          <w:tcPr>
            <w:tcW w:type="dxa" w:w="19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AREA</w:t>
            </w:r>
          </w:p>
        </w:tc>
        <w:tc>
          <w:tcPr>
            <w:tcW w:type="dxa" w:w="373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DEVELOPMENT STAGE TODAY</w:t>
            </w:r>
          </w:p>
        </w:tc>
        <w:tc>
          <w:tcPr>
            <w:tcW w:type="dxa" w:w="373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REQUIRED BEFORE WIDER USE</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Authentication</w:t>
            </w:r>
          </w:p>
        </w:tc>
        <w:tc>
          <w:tcPr>
            <w:tcW w:type="dxa" w:w="373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Corporate OIDC; every API route requires a valid token validated against the provider's signing keys.</w:t>
            </w:r>
          </w:p>
        </w:tc>
        <w:tc>
          <w:tcPr>
            <w:tcW w:type="dxa" w:w="373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Move from the identity token to a properly scoped API access token, and add refresh handling.</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Authorisation</w:t>
            </w:r>
          </w:p>
        </w:tc>
        <w:tc>
          <w:tcPr>
            <w:tcW w:type="dxa" w:w="373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Five roles mapped to three modules, deny-by-default, enforced server-side. Working.</w:t>
            </w:r>
          </w:p>
        </w:tc>
        <w:tc>
          <w:tcPr>
            <w:tcW w:type="dxa" w:w="373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Add retrieval-time entitlement filtering, and entitlement pass-through on case retrieval.</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Transport security</w:t>
            </w:r>
          </w:p>
        </w:tc>
        <w:tc>
          <w:tcPr>
            <w:tcW w:type="dxa" w:w="3730"/>
            <w:tcMar>
              <w:top w:type="dxa" w:w="100"/>
              <w:left w:type="dxa" w:w="140"/>
              <w:bottom w:type="dxa" w:w="100"/>
              <w:right w:type="dxa" w:w="140"/>
            </w:tcMar>
          </w:tcPr>
          <w:p>
            <w:pPr>
              <w:spacing w:after="0" w:line="260"/>
            </w:pPr>
            <w:r>
              <w:rPr>
                <w:rFonts w:ascii="Calibri" w:cs="Calibri" w:eastAsia="Calibri" w:hAnsi="Calibri"/>
                <w:b/>
                <w:bCs/>
                <w:color w:val="131A18"/>
                <w:sz w:val="19"/>
                <w:szCs w:val="19"/>
              </w:rPr>
              <w:t xml:space="preserve">Development exception.</w:t>
            </w:r>
            <w:r>
              <w:rPr>
                <w:rFonts w:ascii="Calibri" w:cs="Calibri" w:eastAsia="Calibri" w:hAnsi="Calibri"/>
                <w:color w:val="131A18"/>
                <w:sz w:val="19"/>
                <w:szCs w:val="19"/>
              </w:rPr>
              <w:t xml:space="preserve"> Certificate verification is disabled on outbound model calls to work around the corporate proxy's TLS interception.</w:t>
            </w:r>
          </w:p>
        </w:tc>
        <w:tc>
          <w:tcPr>
            <w:tcW w:type="dxa" w:w="373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Mount the corporate CA bundle and restore verification. Single change, closes every affected call site.</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Secrets</w:t>
            </w:r>
          </w:p>
        </w:tc>
        <w:tc>
          <w:tcPr>
            <w:tcW w:type="dxa" w:w="373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Encrypted at rest with SOPS and age; plaintext never committed.</w:t>
            </w:r>
          </w:p>
        </w:tc>
        <w:tc>
          <w:tcPr>
            <w:tcW w:type="dxa" w:w="373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Move to a managed secret store; remove build-time secrets from container images.</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Application hardening</w:t>
            </w:r>
          </w:p>
        </w:tc>
        <w:tc>
          <w:tcPr>
            <w:tcW w:type="dxa" w:w="373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Security headers on every response, restricted CORS, input sanitisation, rate limiting, non-root containers.</w:t>
            </w:r>
          </w:p>
        </w:tc>
        <w:tc>
          <w:tcPr>
            <w:tcW w:type="dxa" w:w="373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Make rate limiting per-user rather than per-source-address; validate upload paths; allowlist selectable models.</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Audit and observability</w:t>
            </w:r>
          </w:p>
        </w:tc>
        <w:tc>
          <w:tcPr>
            <w:tcW w:type="dxa" w:w="373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Structured logging including provisioning and access-request events; metrics; full model-call tracing.</w:t>
            </w:r>
          </w:p>
        </w:tc>
        <w:tc>
          <w:tcPr>
            <w:tcW w:type="dxa" w:w="373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Set the trace retention policy (D-4); add an audit record for confirmed actions.</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Testing and assurance</w:t>
            </w:r>
          </w:p>
        </w:tc>
        <w:tc>
          <w:tcPr>
            <w:tcW w:type="dxa" w:w="3730"/>
            <w:tcMar>
              <w:top w:type="dxa" w:w="100"/>
              <w:left w:type="dxa" w:w="140"/>
              <w:bottom w:type="dxa" w:w="100"/>
              <w:right w:type="dxa" w:w="140"/>
            </w:tcMar>
          </w:tcPr>
          <w:p>
            <w:pPr>
              <w:spacing w:after="0" w:line="260"/>
            </w:pPr>
            <w:r>
              <w:rPr>
                <w:rFonts w:ascii="Calibri" w:cs="Calibri" w:eastAsia="Calibri" w:hAnsi="Calibri"/>
                <w:b/>
                <w:bCs/>
                <w:color w:val="131A18"/>
                <w:sz w:val="19"/>
                <w:szCs w:val="19"/>
              </w:rPr>
              <w:t xml:space="preserve">None.</w:t>
            </w:r>
            <w:r>
              <w:rPr>
                <w:rFonts w:ascii="Calibri" w:cs="Calibri" w:eastAsia="Calibri" w:hAnsi="Calibri"/>
                <w:color w:val="131A18"/>
                <w:sz w:val="19"/>
                <w:szCs w:val="19"/>
              </w:rPr>
              <w:t xml:space="preserve"> No automated test suite and no CI security gates.</w:t>
            </w:r>
          </w:p>
        </w:tc>
        <w:tc>
          <w:tcPr>
            <w:tcW w:type="dxa" w:w="373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Test the controls we claim, and gate the pipeline on linting, dependency and secret scanning.</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Supply chain</w:t>
            </w:r>
          </w:p>
        </w:tc>
        <w:tc>
          <w:tcPr>
            <w:tcW w:type="dxa" w:w="3730"/>
            <w:tcMar>
              <w:top w:type="dxa" w:w="100"/>
              <w:left w:type="dxa" w:w="140"/>
              <w:bottom w:type="dxa" w:w="100"/>
              <w:right w:type="dxa" w:w="140"/>
            </w:tcMar>
          </w:tcPr>
          <w:p>
            <w:pPr>
              <w:spacing w:after="0" w:line="260"/>
            </w:pPr>
            <w:r>
              <w:rPr>
                <w:rFonts w:ascii="Calibri" w:cs="Calibri" w:eastAsia="Calibri" w:hAnsi="Calibri"/>
                <w:b/>
                <w:bCs/>
                <w:color w:val="131A18"/>
                <w:sz w:val="19"/>
                <w:szCs w:val="19"/>
              </w:rPr>
              <w:t xml:space="preserve">Partial.</w:t>
            </w:r>
            <w:r>
              <w:rPr>
                <w:rFonts w:ascii="Calibri" w:cs="Calibri" w:eastAsia="Calibri" w:hAnsi="Calibri"/>
                <w:color w:val="131A18"/>
                <w:sz w:val="19"/>
                <w:szCs w:val="19"/>
              </w:rPr>
              <w:t xml:space="preserve"> Our own assessment marks this incomplete.</w:t>
            </w:r>
          </w:p>
        </w:tc>
        <w:tc>
          <w:tcPr>
            <w:tcW w:type="dxa" w:w="373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Dependency scanning, software bill of materials, image signing.</w:t>
            </w:r>
          </w:p>
        </w:tc>
      </w:tr>
      <w:tr>
        <w:tc>
          <w:tcPr>
            <w:tcW w:type="dxa" w:w="19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Answer quality</w:t>
            </w:r>
          </w:p>
        </w:tc>
        <w:tc>
          <w:tcPr>
            <w:tcW w:type="dxa" w:w="3730"/>
            <w:tcMar>
              <w:top w:type="dxa" w:w="100"/>
              <w:left w:type="dxa" w:w="140"/>
              <w:bottom w:type="dxa" w:w="100"/>
              <w:right w:type="dxa" w:w="140"/>
            </w:tcMar>
          </w:tcPr>
          <w:p>
            <w:pPr>
              <w:spacing w:after="0" w:line="260"/>
            </w:pPr>
            <w:r>
              <w:rPr>
                <w:rFonts w:ascii="Calibri" w:cs="Calibri" w:eastAsia="Calibri" w:hAnsi="Calibri"/>
                <w:b/>
                <w:bCs/>
                <w:color w:val="131A18"/>
                <w:sz w:val="19"/>
                <w:szCs w:val="19"/>
              </w:rPr>
              <w:t xml:space="preserve">Unmeasured.</w:t>
            </w:r>
            <w:r>
              <w:rPr>
                <w:rFonts w:ascii="Calibri" w:cs="Calibri" w:eastAsia="Calibri" w:hAnsi="Calibri"/>
                <w:color w:val="131A18"/>
                <w:sz w:val="19"/>
                <w:szCs w:val="19"/>
              </w:rPr>
              <w:t xml:space="preserve"> Nothing evaluates whether answers are correct or properly grounded.</w:t>
            </w:r>
          </w:p>
        </w:tc>
        <w:tc>
          <w:tcPr>
            <w:tcW w:type="dxa" w:w="373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Groundedness and citation scoring, plus a fixed retrieval regression set.</w:t>
            </w:r>
          </w:p>
        </w:tc>
      </w:tr>
    </w:tbl>
    <w:p>
      <w:pPr>
        <w:spacing w:after="200"/>
      </w:pPr>
    </w:p>
    <w:tbl>
      <w:tblPr>
        <w:tblW w:type="dxa" w:w="9360"/>
        <w:tblBorders>
          <w:top w:val="none" w:color="FFFFFF" w:sz="0"/>
          <w:left w:val="single" w:color="0E6B60" w:sz="12"/>
          <w:bottom w:val="none" w:color="FFFFFF" w:sz="0"/>
          <w:right w:val="none" w:color="FFFFFF" w:sz="0"/>
          <w:insideH w:val="none" w:color="FFFFFF" w:sz="0"/>
          <w:insideV w:val="none" w:color="FFFFFF" w:sz="0"/>
        </w:tblBorders>
      </w:tblPr>
      <w:tblGrid>
        <w:gridCol w:w="9360"/>
      </w:tblGrid>
      <w:tr>
        <w:tc>
          <w:tcPr>
            <w:tcW w:type="dxa" w:w="9360"/>
            <w:shd w:fill="F2F6F5" w:val="clear"/>
            <w:tcMar>
              <w:top w:type="dxa" w:w="160"/>
              <w:left w:type="dxa" w:w="220"/>
              <w:bottom w:type="dxa" w:w="160"/>
              <w:right w:type="dxa" w:w="220"/>
            </w:tcMar>
          </w:tcPr>
          <w:p>
            <w:pPr>
              <w:spacing w:after="80"/>
            </w:pPr>
            <w:r>
              <w:rPr>
                <w:rFonts w:ascii="Consolas" w:cs="Consolas" w:eastAsia="Consolas" w:hAnsi="Consolas"/>
                <w:b/>
                <w:bCs/>
                <w:color w:val="0E6B60"/>
                <w:spacing w:val="30"/>
                <w:sz w:val="15"/>
                <w:szCs w:val="15"/>
              </w:rPr>
              <w:t xml:space="preserve">ON THE DEVELOPMENT EXCEPTION</w:t>
            </w:r>
          </w:p>
          <w:p>
            <w:pPr>
              <w:spacing w:after="0" w:line="276"/>
            </w:pPr>
            <w:r>
              <w:rPr>
                <w:rFonts w:ascii="Calibri" w:cs="Calibri" w:eastAsia="Calibri" w:hAnsi="Calibri"/>
                <w:color w:val="131A18"/>
                <w:sz w:val="20"/>
                <w:szCs w:val="20"/>
              </w:rPr>
              <w:t xml:space="preserve">Disabling certificate verification was a deliberate shortcut to get past corporate proxy interception during early development, and the correct fix is recorded alongside it in the code. We are naming it here rather than leaving it to be found: it must not survive into anything users depend on, and it is the first item in the hardening work.</w:t>
            </w:r>
          </w:p>
        </w:tc>
      </w:tr>
    </w:tbl>
    <w:p>
      <w:pPr>
        <w:spacing w:after="140"/>
      </w:pPr>
    </w:p>
    <w:p>
      <w:pPr>
        <w:spacing w:after="140" w:line="276"/>
      </w:pPr>
      <w:r>
        <w:rPr>
          <w:rFonts w:ascii="Calibri" w:cs="Calibri" w:eastAsia="Calibri" w:hAnsi="Calibri"/>
          <w:color w:val="131A18"/>
          <w:sz w:val="21"/>
          <w:szCs w:val="21"/>
        </w:rPr>
        <w:t xml:space="preserve">The full engineering task list behind this table — every item, with file references and sequencing — is maintained alongside the codebase and can be provided to the CoE or to a security reviewer on request.</w:t>
      </w:r>
    </w:p>
    <w:p>
      <w:pPr>
        <w:pStyle w:val="Heading1"/>
        <w:pBdr>
          <w:bottom w:val="single" w:color="D9E0DE" w:sz="6" w:space="6"/>
        </w:pBdr>
        <w:spacing w:after="180" w:before="420"/>
      </w:pPr>
      <w:r>
        <w:rPr>
          <w:rFonts w:ascii="Calibri" w:cs="Calibri" w:eastAsia="Calibri" w:hAnsi="Calibri"/>
          <w:b/>
          <w:bCs/>
          <w:color w:val="131A18"/>
          <w:sz w:val="30"/>
          <w:szCs w:val="30"/>
        </w:rPr>
        <w:t xml:space="preserve">9. Roadmap and next steps</w:t>
      </w:r>
    </w:p>
    <w:p>
      <w:pPr>
        <w:spacing w:after="140" w:line="276"/>
      </w:pPr>
      <w:r>
        <w:rPr>
          <w:rFonts w:ascii="Calibri" w:cs="Calibri" w:eastAsia="Calibri" w:hAnsi="Calibri"/>
          <w:color w:val="131A18"/>
          <w:sz w:val="21"/>
          <w:szCs w:val="21"/>
        </w:rPr>
        <w:t xml:space="preserve">Development has run through three architectural iterations, each addressing a limitation of the previous one, and is now paused.</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800"/>
        <w:gridCol w:w="2000"/>
        <w:gridCol w:w="5060"/>
        <w:gridCol w:w="1500"/>
      </w:tblGrid>
      <w:tr>
        <w:trPr>
          <w:tblHeader/>
        </w:trPr>
        <w:tc>
          <w:tcPr>
            <w:tcW w:type="dxa" w:w="8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STAGE</w:t>
            </w:r>
          </w:p>
        </w:tc>
        <w:tc>
          <w:tcPr>
            <w:tcW w:type="dxa" w:w="20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CHANGE</w:t>
            </w:r>
          </w:p>
        </w:tc>
        <w:tc>
          <w:tcPr>
            <w:tcW w:type="dxa" w:w="50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WHY</w:t>
            </w:r>
          </w:p>
        </w:tc>
        <w:tc>
          <w:tcPr>
            <w:tcW w:type="dxa" w:w="15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STATUS</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v1.0</w:t>
            </w:r>
          </w:p>
        </w:tc>
        <w:tc>
          <w:tcPr>
            <w:tcW w:type="dxa" w:w="20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Retrieval-augmented assistant</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Baseline: always retrieve, then answer. Simple, but it searched the corpus even for greetings and could not reach outside it.</w:t>
            </w:r>
          </w:p>
        </w:tc>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Working</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v1.1</w:t>
            </w:r>
          </w:p>
        </w:tc>
        <w:tc>
          <w:tcPr>
            <w:tcW w:type="dxa" w:w="20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Relevance grading and fallback</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The model decides whether to retrieve, grades what comes back, and falls back to web search when internal documents are insufficient.</w:t>
            </w:r>
          </w:p>
        </w:tc>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Working</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v1.2</w:t>
            </w:r>
          </w:p>
        </w:tc>
        <w:tc>
          <w:tcPr>
            <w:tcW w:type="dxa" w:w="20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Multi-agent orchestration</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One retrieval pipeline could not serve CVE assessment and database operations. Intent classification now routes to specialised agents.</w:t>
            </w:r>
          </w:p>
        </w:tc>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Not validated</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t>
            </w:r>
          </w:p>
        </w:tc>
        <w:tc>
          <w:tcPr>
            <w:tcW w:type="dxa" w:w="20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Model provider</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Restore a sanctioned inference and embedding service so development can resume.</w:t>
            </w:r>
          </w:p>
        </w:tc>
        <w:tc>
          <w:tcPr>
            <w:tcW w:type="dxa" w:w="1500"/>
            <w:tcMar>
              <w:top w:type="dxa" w:w="100"/>
              <w:left w:type="dxa" w:w="140"/>
              <w:bottom w:type="dxa" w:w="100"/>
              <w:right w:type="dxa" w:w="140"/>
            </w:tcMar>
          </w:tcPr>
          <w:p>
            <w:pPr>
              <w:spacing w:after="0" w:line="260"/>
            </w:pPr>
            <w:r>
              <w:rPr>
                <w:rFonts w:ascii="Calibri" w:cs="Calibri" w:eastAsia="Calibri" w:hAnsi="Calibri"/>
                <w:b/>
                <w:bCs/>
                <w:color w:val="131A18"/>
                <w:sz w:val="19"/>
                <w:szCs w:val="19"/>
              </w:rPr>
              <w:t xml:space="preserve">Blocked — D-1</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t>
            </w:r>
          </w:p>
        </w:tc>
        <w:tc>
          <w:tcPr>
            <w:tcW w:type="dxa" w:w="20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Design decisions</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Settle retrieval-time entitlements, the token model, the human gate on verdicts, trace retention and the corpus classification policy.</w:t>
            </w:r>
          </w:p>
        </w:tc>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Next</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t>
            </w:r>
          </w:p>
        </w:tc>
        <w:tc>
          <w:tcPr>
            <w:tcW w:type="dxa" w:w="20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Hardening</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Restore certificate verification, per-user rate limiting, upload validation, secret handling in images.</w:t>
            </w:r>
          </w:p>
        </w:tc>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Then</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t>
            </w:r>
          </w:p>
        </w:tc>
        <w:tc>
          <w:tcPr>
            <w:tcW w:type="dxa" w:w="20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Evidence</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Test the controls we claim; add CI gates; measure answer quality; establish the four-week benefit baseline.</w:t>
            </w:r>
          </w:p>
        </w:tc>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Gate</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t>
            </w:r>
          </w:p>
        </w:tc>
        <w:tc>
          <w:tcPr>
            <w:tcW w:type="dxa" w:w="20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Operational readiness</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Named ownership, support model, runbook, managed runtime, backup and restore.</w:t>
            </w:r>
          </w:p>
        </w:tc>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Gate</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v2.0</w:t>
            </w:r>
          </w:p>
        </w:tc>
        <w:tc>
          <w:tcPr>
            <w:tcW w:type="dxa" w:w="20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Supported internal service</w:t>
            </w:r>
          </w:p>
        </w:tc>
        <w:tc>
          <w:tcPr>
            <w:tcW w:type="dxa" w:w="50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Rollout beyond the pilot team.</w:t>
            </w:r>
          </w:p>
        </w:tc>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Subject to approval</w:t>
            </w:r>
          </w:p>
        </w:tc>
      </w:tr>
    </w:tbl>
    <w:p>
      <w:pPr>
        <w:spacing w:after="200"/>
      </w:pPr>
    </w:p>
    <w:tbl>
      <w:tblPr>
        <w:tblW w:type="dxa" w:w="9360"/>
        <w:tblBorders>
          <w:top w:val="none" w:color="FFFFFF" w:sz="0"/>
          <w:left w:val="single" w:color="0E6B60" w:sz="12"/>
          <w:bottom w:val="none" w:color="FFFFFF" w:sz="0"/>
          <w:right w:val="none" w:color="FFFFFF" w:sz="0"/>
          <w:insideH w:val="none" w:color="FFFFFF" w:sz="0"/>
          <w:insideV w:val="none" w:color="FFFFFF" w:sz="0"/>
        </w:tblBorders>
      </w:tblPr>
      <w:tblGrid>
        <w:gridCol w:w="9360"/>
      </w:tblGrid>
      <w:tr>
        <w:tc>
          <w:tcPr>
            <w:tcW w:type="dxa" w:w="9360"/>
            <w:shd w:fill="F2F6F5" w:val="clear"/>
            <w:tcMar>
              <w:top w:type="dxa" w:w="160"/>
              <w:left w:type="dxa" w:w="220"/>
              <w:bottom w:type="dxa" w:w="160"/>
              <w:right w:type="dxa" w:w="220"/>
            </w:tcMar>
          </w:tcPr>
          <w:p>
            <w:pPr>
              <w:spacing w:after="80"/>
            </w:pPr>
            <w:r>
              <w:rPr>
                <w:rFonts w:ascii="Consolas" w:cs="Consolas" w:eastAsia="Consolas" w:hAnsi="Consolas"/>
                <w:b/>
                <w:bCs/>
                <w:color w:val="0E6B60"/>
                <w:spacing w:val="30"/>
                <w:sz w:val="15"/>
                <w:szCs w:val="15"/>
              </w:rPr>
              <w:t xml:space="preserve">PROPOSED GATE</w:t>
            </w:r>
          </w:p>
          <w:p>
            <w:pPr>
              <w:spacing w:after="0" w:line="276"/>
            </w:pPr>
            <w:r>
              <w:rPr>
                <w:rFonts w:ascii="Calibri" w:cs="Calibri" w:eastAsia="Calibri" w:hAnsi="Calibri"/>
                <w:color w:val="131A18"/>
                <w:sz w:val="20"/>
                <w:szCs w:val="20"/>
              </w:rPr>
              <w:t xml:space="preserve">We propose that the evidence and operational-readiness rows are treated as prerequisites rather than parallel work, and that Kortex is not opened beyond the pilot team until both are cleared. We would rather the CoE confirm or adjust that gate than set it ourselves.</w:t>
            </w:r>
          </w:p>
        </w:tc>
      </w:tr>
    </w:tbl>
    <w:p>
      <w:pPr>
        <w:pStyle w:val="Heading1"/>
        <w:pBdr>
          <w:bottom w:val="single" w:color="D9E0DE" w:sz="6" w:space="6"/>
        </w:pBdr>
        <w:spacing w:after="180" w:before="420"/>
      </w:pPr>
      <w:r>
        <w:rPr>
          <w:rFonts w:ascii="Calibri" w:cs="Calibri" w:eastAsia="Calibri" w:hAnsi="Calibri"/>
          <w:b/>
          <w:bCs/>
          <w:color w:val="131A18"/>
          <w:sz w:val="30"/>
          <w:szCs w:val="30"/>
        </w:rPr>
        <w:t xml:space="preserve">10. Decisions requested from the CoE</w:t>
      </w:r>
    </w:p>
    <w:p>
      <w:pPr>
        <w:spacing w:after="140" w:line="276"/>
      </w:pPr>
      <w:r>
        <w:rPr>
          <w:rFonts w:ascii="Calibri" w:cs="Calibri" w:eastAsia="Calibri" w:hAnsi="Calibri"/>
          <w:color w:val="131A18"/>
          <w:sz w:val="21"/>
          <w:szCs w:val="21"/>
        </w:rPr>
        <w:t xml:space="preserve">Seven decisions, in the order they block us.</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800"/>
        <w:gridCol w:w="4200"/>
        <w:gridCol w:w="4360"/>
      </w:tblGrid>
      <w:tr>
        <w:trPr>
          <w:tblHeader/>
        </w:trPr>
        <w:tc>
          <w:tcPr>
            <w:tcW w:type="dxa" w:w="8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REF</w:t>
            </w:r>
          </w:p>
        </w:tc>
        <w:tc>
          <w:tcPr>
            <w:tcW w:type="dxa" w:w="42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DECISION</w:t>
            </w:r>
          </w:p>
        </w:tc>
        <w:tc>
          <w:tcPr>
            <w:tcW w:type="dxa" w:w="43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WHAT IT UNBLOCKS</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D-1</w:t>
            </w:r>
          </w:p>
        </w:tc>
        <w:tc>
          <w:tcPr>
            <w:tcW w:type="dxa" w:w="4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Name a sanctioned model service for chat inference and embeddings, and indicate how the running cost should be carried.</w:t>
            </w:r>
          </w:p>
        </w:tc>
        <w:tc>
          <w:tcPr>
            <w:tcW w:type="dxa" w:w="43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All development. This is the immediate blocker. If Finastra has already assessed a provider, adopting it is a configuration change for us.</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D-2</w:t>
            </w:r>
          </w:p>
        </w:tc>
        <w:tc>
          <w:tcPr>
            <w:tcW w:type="dxa" w:w="4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Confirm the data-protection position in Section 7 — the corpus classification, the exclusion of client data, and the acceptability of sending retrieved extracts to the model provider.</w:t>
            </w:r>
          </w:p>
        </w:tc>
        <w:tc>
          <w:tcPr>
            <w:tcW w:type="dxa" w:w="43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The architecture. If the classification is stricter than we assume, the self-hosted model option changes the design and the cost.</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D-3</w:t>
            </w:r>
          </w:p>
        </w:tc>
        <w:tc>
          <w:tcPr>
            <w:tcW w:type="dxa" w:w="4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Tell us whether this duplicates an existing Finastra capability.</w:t>
            </w:r>
          </w:p>
        </w:tc>
        <w:tc>
          <w:tcPr>
            <w:tcW w:type="dxa" w:w="43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Whether we build UC-01 at all. Documentation Q&amp;A may be served by something that already exists; the CVE assessment and inventory matching are more specific to us.</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D-4</w:t>
            </w:r>
          </w:p>
        </w:tc>
        <w:tc>
          <w:tcPr>
            <w:tcW w:type="dxa" w:w="4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Rule on retention of prompts, responses and traces, and on user offboarding.</w:t>
            </w:r>
          </w:p>
        </w:tc>
        <w:tc>
          <w:tcPr>
            <w:tcW w:type="dxa" w:w="43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Observability configuration and the privacy position — now governing client-derived content, not only internal questions.</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D-5</w:t>
            </w:r>
          </w:p>
        </w:tc>
        <w:tc>
          <w:tcPr>
            <w:tcW w:type="dxa" w:w="4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Confirm registration, AI Act classification and whether a DPIA or third-party risk assessment is required.</w:t>
            </w:r>
          </w:p>
        </w:tc>
        <w:tc>
          <w:tcPr>
            <w:tcW w:type="dxa" w:w="43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Compliance sequencing — these may carry lead times we should start now.</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D-6</w:t>
            </w:r>
          </w:p>
        </w:tc>
        <w:tc>
          <w:tcPr>
            <w:tcW w:type="dxa" w:w="4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Confirm or adjust the readiness gate in Section 9.</w:t>
            </w:r>
          </w:p>
        </w:tc>
        <w:tc>
          <w:tcPr>
            <w:tcW w:type="dxa" w:w="43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An agreed definition of done for going beyond the pilot team.</w:t>
            </w:r>
          </w:p>
        </w:tc>
      </w:tr>
      <w:tr>
        <w:tc>
          <w:tcPr>
            <w:tcW w:type="dxa" w:w="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D-7</w:t>
            </w:r>
          </w:p>
        </w:tc>
        <w:tc>
          <w:tcPr>
            <w:tcW w:type="dxa" w:w="42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Rule on the database write capability in Section 7 — and on whether phasing it behind a read-only first release is the right approach.</w:t>
            </w:r>
          </w:p>
        </w:tc>
        <w:tc>
          <w:tcPr>
            <w:tcW w:type="dxa" w:w="43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The most consequential capability in the initiative. We would rather build to conditions the CoE sets than propose our own and be corrected later.</w:t>
            </w:r>
          </w:p>
        </w:tc>
      </w:tr>
    </w:tbl>
    <w:p>
      <w:pPr>
        <w:spacing w:after="200"/>
      </w:pPr>
    </w:p>
    <w:tbl>
      <w:tblPr>
        <w:tblW w:type="dxa" w:w="9360"/>
        <w:tblBorders>
          <w:top w:val="none" w:color="FFFFFF" w:sz="0"/>
          <w:left w:val="single" w:color="0E6B60" w:sz="12"/>
          <w:bottom w:val="none" w:color="FFFFFF" w:sz="0"/>
          <w:right w:val="none" w:color="FFFFFF" w:sz="0"/>
          <w:insideH w:val="none" w:color="FFFFFF" w:sz="0"/>
          <w:insideV w:val="none" w:color="FFFFFF" w:sz="0"/>
        </w:tblBorders>
      </w:tblPr>
      <w:tblGrid>
        <w:gridCol w:w="9360"/>
      </w:tblGrid>
      <w:tr>
        <w:tc>
          <w:tcPr>
            <w:tcW w:type="dxa" w:w="9360"/>
            <w:shd w:fill="F2F6F5" w:val="clear"/>
            <w:tcMar>
              <w:top w:type="dxa" w:w="160"/>
              <w:left w:type="dxa" w:w="220"/>
              <w:bottom w:type="dxa" w:w="160"/>
              <w:right w:type="dxa" w:w="220"/>
            </w:tcMar>
          </w:tcPr>
          <w:p>
            <w:pPr>
              <w:spacing w:after="80"/>
            </w:pPr>
            <w:r>
              <w:rPr>
                <w:rFonts w:ascii="Consolas" w:cs="Consolas" w:eastAsia="Consolas" w:hAnsi="Consolas"/>
                <w:b/>
                <w:bCs/>
                <w:color w:val="0E6B60"/>
                <w:spacing w:val="30"/>
                <w:sz w:val="15"/>
                <w:szCs w:val="15"/>
              </w:rPr>
              <w:t xml:space="preserve">OUR RECOMMENDATION</w:t>
            </w:r>
          </w:p>
          <w:p>
            <w:pPr>
              <w:spacing w:after="100" w:line="276"/>
            </w:pPr>
            <w:r>
              <w:rPr>
                <w:rFonts w:ascii="Calibri" w:cs="Calibri" w:eastAsia="Calibri" w:hAnsi="Calibri"/>
                <w:color w:val="131A18"/>
                <w:sz w:val="20"/>
                <w:szCs w:val="20"/>
              </w:rPr>
              <w:t xml:space="preserve">Endorse the initiative in principle and resolve D-1 so development can resume; treat D-2 as the design-defining decision; and confirm the readiness gate so we build to a known standard rather than discovering it at the end.</w:t>
            </w:r>
          </w:p>
          <w:p>
            <w:pPr>
              <w:spacing w:after="0" w:line="276"/>
            </w:pPr>
            <w:r>
              <w:rPr>
                <w:rFonts w:ascii="Calibri" w:cs="Calibri" w:eastAsia="Calibri" w:hAnsi="Calibri"/>
                <w:color w:val="131A18"/>
                <w:sz w:val="20"/>
                <w:szCs w:val="20"/>
              </w:rPr>
              <w:t xml:space="preserve">We would also ask that the lower-risk layers — the instruction profiles, the integration samples, and the skills that handle no client data — be assessed on their own terms, so they are not held behind the decisions above.</w:t>
            </w:r>
          </w:p>
        </w:tc>
      </w:tr>
    </w:tbl>
    <w:p>
      <w:pPr>
        <w:pStyle w:val="Heading1"/>
        <w:pBdr>
          <w:bottom w:val="single" w:color="D9E0DE" w:sz="6" w:space="6"/>
        </w:pBdr>
        <w:spacing w:after="180" w:before="420"/>
      </w:pPr>
      <w:r>
        <w:rPr>
          <w:rFonts w:ascii="Calibri" w:cs="Calibri" w:eastAsia="Calibri" w:hAnsi="Calibri"/>
          <w:b/>
          <w:bCs/>
          <w:color w:val="131A18"/>
          <w:sz w:val="30"/>
          <w:szCs w:val="30"/>
        </w:rPr>
        <w:t xml:space="preserve">Appendix — programme and delivery register</w:t>
      </w:r>
    </w:p>
    <w:p>
      <w:pPr>
        <w:pStyle w:val="Heading2"/>
        <w:spacing w:after="110" w:before="280"/>
      </w:pPr>
      <w:r>
        <w:rPr>
          <w:rFonts w:ascii="Calibri" w:cs="Calibri" w:eastAsia="Calibri" w:hAnsi="Calibri"/>
          <w:b/>
          <w:bCs/>
          <w:color w:val="131A18"/>
          <w:sz w:val="23"/>
          <w:szCs w:val="23"/>
        </w:rPr>
        <w:t xml:space="preserve">How the pieces fit together</w:t>
      </w:r>
    </w:p>
    <w:p>
      <w:pPr>
        <w:spacing w:after="140" w:line="276"/>
      </w:pPr>
      <w:r>
        <w:rPr>
          <w:rFonts w:ascii="Calibri" w:cs="Calibri" w:eastAsia="Calibri" w:hAnsi="Calibri"/>
          <w:color w:val="131A18"/>
          <w:sz w:val="21"/>
          <w:szCs w:val="21"/>
        </w:rPr>
        <w:t xml:space="preserve">The initiative is organised in layers rather than separate projects. The platform is the entry point; skills are self-contained integrations that its agents call; instruction profiles and samples support the way the team works with all of it.</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2100"/>
        <w:gridCol w:w="5460"/>
        <w:gridCol w:w="1800"/>
      </w:tblGrid>
      <w:tr>
        <w:trPr>
          <w:tblHeader/>
        </w:trPr>
        <w:tc>
          <w:tcPr>
            <w:tcW w:type="dxa" w:w="21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LAYER</w:t>
            </w:r>
          </w:p>
        </w:tc>
        <w:tc>
          <w:tcPr>
            <w:tcW w:type="dxa" w:w="54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CONTENTS</w:t>
            </w:r>
          </w:p>
        </w:tc>
        <w:tc>
          <w:tcPr>
            <w:tcW w:type="dxa" w:w="18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CLIENT DATA</w:t>
            </w:r>
          </w:p>
        </w:tc>
      </w:tr>
      <w:tr>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Kortex platform</w:t>
            </w:r>
          </w:p>
        </w:tc>
        <w:tc>
          <w:tcPr>
            <w:tcW w:type="dxa" w:w="54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Back end, front end, ingestion pipeline, infrastructure, orchestrator and agents.</w:t>
            </w:r>
          </w:p>
        </w:tc>
        <w:tc>
          <w:tcPr>
            <w:tcW w:type="dxa" w:w="1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Corpus: none</w:t>
            </w:r>
          </w:p>
        </w:tc>
      </w:tr>
      <w:tr>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Agents and skills</w:t>
            </w:r>
          </w:p>
        </w:tc>
        <w:tc>
          <w:tcPr>
            <w:tcW w:type="dxa" w:w="54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The specialised agents and the integrations behind them. Several began as standalone skills and are being converted into agents — see the register below.</w:t>
            </w:r>
          </w:p>
        </w:tc>
        <w:tc>
          <w:tcPr>
            <w:tcW w:type="dxa" w:w="1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Case agents: yes</w:t>
            </w:r>
          </w:p>
        </w:tc>
      </w:tr>
      <w:tr>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Instruction profiles</w:t>
            </w:r>
          </w:p>
        </w:tc>
        <w:tc>
          <w:tcPr>
            <w:tcW w:type="dxa" w:w="54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Curated instruction sets, agents and reusable prompts per role.</w:t>
            </w:r>
          </w:p>
        </w:tc>
        <w:tc>
          <w:tcPr>
            <w:tcW w:type="dxa" w:w="1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None</w:t>
            </w:r>
          </w:p>
        </w:tc>
      </w:tr>
      <w:tr>
        <w:tc>
          <w:tcPr>
            <w:tcW w:type="dxa" w:w="21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Integration samples</w:t>
            </w:r>
          </w:p>
        </w:tc>
        <w:tc>
          <w:tcPr>
            <w:tcW w:type="dxa" w:w="54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Reference implementations for calling a model endpoint from Python and from Java.</w:t>
            </w:r>
          </w:p>
        </w:tc>
        <w:tc>
          <w:tcPr>
            <w:tcW w:type="dxa" w:w="18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None</w:t>
            </w:r>
          </w:p>
        </w:tc>
      </w:tr>
    </w:tbl>
    <w:p>
      <w:pPr>
        <w:spacing w:after="200"/>
      </w:pPr>
    </w:p>
    <w:p>
      <w:pPr>
        <w:pStyle w:val="Heading2"/>
        <w:spacing w:after="110" w:before="280"/>
      </w:pPr>
      <w:r>
        <w:rPr>
          <w:rFonts w:ascii="Calibri" w:cs="Calibri" w:eastAsia="Calibri" w:hAnsi="Calibri"/>
          <w:b/>
          <w:bCs/>
          <w:color w:val="131A18"/>
          <w:sz w:val="23"/>
          <w:szCs w:val="23"/>
        </w:rPr>
        <w:t xml:space="preserve">Agent register</w:t>
      </w:r>
    </w:p>
    <w:p>
      <w:pPr>
        <w:spacing w:after="140" w:line="276"/>
      </w:pPr>
      <w:r>
        <w:rPr>
          <w:rFonts w:ascii="Calibri" w:cs="Calibri" w:eastAsia="Calibri" w:hAnsi="Calibri"/>
          <w:color w:val="131A18"/>
          <w:sz w:val="21"/>
          <w:szCs w:val="21"/>
        </w:rPr>
        <w:t xml:space="preserve">Eight agents, two working today. Several exist as standalone skills built during the proof of concept and are being converted into agents so the orchestrator can route to them directly. The right-hand column is the one that matters for Section 7.</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1500"/>
        <w:gridCol w:w="4560"/>
        <w:gridCol w:w="1600"/>
        <w:gridCol w:w="1700"/>
      </w:tblGrid>
      <w:tr>
        <w:trPr>
          <w:tblHeader/>
        </w:trPr>
        <w:tc>
          <w:tcPr>
            <w:tcW w:type="dxa" w:w="15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AGENT</w:t>
            </w:r>
          </w:p>
        </w:tc>
        <w:tc>
          <w:tcPr>
            <w:tcW w:type="dxa" w:w="45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WHAT IT DOES</w:t>
            </w:r>
          </w:p>
        </w:tc>
        <w:tc>
          <w:tcPr>
            <w:tcW w:type="dxa" w:w="16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STATUS</w:t>
            </w:r>
          </w:p>
        </w:tc>
        <w:tc>
          <w:tcPr>
            <w:tcW w:type="dxa" w:w="17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CLIENT DATA</w:t>
            </w:r>
          </w:p>
        </w:tc>
      </w:tr>
      <w:tr>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Search</w:t>
            </w:r>
          </w:p>
        </w:tc>
        <w:tc>
          <w:tcPr>
            <w:tcW w:type="dxa" w:w="45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Retrieval over the documentation corpus, with relevance grading and a web fallback.</w:t>
            </w:r>
          </w:p>
        </w:tc>
        <w:tc>
          <w:tcPr>
            <w:tcW w:type="dxa" w:w="1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Working</w:t>
            </w:r>
          </w:p>
        </w:tc>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No</w:t>
            </w:r>
          </w:p>
        </w:tc>
      </w:tr>
      <w:tr>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DBAdmin</w:t>
            </w:r>
          </w:p>
        </w:tc>
        <w:tc>
          <w:tcPr>
            <w:tcW w:type="dxa" w:w="45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Database questions and operations. </w:t>
            </w:r>
            <w:r>
              <w:rPr>
                <w:rFonts w:ascii="Calibri" w:cs="Calibri" w:eastAsia="Calibri" w:hAnsi="Calibri"/>
                <w:b/>
                <w:bCs/>
                <w:color w:val="131A18"/>
                <w:sz w:val="19"/>
                <w:szCs w:val="19"/>
              </w:rPr>
              <w:t xml:space="preserve">Reads and writes.</w:t>
            </w:r>
          </w:p>
        </w:tc>
        <w:tc>
          <w:tcPr>
            <w:tcW w:type="dxa" w:w="1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Working</w:t>
            </w:r>
          </w:p>
        </w:tc>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Anonymised, test databases</w:t>
            </w:r>
          </w:p>
        </w:tc>
      </w:tr>
      <w:tr>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CVE</w:t>
            </w:r>
          </w:p>
        </w:tc>
        <w:tc>
          <w:tcPr>
            <w:tcW w:type="dxa" w:w="45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Correlates an incoming vulnerability report with our own investigation and resolution history.</w:t>
            </w:r>
          </w:p>
        </w:tc>
        <w:tc>
          <w:tcPr>
            <w:tcW w:type="dxa" w:w="1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Planned</w:t>
            </w:r>
          </w:p>
        </w:tc>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No</w:t>
            </w:r>
          </w:p>
        </w:tc>
      </w:tr>
      <w:tr>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Salesforce</w:t>
            </w:r>
          </w:p>
        </w:tc>
        <w:tc>
          <w:tcPr>
            <w:tcW w:type="dxa" w:w="45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Case details and attachments, with assisted root-cause analysis.</w:t>
            </w:r>
          </w:p>
        </w:tc>
        <w:tc>
          <w:tcPr>
            <w:tcW w:type="dxa" w:w="1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Skill → agent</w:t>
            </w:r>
          </w:p>
        </w:tc>
        <w:tc>
          <w:tcPr>
            <w:tcW w:type="dxa" w:w="1700"/>
            <w:tcMar>
              <w:top w:type="dxa" w:w="100"/>
              <w:left w:type="dxa" w:w="140"/>
              <w:bottom w:type="dxa" w:w="100"/>
              <w:right w:type="dxa" w:w="140"/>
            </w:tcMar>
          </w:tcPr>
          <w:p>
            <w:pPr>
              <w:spacing w:after="0" w:line="260"/>
            </w:pPr>
            <w:r>
              <w:rPr>
                <w:rFonts w:ascii="Calibri" w:cs="Calibri" w:eastAsia="Calibri" w:hAnsi="Calibri"/>
                <w:b/>
                <w:bCs/>
                <w:color w:val="131A18"/>
                <w:sz w:val="19"/>
                <w:szCs w:val="19"/>
              </w:rPr>
              <w:t xml:space="preserve">Yes</w:t>
            </w:r>
          </w:p>
        </w:tc>
      </w:tr>
      <w:tr>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Jira</w:t>
            </w:r>
          </w:p>
        </w:tc>
        <w:tc>
          <w:tcPr>
            <w:tcW w:type="dxa" w:w="45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Issue details, linked commits, JQL search, assisted commit analysis.</w:t>
            </w:r>
          </w:p>
        </w:tc>
        <w:tc>
          <w:tcPr>
            <w:tcW w:type="dxa" w:w="1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Skill → agent</w:t>
            </w:r>
          </w:p>
        </w:tc>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Incidental</w:t>
            </w:r>
          </w:p>
        </w:tc>
      </w:tr>
      <w:tr>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ServiceNow</w:t>
            </w:r>
          </w:p>
        </w:tc>
        <w:tc>
          <w:tcPr>
            <w:tcW w:type="dxa" w:w="45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Incidents, changes, requested items and problems.</w:t>
            </w:r>
          </w:p>
        </w:tc>
        <w:tc>
          <w:tcPr>
            <w:tcW w:type="dxa" w:w="1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Skill → agent</w:t>
            </w:r>
          </w:p>
        </w:tc>
        <w:tc>
          <w:tcPr>
            <w:tcW w:type="dxa" w:w="1700"/>
            <w:tcMar>
              <w:top w:type="dxa" w:w="100"/>
              <w:left w:type="dxa" w:w="140"/>
              <w:bottom w:type="dxa" w:w="100"/>
              <w:right w:type="dxa" w:w="140"/>
            </w:tcMar>
          </w:tcPr>
          <w:p>
            <w:pPr>
              <w:spacing w:after="0" w:line="260"/>
            </w:pPr>
            <w:r>
              <w:rPr>
                <w:rFonts w:ascii="Calibri" w:cs="Calibri" w:eastAsia="Calibri" w:hAnsi="Calibri"/>
                <w:b/>
                <w:bCs/>
                <w:color w:val="131A18"/>
                <w:sz w:val="19"/>
                <w:szCs w:val="19"/>
              </w:rPr>
              <w:t xml:space="preserve">Yes</w:t>
            </w:r>
          </w:p>
        </w:tc>
      </w:tr>
      <w:tr>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Infrastructure</w:t>
            </w:r>
          </w:p>
        </w:tc>
        <w:tc>
          <w:tcPr>
            <w:tcW w:type="dxa" w:w="45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Parses vCloud exports, spreadsheets and mail into resource reports, and flags servers present in the estate but absent from our records.</w:t>
            </w:r>
          </w:p>
        </w:tc>
        <w:tc>
          <w:tcPr>
            <w:tcW w:type="dxa" w:w="1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Skill → agent</w:t>
            </w:r>
          </w:p>
        </w:tc>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No</w:t>
            </w:r>
          </w:p>
        </w:tc>
      </w:tr>
      <w:tr>
        <w:tc>
          <w:tcPr>
            <w:tcW w:type="dxa" w:w="15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Reports</w:t>
            </w:r>
          </w:p>
        </w:tc>
        <w:tc>
          <w:tcPr>
            <w:tcW w:type="dxa" w:w="45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Renders branded Finastra HTML, Word and PDF output from what another agent produced.</w:t>
            </w:r>
          </w:p>
        </w:tc>
        <w:tc>
          <w:tcPr>
            <w:tcW w:type="dxa" w:w="16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Skill → agent</w:t>
            </w:r>
          </w:p>
        </w:tc>
        <w:tc>
          <w:tcPr>
            <w:tcW w:type="dxa" w:w="17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Inherits its input</w:t>
            </w:r>
          </w:p>
        </w:tc>
      </w:tr>
    </w:tbl>
    <w:p>
      <w:pPr>
        <w:spacing w:after="180"/>
      </w:pPr>
    </w:p>
    <w:p>
      <w:pPr>
        <w:spacing w:after="140" w:line="276"/>
      </w:pPr>
      <w:r>
        <w:rPr>
          <w:rFonts w:ascii="Calibri" w:cs="Calibri" w:eastAsia="Calibri" w:hAnsi="Calibri"/>
          <w:b/>
          <w:bCs/>
          <w:color w:val="131A18"/>
          <w:sz w:val="21"/>
          <w:szCs w:val="21"/>
        </w:rPr>
        <w:t xml:space="preserve">Case 360°</w:t>
      </w:r>
      <w:r>
        <w:rPr>
          <w:rFonts w:ascii="Calibri" w:cs="Calibri" w:eastAsia="Calibri" w:hAnsi="Calibri"/>
          <w:color w:val="131A18"/>
          <w:sz w:val="21"/>
          <w:szCs w:val="21"/>
        </w:rPr>
        <w:t xml:space="preserve"> sits above several of these rather than beside them: it assembles a Salesforce case together with its related ServiceNow, Jira and Office 365 context into one view. It is therefore the point at which the most client-identifying material converges, and the controls in Section 7 apply to it most sharply.</w:t>
      </w:r>
    </w:p>
    <w:p>
      <w:pPr>
        <w:spacing w:after="140" w:line="276"/>
      </w:pPr>
      <w:r>
        <w:rPr>
          <w:rFonts w:ascii="Calibri" w:cs="Calibri" w:eastAsia="Calibri" w:hAnsi="Calibri"/>
          <w:color w:val="131A18"/>
          <w:sz w:val="21"/>
          <w:szCs w:val="21"/>
        </w:rPr>
        <w:t xml:space="preserve">Two observations worth drawing out. </w:t>
      </w:r>
      <w:r>
        <w:rPr>
          <w:rFonts w:ascii="Calibri" w:cs="Calibri" w:eastAsia="Calibri" w:hAnsi="Calibri"/>
          <w:b/>
          <w:bCs/>
          <w:color w:val="131A18"/>
          <w:sz w:val="21"/>
          <w:szCs w:val="21"/>
        </w:rPr>
        <w:t xml:space="preserve">Four of the eight reach systems holding client-identifying content</w:t>
      </w:r>
      <w:r>
        <w:rPr>
          <w:rFonts w:ascii="Calibri" w:cs="Calibri" w:eastAsia="Calibri" w:hAnsi="Calibri"/>
          <w:color w:val="131A18"/>
          <w:sz w:val="21"/>
          <w:szCs w:val="21"/>
        </w:rPr>
        <w:t xml:space="preserve">, which is why Section 7 treats retrieval entitlements as a design decision rather than a later refinement — an agent reading with a broad service account would let a user see cases they could not open directly. And the </w:t>
      </w:r>
      <w:r>
        <w:rPr>
          <w:rFonts w:ascii="Calibri" w:cs="Calibri" w:eastAsia="Calibri" w:hAnsi="Calibri"/>
          <w:b/>
          <w:bCs/>
          <w:color w:val="131A18"/>
          <w:sz w:val="21"/>
          <w:szCs w:val="21"/>
        </w:rPr>
        <w:t xml:space="preserve">Reports agent inherits the classification of whatever it renders</w:t>
      </w:r>
      <w:r>
        <w:rPr>
          <w:rFonts w:ascii="Calibri" w:cs="Calibri" w:eastAsia="Calibri" w:hAnsi="Calibri"/>
          <w:color w:val="131A18"/>
          <w:sz w:val="21"/>
          <w:szCs w:val="21"/>
        </w:rPr>
        <w:t xml:space="preserve">: a branded PDF assembled from case data carries that data out of the platform in a file, so its output needs the same handling as its input.</w:t>
      </w:r>
    </w:p>
    <w:p>
      <w:pPr>
        <w:spacing w:after="200"/>
      </w:pPr>
    </w:p>
    <w:p>
      <w:pPr>
        <w:pStyle w:val="Heading2"/>
        <w:spacing w:after="110" w:before="280"/>
      </w:pPr>
      <w:r>
        <w:rPr>
          <w:rFonts w:ascii="Calibri" w:cs="Calibri" w:eastAsia="Calibri" w:hAnsi="Calibri"/>
          <w:b/>
          <w:bCs/>
          <w:color w:val="131A18"/>
          <w:sz w:val="23"/>
          <w:szCs w:val="23"/>
        </w:rPr>
        <w:t xml:space="preserve">Specified user stories</w:t>
      </w:r>
    </w:p>
    <w:tbl>
      <w:tblPr>
        <w:tblW w:type="dxa" w:w="9360"/>
        <w:tblBorders>
          <w:top w:val="single" w:color="D9E0DE" w:sz="4"/>
          <w:left w:val="single" w:color="D9E0DE" w:sz="4"/>
          <w:bottom w:val="single" w:color="D9E0DE" w:sz="4"/>
          <w:right w:val="single" w:color="D9E0DE" w:sz="4"/>
          <w:insideH w:val="single" w:color="D9E0DE" w:sz="4"/>
          <w:insideV w:val="single" w:color="D9E0DE" w:sz="4"/>
        </w:tblBorders>
      </w:tblPr>
      <w:tblGrid>
        <w:gridCol w:w="1000"/>
        <w:gridCol w:w="2400"/>
        <w:gridCol w:w="5960"/>
      </w:tblGrid>
      <w:tr>
        <w:trPr>
          <w:tblHeader/>
        </w:trPr>
        <w:tc>
          <w:tcPr>
            <w:tcW w:type="dxa" w:w="10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REF</w:t>
            </w:r>
          </w:p>
        </w:tc>
        <w:tc>
          <w:tcPr>
            <w:tcW w:type="dxa" w:w="240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STORY</w:t>
            </w:r>
          </w:p>
        </w:tc>
        <w:tc>
          <w:tcPr>
            <w:tcW w:type="dxa" w:w="5960"/>
            <w:shd w:fill="F2F6F5" w:val="clear"/>
            <w:tcMar>
              <w:top w:type="dxa" w:w="100"/>
              <w:left w:type="dxa" w:w="140"/>
              <w:bottom w:type="dxa" w:w="100"/>
              <w:right w:type="dxa" w:w="140"/>
            </w:tcMar>
          </w:tcPr>
          <w:p>
            <w:pPr>
              <w:spacing w:after="0"/>
            </w:pPr>
            <w:r>
              <w:rPr>
                <w:rFonts w:ascii="Consolas" w:cs="Consolas" w:eastAsia="Consolas" w:hAnsi="Consolas"/>
                <w:b/>
                <w:bCs/>
                <w:color w:val="5B6764"/>
                <w:spacing w:val="20"/>
                <w:sz w:val="15"/>
                <w:szCs w:val="15"/>
              </w:rPr>
              <w:t xml:space="preserve">SCOPE</w:t>
            </w:r>
          </w:p>
        </w:tc>
      </w:tr>
      <w:tr>
        <w:tc>
          <w:tcPr>
            <w:tcW w:type="dxa" w:w="10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K0001</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Internationalisation</w:t>
            </w:r>
          </w:p>
        </w:tc>
        <w:tc>
          <w:tcPr>
            <w:tcW w:type="dxa" w:w="59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French and English interface with persisted preference; the assistant replies in the user's language.</w:t>
            </w:r>
          </w:p>
        </w:tc>
      </w:tr>
      <w:tr>
        <w:tc>
          <w:tcPr>
            <w:tcW w:type="dxa" w:w="10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K0002</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Orchestrator agent</w:t>
            </w:r>
          </w:p>
        </w:tc>
        <w:tc>
          <w:tcPr>
            <w:tcW w:type="dxa" w:w="59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Single entry point that classifies intent and routes to the Search, CVE and DBAdmin agents.</w:t>
            </w:r>
          </w:p>
        </w:tc>
      </w:tr>
      <w:tr>
        <w:tc>
          <w:tcPr>
            <w:tcW w:type="dxa" w:w="10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K0003</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Agent interaction UI</w:t>
            </w:r>
          </w:p>
        </w:tc>
        <w:tc>
          <w:tcPr>
            <w:tcW w:type="dxa" w:w="59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Surfaces the agent hierarchy and tool calls in the chat interface.</w:t>
            </w:r>
          </w:p>
        </w:tc>
      </w:tr>
      <w:tr>
        <w:tc>
          <w:tcPr>
            <w:tcW w:type="dxa" w:w="10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K0004</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Multi-model support</w:t>
            </w:r>
          </w:p>
        </w:tc>
        <w:tc>
          <w:tcPr>
            <w:tcW w:type="dxa" w:w="59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Model selection with an interface adapting to reasoning, tool-calling and vision capability. Dependent on D-1.</w:t>
            </w:r>
          </w:p>
        </w:tc>
      </w:tr>
      <w:tr>
        <w:tc>
          <w:tcPr>
            <w:tcW w:type="dxa" w:w="10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K0005</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Roles and permissions</w:t>
            </w:r>
          </w:p>
        </w:tc>
        <w:tc>
          <w:tcPr>
            <w:tcW w:type="dxa" w:w="59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Five roles, three modules, deny-by-default provisioning, self-service access requests, admin management screens.</w:t>
            </w:r>
          </w:p>
        </w:tc>
      </w:tr>
      <w:tr>
        <w:tc>
          <w:tcPr>
            <w:tcW w:type="dxa" w:w="10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K0006</w:t>
            </w:r>
          </w:p>
        </w:tc>
        <w:tc>
          <w:tcPr>
            <w:tcW w:type="dxa" w:w="240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Ingestion management UI</w:t>
            </w:r>
          </w:p>
        </w:tc>
        <w:tc>
          <w:tcPr>
            <w:tcW w:type="dxa" w:w="5960"/>
            <w:tcMar>
              <w:top w:type="dxa" w:w="100"/>
              <w:left w:type="dxa" w:w="140"/>
              <w:bottom w:type="dxa" w:w="100"/>
              <w:right w:type="dxa" w:w="140"/>
            </w:tcMar>
          </w:tcPr>
          <w:p>
            <w:pPr>
              <w:spacing w:after="0" w:line="260"/>
            </w:pPr>
            <w:r>
              <w:rPr>
                <w:rFonts w:ascii="Calibri" w:cs="Calibri" w:eastAsia="Calibri" w:hAnsi="Calibri"/>
                <w:color w:val="131A18"/>
                <w:sz w:val="19"/>
                <w:szCs w:val="19"/>
              </w:rPr>
              <w:t xml:space="preserve">Document inventory, extract drill-down, upload with live progress, deduplication and deletion.</w:t>
            </w:r>
          </w:p>
        </w:tc>
      </w:tr>
    </w:tbl>
    <w:p>
      <w:pPr>
        <w:spacing w:after="300"/>
      </w:pPr>
    </w:p>
    <w:p>
      <w:pPr>
        <w:pBdr>
          <w:top w:val="single" w:color="D9E0DE" w:sz="6" w:space="10"/>
        </w:pBdr>
        <w:spacing w:before="200"/>
      </w:pPr>
      <w:r>
        <w:rPr>
          <w:rFonts w:ascii="Consolas" w:cs="Consolas" w:eastAsia="Consolas" w:hAnsi="Consolas"/>
          <w:color w:val="5B6764"/>
          <w:sz w:val="17"/>
          <w:szCs w:val="17"/>
        </w:rPr>
        <w:t xml:space="preserve">Kortex AI Initiative · KTP DevOps, Finastra · Pre-build submission to the AI Centre of Excellence · 27 August 2026. Presented at early development stage. Nothing described here is in production or in use beyond the project team.</w:t>
      </w:r>
    </w:p>
    <w:sectPr>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1A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31A18"/>
      <w:sz w:val="30"/>
      <w:szCs w:val="30"/>
    </w:rPr>
  </w:style>
  <w:style w:type="paragraph" w:styleId="Heading2">
    <w:name w:val="Heading 2"/>
    <w:basedOn w:val="Normal"/>
    <w:next w:val="Normal"/>
    <w:qFormat/>
    <w:rPr>
      <w:rFonts w:ascii="Calibri" w:cs="Calibri" w:eastAsia="Calibri" w:hAnsi="Calibri"/>
      <w:b/>
      <w:bCs/>
      <w:color w:val="131A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Kortex AI Initiative</dc:title>
  <dc:creator>KTP DevOps, Finastra</dc:creator>
  <dc:description>Pre-build submission to the AI Centre of Excellence</dc:description>
  <cp:lastModifiedBy>Un-named</cp:lastModifiedBy>
  <cp:revision>1</cp:revision>
  <dcterms:created xsi:type="dcterms:W3CDTF">2026-08-27T10:35:14.161Z</dcterms:created>
  <dcterms:modified xsi:type="dcterms:W3CDTF">2026-08-27T10:35:14.162Z</dcterms:modified>
</cp:coreProperties>
</file>

<file path=docProps/custom.xml><?xml version="1.0" encoding="utf-8"?>
<Properties xmlns="http://schemas.openxmlformats.org/officeDocument/2006/custom-properties" xmlns:vt="http://schemas.openxmlformats.org/officeDocument/2006/docPropsVTypes"/>
</file>