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Technical Guide</w:t>
      </w:r>
    </w:p>
    <w:p>
      <w:pPr/>
      <w:r>
        <w:rPr>
          <w:b/>
        </w:rPr>
        <w:t xml:space="preserve">KTP Payment Factory · OP schema · version 4</w:t>
      </w:r>
    </w:p>
    <w:p>
      <w:pPr>
        <w:pBdr>
          <w:left w:val="single" w:sz="18" w:space="8" w:color="C9A227"/>
        </w:pBdr>
        <w:ind w:left="360"/>
      </w:pPr>
      <w:r>
        <w:rPr>
          <w:b/>
        </w:rPr>
        <w:t xml:space="preserve">Out of date in parts — being rewritten.</w:t>
      </w:r>
      <w:r>
        <w:t xml:space="preserve"> This guide describes v4 before the typed-identity fix of 2026-10-20. Where it disagrees with the following, the following is right — and so are </w:t>
      </w:r>
      <w:r>
        <w:rPr>
          <w:rStyle w:val="CodeChar"/>
        </w:rPr>
        <w:t xml:space="preserve">config/anonymization.template.ini</w:t>
      </w:r>
      <w:r>
        <w:t xml:space="preserve"> and the headers of the two inventory CSVs:</w:t>
      </w:r>
    </w:p>
    <w:p>
      <w:pPr>
        <w:pBdr>
          <w:left w:val="single" w:sz="18" w:space="8" w:color="C9A227"/>
        </w:pBdr>
        <w:ind w:left="720" w:hanging="280"/>
        <w:spacing w:after="60"/>
      </w:pPr>
      <w:r>
        <w:t xml:space="preserve">•  </w:t>
      </w:r>
      <w:r>
        <w:rPr>
          <w:b/>
        </w:rPr>
        <w:t xml:space="preserve">Identifiers are typed.</w:t>
      </w:r>
      <w:r>
        <w:t xml:space="preserve"> Every party — entity </w:t>
      </w:r>
      <w:r>
        <w:rPr>
          <w:rStyle w:val="CodeChar"/>
        </w:rPr>
        <w:t xml:space="preserve">E_</w:t>
      </w:r>
      <w:r>
        <w:t xml:space="preserve">, portfolio </w:t>
      </w:r>
      <w:r>
        <w:rPr>
          <w:rStyle w:val="CodeChar"/>
        </w:rPr>
        <w:t xml:space="preserve">P_</w:t>
      </w:r>
      <w:r>
        <w:t xml:space="preserve">, counterparty </w:t>
      </w:r>
      <w:r>
        <w:rPr>
          <w:rStyle w:val="CodeChar"/>
        </w:rPr>
        <w:t xml:space="preserve">T_</w:t>
      </w:r>
      <w:r>
        <w:t xml:space="preserve">, and the new </w:t>
      </w:r>
      <w:r>
        <w:rPr>
          <w:i/>
        </w:rPr>
        <w:t xml:space="preserve">unclassified party</w:t>
      </w:r>
      <w:r>
        <w:t xml:space="preserve"> </w:t>
      </w:r>
      <w:r>
        <w:rPr>
          <w:rStyle w:val="CodeChar"/>
        </w:rPr>
        <w:t xml:space="preserve">X_</w:t>
      </w:r>
      <w:r>
        <w:t xml:space="preserve">, with the reason recorded — and every bank account </w:t>
      </w:r>
      <w:r>
        <w:rPr>
          <w:rStyle w:val="CodeChar"/>
        </w:rPr>
        <w:t xml:space="preserve">CB_</w:t>
      </w:r>
      <w:r>
        <w:t xml:space="preserve"> is classified once, from the data, before anything changes. A column only ever receives the translation of the domain it holds: </w:t>
      </w:r>
      <w:r>
        <w:rPr>
          <w:rStyle w:val="CodeChar"/>
        </w:rPr>
        <w:t xml:space="preserve">PARTY</w:t>
      </w:r>
      <w:r>
        <w:t xml:space="preserve">, </w:t>
      </w:r>
      <w:r>
        <w:rPr>
          <w:rStyle w:val="CodeChar"/>
        </w:rPr>
        <w:t xml:space="preserve">BANK_ACCOUNT</w:t>
      </w:r>
      <w:r>
        <w:t xml:space="preserve">, </w:t>
      </w:r>
      <w:r>
        <w:rPr>
          <w:rStyle w:val="CodeChar"/>
        </w:rPr>
        <w:t xml:space="preserve">MIXED</w:t>
      </w:r>
      <w:r>
        <w:t xml:space="preserve"> (reviewed columns holding both) or </w:t>
      </w:r>
      <w:r>
        <w:rPr>
          <w:rStyle w:val="CodeChar"/>
        </w:rPr>
        <w:t xml:space="preserve">NODE_ROLE</w:t>
      </w:r>
      <w:r>
        <w:t xml:space="preserve"> (the structure tree, by each node's role). The category </w:t>
      </w:r>
      <w:r>
        <w:rPr>
          <w:rStyle w:val="CodeChar"/>
        </w:rPr>
        <w:t xml:space="preserve">ANY</w:t>
      </w:r>
      <w:r>
        <w:t xml:space="preserve"> is gone.</w:t>
      </w:r>
    </w:p>
    <w:p>
      <w:pPr>
        <w:pBdr>
          <w:left w:val="single" w:sz="18" w:space="8" w:color="C9A227"/>
        </w:pBdr>
        <w:ind w:left="720" w:hanging="280"/>
        <w:spacing w:after="60"/>
      </w:pPr>
      <w:r>
        <w:t xml:space="preserve">•  </w:t>
      </w:r>
      <w:r>
        <w:rPr>
          <w:b/>
        </w:rPr>
        <w:t xml:space="preserve">The three switches of a category are independent.</w:t>
      </w:r>
      <w:r>
        <w:t xml:space="preserve"> </w:t>
      </w:r>
      <w:r>
        <w:rPr>
          <w:rStyle w:val="CodeChar"/>
        </w:rPr>
        <w:t xml:space="preserve">ANONYMIZE_&lt;CATEGORY&gt;</w:t>
      </w:r>
      <w:r>
        <w:t xml:space="preserve"> renames identifiers only; </w:t>
      </w:r>
      <w:r>
        <w:rPr>
          <w:rStyle w:val="CodeChar"/>
        </w:rPr>
        <w:t xml:space="preserve">_DESCRIPTION</w:t>
      </w:r>
      <w:r>
        <w:t xml:space="preserve"> and </w:t>
      </w:r>
      <w:r>
        <w:rPr>
          <w:rStyle w:val="CodeChar"/>
        </w:rPr>
        <w:t xml:space="preserve">_ATTRIBUTES</w:t>
      </w:r>
      <w:r>
        <w:t xml:space="preserve"> mask labels and attributes even when the identifier is kept. Five categories, every switch on by default.</w:t>
      </w:r>
    </w:p>
    <w:p>
      <w:pPr>
        <w:pBdr>
          <w:left w:val="single" w:sz="18" w:space="8" w:color="C9A227"/>
        </w:pBdr>
        <w:ind w:left="720" w:hanging="280"/>
        <w:spacing w:after="60"/>
      </w:pPr>
      <w:r>
        <w:t xml:space="preserve">•  </w:t>
      </w:r>
      <w:r>
        <w:rPr>
          <w:b/>
        </w:rPr>
        <w:t xml:space="preserve">No checkbox exceptions.</w:t>
      </w:r>
      <w:r>
        <w:t xml:space="preserve"> </w:t>
      </w:r>
      <w:r>
        <w:rPr>
          <w:rStyle w:val="CodeChar"/>
        </w:rPr>
        <w:t xml:space="preserve">MIN_CODE_LENGTH</w:t>
      </w:r>
      <w:r>
        <w:t xml:space="preserve"> and the one-character column rule are gone: every listed column is processed, a one-character identifier is anonymized like any other, and a column that must not be touched is left out of the inventory.</w:t>
      </w:r>
    </w:p>
    <w:p>
      <w:pPr>
        <w:pBdr>
          <w:left w:val="single" w:sz="18" w:space="8" w:color="C9A227"/>
        </w:pBdr>
        <w:ind w:left="720" w:hanging="280"/>
        <w:spacing w:after="60"/>
      </w:pPr>
      <w:r>
        <w:t xml:space="preserve">•  </w:t>
      </w:r>
      <w:r>
        <w:rPr>
          <w:b/>
        </w:rPr>
        <w:t xml:space="preserve">Structure-only bank accounts.</w:t>
      </w:r>
      <w:r>
        <w:t xml:space="preserve"> A </w:t>
      </w:r>
      <w:r>
        <w:rPr>
          <w:rStyle w:val="CodeChar"/>
        </w:rPr>
        <w:t xml:space="preserve">w_compte_banque</w:t>
      </w:r>
      <w:r>
        <w:t xml:space="preserve"> node with no </w:t>
      </w:r>
      <w:r>
        <w:rPr>
          <w:rStyle w:val="CodeChar"/>
        </w:rPr>
        <w:t xml:space="preserve">compte_banque</w:t>
      </w:r>
      <w:r>
        <w:t xml:space="preserve"> row is anonymized as a bank account. Never asked; </w:t>
      </w:r>
      <w:r>
        <w:rPr>
          <w:rStyle w:val="CodeChar"/>
        </w:rPr>
        <w:t xml:space="preserve">APPROVE_STRUCTURE_ONLY_ACCOUNTS=n</w:t>
      </w:r>
      <w:r>
        <w:t xml:space="preserve"> refuses them.</w:t>
      </w:r>
    </w:p>
    <w:p>
      <w:pPr>
        <w:pBdr>
          <w:left w:val="single" w:sz="18" w:space="8" w:color="C9A227"/>
        </w:pBdr>
        <w:ind w:left="720" w:hanging="280"/>
        <w:spacing w:after="60"/>
      </w:pPr>
      <w:r>
        <w:t xml:space="preserve">•  </w:t>
      </w:r>
      <w:r>
        <w:rPr>
          <w:b/>
        </w:rPr>
        <w:t xml:space="preserve">Four verdicts</w:t>
      </w:r>
      <w:r>
        <w:t xml:space="preserve">: PASS, FAIL, REVIEW REQUIRED, INCOMPLETE — exit codes 0, 2, 3, 4.</w:t>
      </w:r>
    </w:p>
    <w:p>
      <w:pPr/>
      <w:r>
        <w:t xml:space="preserve">Everything needed to understand, operate, maintain and extend the tool. For the shorter run-it-and-go instructions, read the </w:t>
      </w:r>
      <w:r>
        <w:rPr>
          <w:i/>
        </w:rPr>
        <w:t xml:space="preserve">OP Anonymization — User Guide</w:t>
      </w:r>
      <w:r>
        <w:t xml:space="preserve">.</w:t>
      </w:r>
    </w:p>
    <w:p>
      <w:pPr>
        <w:pBdr>
          <w:bottom w:val="single" w:sz="6" w:space="1" w:color="D5D9DE"/>
        </w:pBdr>
        <w:spacing w:before="240" w:after="240"/>
      </w:pPr>
    </w:p>
    <w:p>
      <w:pPr>
        <w:pStyle w:val="Heading2"/>
      </w:pPr>
      <w:r>
        <w:t xml:space="preserve">Contents</w:t>
      </w:r>
    </w:p>
    <w:p>
      <w:pPr>
        <w:ind w:left="360" w:hanging="280"/>
        <w:spacing w:after="60"/>
      </w:pPr>
      <w:r>
        <w:t xml:space="preserve">1.  </w:t>
      </w:r>
      <w:r>
        <w:t xml:space="preserve">Purpose and scope</w:t>
      </w:r>
    </w:p>
    <w:p>
      <w:pPr>
        <w:ind w:left="360" w:hanging="280"/>
        <w:spacing w:after="60"/>
      </w:pPr>
      <w:r>
        <w:t xml:space="preserve">2.  </w:t>
      </w:r>
      <w:r>
        <w:t xml:space="preserve">The design principle</w:t>
      </w:r>
    </w:p>
    <w:p>
      <w:pPr>
        <w:ind w:left="360" w:hanging="280"/>
        <w:spacing w:after="60"/>
      </w:pPr>
      <w:r>
        <w:t xml:space="preserve">3.  </w:t>
      </w:r>
      <w:r>
        <w:t xml:space="preserve">The inventory</w:t>
      </w:r>
    </w:p>
    <w:p>
      <w:pPr>
        <w:ind w:left="360" w:hanging="280"/>
        <w:spacing w:after="60"/>
      </w:pPr>
      <w:r>
        <w:t xml:space="preserve">4.  </w:t>
      </w:r>
      <w:r>
        <w:t xml:space="preserve">Configuration flags</w:t>
      </w:r>
    </w:p>
    <w:p>
      <w:pPr>
        <w:ind w:left="360" w:hanging="280"/>
        <w:spacing w:after="60"/>
      </w:pPr>
      <w:r>
        <w:t xml:space="preserve">5.  </w:t>
      </w:r>
      <w:r>
        <w:t xml:space="preserve">Identifier generation</w:t>
      </w:r>
    </w:p>
    <w:p>
      <w:pPr>
        <w:ind w:left="360" w:hanging="280"/>
        <w:spacing w:after="60"/>
      </w:pPr>
      <w:r>
        <w:t xml:space="preserve">6.  </w:t>
      </w:r>
      <w:r>
        <w:t xml:space="preserve">Run lifecycle</w:t>
      </w:r>
    </w:p>
    <w:p>
      <w:pPr>
        <w:ind w:left="360" w:hanging="280"/>
        <w:spacing w:after="60"/>
      </w:pPr>
      <w:r>
        <w:t xml:space="preserve">7.  </w:t>
      </w:r>
      <w:r>
        <w:t xml:space="preserve">Restartability</w:t>
      </w:r>
    </w:p>
    <w:p>
      <w:pPr>
        <w:ind w:left="360" w:hanging="280"/>
        <w:spacing w:after="60"/>
      </w:pPr>
      <w:r>
        <w:t xml:space="preserve">8.  </w:t>
      </w:r>
      <w:r>
        <w:t xml:space="preserve">Logging</w:t>
      </w:r>
    </w:p>
    <w:p>
      <w:pPr>
        <w:ind w:left="360" w:hanging="280"/>
        <w:spacing w:after="60"/>
      </w:pPr>
      <w:r>
        <w:t xml:space="preserve">9.  </w:t>
      </w:r>
      <w:r>
        <w:t xml:space="preserve">The dry run</w:t>
      </w:r>
    </w:p>
    <w:p>
      <w:pPr>
        <w:ind w:left="360" w:hanging="280"/>
        <w:spacing w:after="60"/>
      </w:pPr>
      <w:r>
        <w:t xml:space="preserve">10.  </w:t>
      </w:r>
      <w:r>
        <w:t xml:space="preserve">Verification</w:t>
      </w:r>
    </w:p>
    <w:p>
      <w:pPr>
        <w:ind w:left="360" w:hanging="280"/>
        <w:spacing w:after="60"/>
      </w:pPr>
      <w:r>
        <w:t xml:space="preserve">11.  </w:t>
      </w:r>
      <w:r>
        <w:t xml:space="preserve">The HTML report</w:t>
      </w:r>
    </w:p>
    <w:p>
      <w:pPr>
        <w:ind w:left="360" w:hanging="280"/>
        <w:spacing w:after="60"/>
      </w:pPr>
      <w:r>
        <w:t xml:space="preserve">12.  </w:t>
      </w:r>
      <w:r>
        <w:t xml:space="preserve">Metadata schema reference</w:t>
      </w:r>
    </w:p>
    <w:p>
      <w:pPr>
        <w:ind w:left="360" w:hanging="280"/>
        <w:spacing w:after="60"/>
      </w:pPr>
      <w:r>
        <w:t xml:space="preserve">13.  </w:t>
      </w:r>
      <w:r>
        <w:t xml:space="preserve">Extending coverage</w:t>
      </w:r>
    </w:p>
    <w:p>
      <w:pPr>
        <w:ind w:left="360" w:hanging="280"/>
        <w:spacing w:after="60"/>
      </w:pPr>
      <w:r>
        <w:t xml:space="preserve">14.  </w:t>
      </w:r>
      <w:r>
        <w:t xml:space="preserve">Version compatibility</w:t>
      </w:r>
    </w:p>
    <w:p>
      <w:pPr>
        <w:ind w:left="360" w:hanging="280"/>
        <w:spacing w:after="60"/>
      </w:pPr>
      <w:r>
        <w:t xml:space="preserve">15.  </w:t>
      </w:r>
      <w:r>
        <w:t xml:space="preserve">Naming and vocabulary</w:t>
      </w:r>
    </w:p>
    <w:p>
      <w:pPr>
        <w:ind w:left="360" w:hanging="280"/>
        <w:spacing w:after="60"/>
      </w:pPr>
      <w:r>
        <w:t xml:space="preserve">16.  </w:t>
      </w:r>
      <w:r>
        <w:t xml:space="preserve">File reference</w:t>
      </w:r>
    </w:p>
    <w:p>
      <w:pPr>
        <w:ind w:left="360" w:hanging="280"/>
        <w:spacing w:after="60"/>
      </w:pPr>
      <w:r>
        <w:t xml:space="preserve">17.  </w:t>
      </w:r>
      <w:r>
        <w:t xml:space="preserve">Error codes</w:t>
      </w:r>
    </w:p>
    <w:p>
      <w:pPr>
        <w:ind w:left="360" w:hanging="280"/>
        <w:spacing w:after="60"/>
      </w:pPr>
      <w:r>
        <w:t xml:space="preserve">18.  </w:t>
      </w:r>
      <w:r>
        <w:t xml:space="preserve">Known limitations</w:t>
      </w:r>
    </w:p>
    <w:p>
      <w:pPr>
        <w:ind w:left="360" w:hanging="280"/>
        <w:spacing w:after="60"/>
      </w:pPr>
      <w:r>
        <w:t xml:space="preserve">19.  </w:t>
      </w:r>
      <w:r>
        <w:t xml:space="preserve">History</w:t>
      </w:r>
    </w:p>
    <w:p>
      <w:pPr>
        <w:pBdr>
          <w:bottom w:val="single" w:sz="6" w:space="1" w:color="D5D9DE"/>
        </w:pBdr>
        <w:spacing w:before="240" w:after="240"/>
      </w:pPr>
    </w:p>
    <w:p>
      <w:pPr>
        <w:pStyle w:val="Heading2"/>
      </w:pPr>
      <w:r>
        <w:t xml:space="preserve">1. Purpose and scope</w:t>
      </w:r>
    </w:p>
    <w:p>
      <w:pPr/>
      <w:r>
        <w:t xml:space="preserve">The tool removes client data from a restored copy of a KTP Payment Factory database so the copy can be used for development, testing and support.</w:t>
      </w:r>
    </w:p>
    <w:p>
      <w:pPr/>
      <w:r>
        <w:t xml:space="preserve">Two schemas are in scope for the product as a whole: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Schema</w:t>
            </w:r>
          </w:p>
        </w:tc>
        <w:tc>
          <w:tcPr>
            <w:tcW w:w="3120" w:type="dxa"/>
            <w:shd w:val="clear" w:fill="F4F6F8"/>
          </w:tcPr>
          <w:p>
            <w:pPr>
              <w:pStyle w:val="TableText"/>
            </w:pPr>
            <w:r>
              <w:rPr>
                <w:b/>
              </w:rPr>
              <w:t xml:space="preserve">Holds</w:t>
            </w:r>
          </w:p>
        </w:tc>
        <w:tc>
          <w:tcPr>
            <w:tcW w:w="3120" w:type="dxa"/>
            <w:shd w:val="clear" w:fill="F4F6F8"/>
          </w:tcPr>
          <w:p>
            <w:pPr>
              <w:pStyle w:val="TableText"/>
            </w:pPr>
            <w:r>
              <w:rPr>
                <w:b/>
              </w:rPr>
              <w:t xml:space="preserve">Status</w:t>
            </w:r>
          </w:p>
        </w:tc>
      </w:tr>
      <w:tr>
        <w:tc>
          <w:tcPr>
            <w:tcW w:w="3120" w:type="dxa"/>
          </w:tcPr>
          <w:p>
            <w:pPr>
              <w:pStyle w:val="TableText"/>
            </w:pPr>
            <w:r>
              <w:rPr>
                <w:b/>
              </w:rPr>
              <w:t xml:space="preserve">OP</w:t>
            </w:r>
          </w:p>
        </w:tc>
        <w:tc>
          <w:tcPr>
            <w:tcW w:w="3120" w:type="dxa"/>
          </w:tcPr>
          <w:p>
            <w:pPr>
              <w:pStyle w:val="TableText"/>
            </w:pPr>
            <w:r>
              <w:t xml:space="preserve">Core treasury — entities, portfolios, counterparties, bank accounts, and around 60 </w:t>
            </w:r>
            <w:r>
              <w:rPr>
                <w:rStyle w:val="CodeChar"/>
              </w:rPr>
              <w:t xml:space="preserve">histo_*</w:t>
            </w:r>
            <w:r>
              <w:t xml:space="preserve"> history tables</w:t>
            </w:r>
          </w:p>
        </w:tc>
        <w:tc>
          <w:tcPr>
            <w:tcW w:w="3120" w:type="dxa"/>
          </w:tcPr>
          <w:p>
            <w:pPr>
              <w:pStyle w:val="TableText"/>
            </w:pPr>
            <w:r>
              <w:rPr>
                <w:b/>
              </w:rPr>
              <w:t xml:space="preserve">This tool. Complete and tested.</w:t>
            </w:r>
          </w:p>
        </w:tc>
      </w:tr>
      <w:tr>
        <w:tc>
          <w:tcPr>
            <w:tcW w:w="3120" w:type="dxa"/>
          </w:tcPr>
          <w:p>
            <w:pPr>
              <w:pStyle w:val="TableText"/>
            </w:pPr>
            <w:r>
              <w:rPr>
                <w:b/>
              </w:rPr>
              <w:t xml:space="preserve">EPF</w:t>
            </w:r>
            <w:r>
              <w:t xml:space="preserve"> (</w:t>
            </w:r>
            <w:r>
              <w:rPr>
                <w:rStyle w:val="CodeChar"/>
              </w:rPr>
              <w:t xml:space="preserve">OPPAYMENTS</w:t>
            </w:r>
            <w:r>
              <w:t xml:space="preserve">)</w:t>
            </w:r>
          </w:p>
        </w:tc>
        <w:tc>
          <w:tcPr>
            <w:tcW w:w="3120" w:type="dxa"/>
          </w:tcPr>
          <w:p>
            <w:pPr>
              <w:pStyle w:val="TableText"/>
            </w:pPr>
            <w:r>
              <w:t xml:space="preserve">Payment factory — payments, bulk payments, users, SWIFT/BIC data, audit trail</w:t>
            </w:r>
          </w:p>
        </w:tc>
        <w:tc>
          <w:tcPr>
            <w:tcW w:w="3120" w:type="dxa"/>
          </w:tcPr>
          <w:p>
            <w:pPr>
              <w:pStyle w:val="TableText"/>
            </w:pPr>
            <w:r>
              <w:t xml:space="preserve">Not yet ported to v4. The previous-generation scripts remain in </w:t>
            </w:r>
            <w:r>
              <w:rPr>
                <w:rStyle w:val="CodeChar"/>
              </w:rPr>
              <w:t xml:space="preserve">Anonymization_EPF/</w:t>
            </w:r>
            <w:r>
              <w:t xml:space="preserve">.</w:t>
            </w:r>
          </w:p>
        </w:tc>
      </w:tr>
    </w:tbl>
    <w:p>
      <w:pPr>
        <w:spacing w:after="0" w:line="120" w:lineRule="exact"/>
      </w:pPr>
    </w:p>
    <w:p>
      <w:pPr/>
      <w:r>
        <w:t xml:space="preserve">v4 covers </w:t>
      </w:r>
      <w:r>
        <w:rPr>
          <w:b/>
        </w:rPr>
        <w:t xml:space="preserve">580 columns across 167 tables</w:t>
      </w:r>
      <w:r>
        <w:t xml:space="preserve">: 562 shipped plus 18 site-specific.</w:t>
      </w:r>
    </w:p>
    <w:p>
      <w:pPr>
        <w:pStyle w:val="Heading3"/>
      </w:pPr>
      <w:r>
        <w:t xml:space="preserve">What "anonymized" means here</w:t>
      </w:r>
    </w:p>
    <w:p>
      <w:pPr/>
      <w:r>
        <w:t xml:space="preserve">Four treatments, declared per column: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Effect</w:t>
            </w:r>
          </w:p>
        </w:tc>
        <w:tc>
          <w:tcPr>
            <w:tcW w:w="3120" w:type="dxa"/>
            <w:shd w:val="clear" w:fill="F4F6F8"/>
          </w:tcPr>
          <w:p>
            <w:pPr>
              <w:pStyle w:val="TableText"/>
            </w:pPr>
            <w:r>
              <w:rPr>
                <w:b/>
              </w:rPr>
              <w:t xml:space="preserve">Typical use</w:t>
            </w:r>
          </w:p>
        </w:tc>
      </w:tr>
      <w:tr>
        <w:tc>
          <w:tcPr>
            <w:tcW w:w="3120" w:type="dxa"/>
          </w:tcPr>
          <w:p>
            <w:pPr>
              <w:pStyle w:val="TableText"/>
            </w:pPr>
            <w:r>
              <w:rPr>
                <w:rStyle w:val="CodeChar"/>
              </w:rPr>
              <w:t xml:space="preserve">CODE</w:t>
            </w:r>
          </w:p>
        </w:tc>
        <w:tc>
          <w:tcPr>
            <w:tcW w:w="3120" w:type="dxa"/>
          </w:tcPr>
          <w:p>
            <w:pPr>
              <w:pStyle w:val="TableText"/>
            </w:pPr>
            <w:r>
              <w:t xml:space="preserve">The value is looked up in the mapping and replaced with its generated equivalent</w:t>
            </w:r>
          </w:p>
        </w:tc>
        <w:tc>
          <w:tcPr>
            <w:tcW w:w="3120" w:type="dxa"/>
          </w:tcPr>
          <w:p>
            <w:pPr>
              <w:pStyle w:val="TableText"/>
            </w:pPr>
            <w:r>
              <w:t xml:space="preserve">Any column holding an entity, portfolio, counterparty or bank account code</w:t>
            </w:r>
          </w:p>
        </w:tc>
      </w:tr>
      <w:tr>
        <w:tc>
          <w:tcPr>
            <w:tcW w:w="3120" w:type="dxa"/>
          </w:tcPr>
          <w:p>
            <w:pPr>
              <w:pStyle w:val="TableText"/>
            </w:pPr>
            <w:r>
              <w:rPr>
                <w:rStyle w:val="CodeChar"/>
              </w:rPr>
              <w:t xml:space="preserve">NULL_OUT</w:t>
            </w:r>
          </w:p>
        </w:tc>
        <w:tc>
          <w:tcPr>
            <w:tcW w:w="3120" w:type="dxa"/>
          </w:tcPr>
          <w:p>
            <w:pPr>
              <w:pStyle w:val="TableText"/>
            </w:pPr>
            <w:r>
              <w:t xml:space="preserve">Set to </w:t>
            </w:r>
            <w:r>
              <w:rPr>
                <w:rStyle w:val="CodeChar"/>
              </w:rPr>
              <w:t xml:space="preserve">NULL</w:t>
            </w:r>
            <w:r>
              <w:t xml:space="preserve">. Where the column is </w:t>
            </w:r>
            <w:r>
              <w:rPr>
                <w:rStyle w:val="CodeChar"/>
              </w:rPr>
              <w:t xml:space="preserve">NOT NULL</w:t>
            </w:r>
            <w:r>
              <w:t xml:space="preserve">, overwritten with the marker </w:t>
            </w:r>
            <w:r>
              <w:rPr>
                <w:rStyle w:val="CodeChar"/>
              </w:rPr>
              <w:t xml:space="preserve">ANONYMIZED</w:t>
            </w:r>
            <w:r>
              <w:t xml:space="preserve"> truncated to the column width</w:t>
            </w:r>
          </w:p>
        </w:tc>
        <w:tc>
          <w:tcPr>
            <w:tcW w:w="3120" w:type="dxa"/>
          </w:tcPr>
          <w:p>
            <w:pPr>
              <w:pStyle w:val="TableText"/>
            </w:pPr>
            <w:r>
              <w:t xml:space="preserve">Free text and PII — names, addresses, phone, email, IBAN and RIB fragments</w:t>
            </w:r>
          </w:p>
        </w:tc>
      </w:tr>
      <w:tr>
        <w:tc>
          <w:tcPr>
            <w:tcW w:w="3120" w:type="dxa"/>
          </w:tcPr>
          <w:p>
            <w:pPr>
              <w:pStyle w:val="TableText"/>
            </w:pPr>
            <w:r>
              <w:rPr>
                <w:rStyle w:val="CodeChar"/>
              </w:rPr>
              <w:t xml:space="preserve">DESCRIPTION</w:t>
            </w:r>
          </w:p>
        </w:tc>
        <w:tc>
          <w:tcPr>
            <w:tcW w:w="3120" w:type="dxa"/>
          </w:tcPr>
          <w:p>
            <w:pPr>
              <w:pStyle w:val="TableText"/>
            </w:pPr>
            <w:r>
              <w:t xml:space="preserve">Overwritten with the anonymized code of the row itself</w:t>
            </w:r>
          </w:p>
        </w:tc>
        <w:tc>
          <w:tcPr>
            <w:tcW w:w="3120" w:type="dxa"/>
          </w:tcPr>
          <w:p>
            <w:pPr>
              <w:pStyle w:val="TableText"/>
            </w:pPr>
            <w:r>
              <w:t xml:space="preserve">Label columns, so screens stay readable: a counterparty shows as </w:t>
            </w:r>
            <w:r>
              <w:rPr>
                <w:rStyle w:val="CodeChar"/>
              </w:rPr>
              <w:t xml:space="preserve">T_0000412</w:t>
            </w:r>
            <w:r>
              <w:t xml:space="preserve"> rather than blank</w:t>
            </w:r>
          </w:p>
        </w:tc>
      </w:tr>
      <w:tr>
        <w:tc>
          <w:tcPr>
            <w:tcW w:w="3120" w:type="dxa"/>
          </w:tcPr>
          <w:p>
            <w:pPr>
              <w:pStyle w:val="TableText"/>
            </w:pPr>
            <w:r>
              <w:rPr>
                <w:rStyle w:val="CodeChar"/>
              </w:rPr>
              <w:t xml:space="preserve">SELF_CODE</w:t>
            </w:r>
          </w:p>
        </w:tc>
        <w:tc>
          <w:tcPr>
            <w:tcW w:w="3120" w:type="dxa"/>
          </w:tcPr>
          <w:p>
            <w:pPr>
              <w:pStyle w:val="TableText"/>
            </w:pPr>
            <w:r>
              <w:t xml:space="preserve">Overwritten with the anonymized code of the row itself</w:t>
            </w:r>
          </w:p>
        </w:tc>
        <w:tc>
          <w:tcPr>
            <w:tcW w:w="3120" w:type="dxa"/>
          </w:tcPr>
          <w:p>
            <w:pPr>
              <w:pStyle w:val="TableText"/>
            </w:pPr>
            <w:r>
              <w:t xml:space="preserve">A PII attribute that must stay populated because it is </w:t>
            </w:r>
            <w:r>
              <w:rPr>
                <w:rStyle w:val="CodeChar"/>
              </w:rPr>
              <w:t xml:space="preserve">NOT NULL</w:t>
            </w:r>
            <w:r>
              <w:t xml:space="preserve"> or subject to a format check</w:t>
            </w:r>
          </w:p>
        </w:tc>
      </w:tr>
    </w:tbl>
    <w:p>
      <w:pPr>
        <w:spacing w:after="0" w:line="120" w:lineRule="exact"/>
      </w:pPr>
    </w:p>
    <w:p>
      <w:pPr>
        <w:pStyle w:val="Heading3"/>
      </w:pPr>
      <w:r>
        <w:t xml:space="preserve">What is deliberately not anonymized</w:t>
      </w:r>
    </w:p>
    <w:p>
      <w:pPr>
        <w:ind w:left="360" w:hanging="280"/>
        <w:spacing w:after="60"/>
      </w:pPr>
      <w:r>
        <w:t xml:space="preserve">•  </w:t>
      </w:r>
      <w:r>
        <w:rPr>
          <w:b/>
        </w:rPr>
        <w:t xml:space="preserve">Amounts, dates, currencies, product and system codes.</w:t>
      </w:r>
      <w:r>
        <w:t xml:space="preserve"> They carry no client identity and changing them would break reconciliation and reporting.</w:t>
      </w:r>
    </w:p>
    <w:p>
      <w:pPr>
        <w:ind w:left="360" w:hanging="280"/>
        <w:spacing w:after="60"/>
      </w:pPr>
      <w:r>
        <w:t xml:space="preserve">•  </w:t>
      </w:r>
      <w:r>
        <w:rPr>
          <w:b/>
        </w:rPr>
        <w:t xml:space="preserve">One-character columns.</w:t>
      </w:r>
      <w:r>
        <w:t xml:space="preserve"> A single character is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far more often than a client identifier, and substituting it would rewrite every matching flag in the schema. Governed by </w:t>
      </w:r>
      <w:r>
        <w:rPr>
          <w:rStyle w:val="CodeChar"/>
        </w:rPr>
        <w:t xml:space="preserve">MIN_CODE_LENGTH</w:t>
      </w:r>
      <w:r>
        <w:t xml:space="preserve">, default 2.</w:t>
      </w:r>
    </w:p>
    <w:p>
      <w:pPr>
        <w:ind w:left="360" w:hanging="280"/>
        <w:spacing w:after="60"/>
      </w:pPr>
      <w:r>
        <w:t xml:space="preserve">•  </w:t>
      </w:r>
      <w:r>
        <w:rPr>
          <w:b/>
        </w:rPr>
        <w:t xml:space="preserve">Structural referential data</w:t>
      </w:r>
      <w:r>
        <w:t xml:space="preserve"> that has no client content.</w:t>
      </w:r>
    </w:p>
    <w:p>
      <w:pPr>
        <w:pBdr>
          <w:bottom w:val="single" w:sz="6" w:space="1" w:color="D5D9DE"/>
        </w:pBdr>
        <w:spacing w:before="240" w:after="240"/>
      </w:pPr>
    </w:p>
    <w:p>
      <w:pPr>
        <w:pStyle w:val="Heading2"/>
      </w:pPr>
      <w:r>
        <w:t xml:space="preserve">2. The design principle: one inventory drives everything</w:t>
      </w:r>
    </w:p>
    <w:p>
      <w:pPr/>
      <w:r>
        <w:t xml:space="preserve">Every </w:t>
      </w:r>
      <w:r>
        <w:rPr>
          <w:rStyle w:val="CodeChar"/>
        </w:rPr>
        <w:t xml:space="preserve">(table, column, rule, category)</w:t>
      </w:r>
      <w:r>
        <w:t xml:space="preserve"> pair is declared </w:t>
      </w:r>
      <w:r>
        <w:rPr>
          <w:b/>
        </w:rPr>
        <w:t xml:space="preserve">once</w:t>
      </w:r>
      <w:r>
        <w:t xml:space="preserve">, in a CSV. That one declaration drives four separate things:</w:t>
      </w:r>
    </w:p>
    <w:p>
      <w:pPr>
        <w:pStyle w:val="CodeBlock"/>
      </w:pPr>
      <w:r>
        <w:t xml:space="preserve">                     config/inventory_op.csv</w:t>
        <w:br/>
        <w:t xml:space="preserve">                   + config/inventory_op_custom.csv</w:t>
        <w:br/>
        <w:t xml:space="preserve">                              │</w:t>
        <w:br/>
        <w:t xml:space="preserve">                              ▼</w:t>
        <w:br/>
        <w:t xml:space="preserve">                   anon_meta.anon_inventory</w:t>
        <w:br/>
        <w:t xml:space="preserve">                              │</w:t>
        <w:br/>
        <w:t xml:space="preserve">        ┌─────────────┬───────┴────────┬─────────────────┐</w:t>
        <w:br/>
        <w:t xml:space="preserve">        ▼             ▼                ▼                 ▼</w:t>
        <w:br/>
        <w:t xml:space="preserve">    the engine    the dry run      the verifier    the coverage doc</w:t>
      </w:r>
    </w:p>
    <w:p>
      <w:pPr/>
      <w:r>
        <w:t xml:space="preserve">Coverage drift becomes structurally impossible: the script that changes the data, the check that proves it changed, and the document that describes it cannot disagree, because they read the same rows.</w:t>
      </w:r>
    </w:p>
    <w:p>
      <w:pPr/>
      <w:r>
        <w:t xml:space="preserve">This is the central fix over v3, where the anonymization scripts and the verification script each maintained their own hand-edited table list. By the time v4 was written the two lists had already drifted apart, and the documentation described a third list that matched neither.</w:t>
      </w:r>
    </w:p>
    <w:p>
      <w:pPr/>
      <w:r>
        <w:t xml:space="preserve">A second consequence: </w:t>
      </w:r>
      <w:r>
        <w:rPr>
          <w:b/>
        </w:rPr>
        <w:t xml:space="preserve">custom inclusions stop being a special case.</w:t>
      </w:r>
      <w:r>
        <w:t xml:space="preserve"> They are simply additional rows from a second CSV, parsed by the same loader and treated identically downstream.</w:t>
      </w:r>
    </w:p>
    <w:p>
      <w:pPr>
        <w:pBdr>
          <w:bottom w:val="single" w:sz="6" w:space="1" w:color="D5D9DE"/>
        </w:pBdr>
        <w:spacing w:before="240" w:after="240"/>
      </w:pPr>
    </w:p>
    <w:p>
      <w:pPr>
        <w:pStyle w:val="Heading2"/>
      </w:pPr>
      <w:r>
        <w:t xml:space="preserve">3. The inventory</w:t>
      </w:r>
    </w:p>
    <w:p>
      <w:pPr>
        <w:pStyle w:val="Heading3"/>
      </w:pPr>
      <w:r>
        <w:t xml:space="preserve">Format</w:t>
      </w:r>
    </w:p>
    <w:p>
      <w:pPr>
        <w:pStyle w:val="CodeBlock"/>
      </w:pPr>
      <w:r>
        <w:t xml:space="preserve">table_name,column_name,rule,category,source,notes</w:t>
        <w:br/>
        <w:t xml:space="preserve">structure,code,CODE,ANY,BASE,</w:t>
        <w:br/>
        <w:t xml:space="preserve">prevision_param,compte,CODE,BANK_ACCOUNT,BASE,</w:t>
        <w:br/>
        <w:t xml:space="preserve">cm_pooling_convention,value_1,NULL_OUT,NONE,BASE,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Field</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table_name</w:t>
            </w:r>
          </w:p>
        </w:tc>
        <w:tc>
          <w:tcPr>
            <w:tcW w:w="4680" w:type="dxa"/>
          </w:tcPr>
          <w:p>
            <w:pPr>
              <w:pStyle w:val="TableText"/>
            </w:pPr>
            <w:r>
              <w:t xml:space="preserve">Table in the OP schema</w:t>
            </w:r>
          </w:p>
        </w:tc>
      </w:tr>
      <w:tr>
        <w:tc>
          <w:tcPr>
            <w:tcW w:w="4680" w:type="dxa"/>
          </w:tcPr>
          <w:p>
            <w:pPr>
              <w:pStyle w:val="TableText"/>
            </w:pPr>
            <w:r>
              <w:rPr>
                <w:rStyle w:val="CodeChar"/>
              </w:rPr>
              <w:t xml:space="preserve">column_name</w:t>
            </w:r>
          </w:p>
        </w:tc>
        <w:tc>
          <w:tcPr>
            <w:tcW w:w="4680" w:type="dxa"/>
          </w:tcPr>
          <w:p>
            <w:pPr>
              <w:pStyle w:val="TableText"/>
            </w:pPr>
            <w:r>
              <w:t xml:space="preserve">Column to anonymize</w:t>
            </w:r>
          </w:p>
        </w:tc>
      </w:tr>
      <w:tr>
        <w:tc>
          <w:tcPr>
            <w:tcW w:w="4680" w:type="dxa"/>
          </w:tcPr>
          <w:p>
            <w:pPr>
              <w:pStyle w:val="TableText"/>
            </w:pPr>
            <w:r>
              <w:rPr>
                <w:rStyle w:val="CodeChar"/>
              </w:rPr>
              <w:t xml:space="preserve">rule</w:t>
            </w:r>
          </w:p>
        </w:tc>
        <w:tc>
          <w:tcPr>
            <w:tcW w:w="4680" w:type="dxa"/>
          </w:tcPr>
          <w:p>
            <w:pPr>
              <w:pStyle w:val="TableText"/>
            </w:pPr>
            <w:r>
              <w:rPr>
                <w:rStyle w:val="CodeChar"/>
              </w:rPr>
              <w:t xml:space="preserve">CODE</w:t>
            </w:r>
            <w:r>
              <w:t xml:space="preserve"> · </w:t>
            </w:r>
            <w:r>
              <w:rPr>
                <w:rStyle w:val="CodeChar"/>
              </w:rPr>
              <w:t xml:space="preserve">NULL_OUT</w:t>
            </w:r>
            <w:r>
              <w:t xml:space="preserve"> · </w:t>
            </w:r>
            <w:r>
              <w:rPr>
                <w:rStyle w:val="CodeChar"/>
              </w:rPr>
              <w:t xml:space="preserve">DESCRIPTION</w:t>
            </w:r>
            <w:r>
              <w:t xml:space="preserve"> · </w:t>
            </w:r>
            <w:r>
              <w:rPr>
                <w:rStyle w:val="CodeChar"/>
              </w:rPr>
              <w:t xml:space="preserve">SELF_CODE</w:t>
            </w:r>
          </w:p>
        </w:tc>
      </w:tr>
      <w:tr>
        <w:tc>
          <w:tcPr>
            <w:tcW w:w="4680" w:type="dxa"/>
          </w:tcPr>
          <w:p>
            <w:pPr>
              <w:pStyle w:val="TableText"/>
            </w:pPr>
            <w:r>
              <w:rPr>
                <w:rStyle w:val="CodeChar"/>
              </w:rPr>
              <w:t xml:space="preserve">category</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r>
              <w:t xml:space="preserve"> · </w:t>
            </w:r>
            <w:r>
              <w:rPr>
                <w:rStyle w:val="CodeChar"/>
              </w:rPr>
              <w:t xml:space="preserve">ANY</w:t>
            </w:r>
            <w:r>
              <w:t xml:space="preserve"> · </w:t>
            </w:r>
            <w:r>
              <w:rPr>
                <w:rStyle w:val="CodeChar"/>
              </w:rPr>
              <w:t xml:space="preserve">NONE</w:t>
            </w:r>
          </w:p>
        </w:tc>
      </w:tr>
      <w:tr>
        <w:tc>
          <w:tcPr>
            <w:tcW w:w="4680" w:type="dxa"/>
          </w:tcPr>
          <w:p>
            <w:pPr>
              <w:pStyle w:val="TableText"/>
            </w:pPr>
            <w:r>
              <w:rPr>
                <w:rStyle w:val="CodeChar"/>
              </w:rPr>
              <w:t xml:space="preserve">source</w:t>
            </w:r>
          </w:p>
        </w:tc>
        <w:tc>
          <w:tcPr>
            <w:tcW w:w="4680" w:type="dxa"/>
          </w:tcPr>
          <w:p>
            <w:pPr>
              <w:pStyle w:val="TableText"/>
            </w:pPr>
            <w:r>
              <w:rPr>
                <w:rStyle w:val="CodeChar"/>
              </w:rPr>
              <w:t xml:space="preserve">BASE</w:t>
            </w:r>
            <w:r>
              <w:t xml:space="preserve"> (shipped) or </w:t>
            </w:r>
            <w:r>
              <w:rPr>
                <w:rStyle w:val="CodeChar"/>
              </w:rPr>
              <w:t xml:space="preserve">CUSTOM</w:t>
            </w:r>
            <w:r>
              <w:t xml:space="preserve"> (site file)</w:t>
            </w:r>
          </w:p>
        </w:tc>
      </w:tr>
      <w:tr>
        <w:tc>
          <w:tcPr>
            <w:tcW w:w="4680" w:type="dxa"/>
          </w:tcPr>
          <w:p>
            <w:pPr>
              <w:pStyle w:val="TableText"/>
            </w:pPr>
            <w:r>
              <w:rPr>
                <w:rStyle w:val="CodeChar"/>
              </w:rPr>
              <w:t xml:space="preserve">notes</w:t>
            </w:r>
          </w:p>
        </w:tc>
        <w:tc>
          <w:tcPr>
            <w:tcW w:w="4680" w:type="dxa"/>
          </w:tcPr>
          <w:p>
            <w:pPr>
              <w:pStyle w:val="TableText"/>
            </w:pPr>
            <w:r>
              <w:t xml:space="preserve">Documentation only, never interpreted. </w:t>
            </w:r>
            <w:r>
              <w:rPr>
                <w:b/>
              </w:rPr>
              <w:t xml:space="preserve">No commas.</w:t>
            </w:r>
          </w:p>
        </w:tc>
      </w:tr>
    </w:tbl>
    <w:p>
      <w:pPr>
        <w:spacing w:after="0" w:line="120" w:lineRule="exact"/>
      </w:pPr>
    </w:p>
    <w:p>
      <w:pPr/>
      <w:r>
        <w:t xml:space="preserve">Lines starting with </w:t>
      </w:r>
      <w:r>
        <w:rPr>
          <w:rStyle w:val="CodeChar"/>
        </w:rPr>
        <w:t xml:space="preserve">#</w:t>
      </w:r>
      <w:r>
        <w:t xml:space="preserve"> are ignored. Blank lines are ignored. Values are case-insensitive.</w:t>
      </w:r>
    </w:p>
    <w:p>
      <w:pPr>
        <w:pStyle w:val="Heading3"/>
      </w:pPr>
      <w:r>
        <w:t xml:space="preserve">What </w:t>
      </w:r>
      <w:r>
        <w:rPr>
          <w:rStyle w:val="CodeChar"/>
        </w:rPr>
        <w:t xml:space="preserve">category</w:t>
      </w:r>
      <w:r>
        <w:t xml:space="preserve"> means, per rule</w:t>
      </w:r>
    </w:p>
    <w:p>
      <w:pPr>
        <w:ind w:left="360" w:hanging="280"/>
        <w:spacing w:after="60"/>
      </w:pPr>
      <w:r>
        <w:t xml:space="preserve">•  </w:t>
      </w:r>
      <w:r>
        <w:t xml:space="preserve">On </w:t>
      </w:r>
      <w:r>
        <w:rPr>
          <w:b/>
        </w:rPr>
        <w:t xml:space="preserve">`CODE`</w:t>
      </w:r>
      <w:r>
        <w:t xml:space="preserve"> it says which slice of the mapping may apply.</w:t>
      </w:r>
    </w:p>
    <w:p>
      <w:pPr>
        <w:ind w:left="360" w:hanging="280"/>
        <w:spacing w:after="60"/>
      </w:pPr>
      <w:r>
        <w:t xml:space="preserve">•  </w:t>
      </w:r>
      <w:r>
        <w:rPr>
          <w:rStyle w:val="CodeChar"/>
        </w:rPr>
        <w:t xml:space="preserve">BANK_ACCOUNT</w:t>
      </w:r>
      <w:r>
        <w:t xml:space="preserve"> restricts lookups to bank-account codes. This is necessary because a </w:t>
      </w:r>
      <w:r>
        <w:rPr>
          <w:rStyle w:val="CodeChar"/>
        </w:rPr>
        <w:t xml:space="preserve">compte_banque.code</w:t>
      </w:r>
      <w:r>
        <w:t xml:space="preserve"> can be textually identical to a </w:t>
      </w:r>
      <w:r>
        <w:rPr>
          <w:rStyle w:val="CodeChar"/>
        </w:rPr>
        <w:t xml:space="preserve">tiers.code</w:t>
      </w:r>
      <w:r>
        <w:t xml:space="preserve">; without the restriction a column referencing one would be rewritten using the other's mapping.</w:t>
      </w:r>
    </w:p>
    <w:p>
      <w:pPr>
        <w:ind w:left="360" w:hanging="280"/>
        <w:spacing w:after="60"/>
      </w:pPr>
      <w:r>
        <w:t xml:space="preserve">•  </w:t>
      </w:r>
      <w:r>
        <w:rPr>
          <w:rStyle w:val="CodeChar"/>
        </w:rPr>
        <w:t xml:space="preserve">ANY</w:t>
      </w:r>
      <w:r>
        <w:t xml:space="preserve"> means the column may hold an entity, portfolio or counterparty code, and the mapping is searched unrestricted.</w:t>
      </w:r>
    </w:p>
    <w:p>
      <w:pPr>
        <w:ind w:left="360" w:hanging="280"/>
        <w:spacing w:after="60"/>
      </w:pPr>
      <w:r>
        <w:t xml:space="preserve">•  </w:t>
      </w:r>
      <w:r>
        <w:t xml:space="preserve">On </w:t>
      </w:r>
      <w:r>
        <w:rPr>
          <w:b/>
        </w:rPr>
        <w:t xml:space="preserve">`DESCRIPTION`</w:t>
      </w:r>
      <w:r>
        <w:t xml:space="preserve"> and </w:t>
      </w:r>
      <w:r>
        <w:rPr>
          <w:b/>
        </w:rPr>
        <w:t xml:space="preserve">`SELF_CODE`</w:t>
      </w:r>
      <w:r>
        <w:t xml:space="preserve"> it says which entity type owns the row, so the correct per-category configuration flag gates it.</w:t>
      </w:r>
    </w:p>
    <w:p>
      <w:pPr>
        <w:ind w:left="360" w:hanging="280"/>
        <w:spacing w:after="60"/>
      </w:pPr>
      <w:r>
        <w:t xml:space="preserve">•  </w:t>
      </w:r>
      <w:r>
        <w:t xml:space="preserve">On </w:t>
      </w:r>
      <w:r>
        <w:rPr>
          <w:b/>
        </w:rPr>
        <w:t xml:space="preserve">`NULL_OUT`</w:t>
      </w:r>
      <w:r>
        <w:t xml:space="preserve"> it is always </w:t>
      </w:r>
      <w:r>
        <w:rPr>
          <w:rStyle w:val="CodeChar"/>
        </w:rPr>
        <w:t xml:space="preserve">NONE</w:t>
      </w:r>
      <w:r>
        <w:t xml:space="preserve">. Free text is never category-dependent.</w:t>
      </w:r>
    </w:p>
    <w:p>
      <w:pPr>
        <w:pBdr>
          <w:left w:val="single" w:sz="18" w:space="8" w:color="C9A227"/>
        </w:pBdr>
        <w:ind w:left="360"/>
      </w:pPr>
      <w:r>
        <w:rPr>
          <w:b/>
        </w:rPr>
        <w:t xml:space="preserve">`BANK_ACCOUNT` is a narrowing, and narrowing can be wrong.</w:t>
      </w:r>
      <w:r>
        <w:t xml:space="preserve"> A column classified </w:t>
      </w:r>
      <w:r>
        <w:rPr>
          <w:rStyle w:val="CodeChar"/>
        </w:rPr>
        <w:t xml:space="preserve">CODE,BANK_ACCOUNT</w:t>
      </w:r>
      <w:r>
        <w:t xml:space="preserve"> that actually holds another category's codes will be under-anonymized, and the engine will not notice. This happened in testing: </w:t>
      </w:r>
      <w:r>
        <w:rPr>
          <w:rStyle w:val="CodeChar"/>
        </w:rPr>
        <w:t xml:space="preserve">param_cpta_reg_gen.compte_ana</w:t>
      </w:r>
      <w:r>
        <w:t xml:space="preserve"> — </w:t>
      </w:r>
      <w:r>
        <w:rPr>
          <w:i/>
        </w:rPr>
        <w:t xml:space="preserve">compte analytique</w:t>
      </w:r>
      <w:r>
        <w:t xml:space="preserve">, an analytical account — was classified </w:t>
      </w:r>
      <w:r>
        <w:rPr>
          <w:rStyle w:val="CodeChar"/>
        </w:rPr>
        <w:t xml:space="preserve">BANK_ACCOUNT</w:t>
      </w:r>
      <w:r>
        <w:t xml:space="preserve"> purely because its name contains </w:t>
      </w:r>
      <w:r>
        <w:rPr>
          <w:rStyle w:val="CodeChar"/>
        </w:rPr>
        <w:t xml:space="preserve">compte</w:t>
      </w:r>
      <w:r>
        <w:t xml:space="preserve">, and five rows of live client data survived a run that reported success. See </w:t>
      </w:r>
      <w:r>
        <w:t xml:space="preserve">§10</w:t>
      </w:r>
      <w:r>
        <w:t xml:space="preserve"> for what changed as a result.</w:t>
      </w:r>
    </w:p>
    <w:p>
      <w:pPr>
        <w:pStyle w:val="Heading3"/>
      </w:pPr>
      <w:r>
        <w:t xml:space="preserve">Current composition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pPr>
            <w:r>
              <w:rPr>
                <w:b/>
              </w:rPr>
              <w:t xml:space="preserve">Rule</w:t>
            </w:r>
          </w:p>
        </w:tc>
        <w:tc>
          <w:tcPr>
            <w:tcW w:w="2340" w:type="dxa"/>
            <w:shd w:val="clear" w:fill="F4F6F8"/>
          </w:tcPr>
          <w:p>
            <w:pPr>
              <w:pStyle w:val="TableText"/>
            </w:pPr>
            <w:r>
              <w:rPr>
                <w:b/>
              </w:rPr>
              <w:t xml:space="preserve">Category</w:t>
            </w:r>
          </w:p>
        </w:tc>
        <w:tc>
          <w:tcPr>
            <w:tcW w:w="2340" w:type="dxa"/>
            <w:shd w:val="clear" w:fill="F4F6F8"/>
          </w:tcPr>
          <w:p>
            <w:pPr>
              <w:pStyle w:val="TableText"/>
              <w:jc w:val="right"/>
            </w:pPr>
            <w:r>
              <w:rPr>
                <w:b/>
              </w:rPr>
              <w:t xml:space="preserve">Shipped</w:t>
            </w:r>
          </w:p>
        </w:tc>
        <w:tc>
          <w:tcPr>
            <w:tcW w:w="2340" w:type="dxa"/>
            <w:shd w:val="clear" w:fill="F4F6F8"/>
          </w:tcPr>
          <w:p>
            <w:pPr>
              <w:pStyle w:val="TableText"/>
              <w:jc w:val="right"/>
            </w:pPr>
            <w:r>
              <w:rPr>
                <w:b/>
              </w:rPr>
              <w:t xml:space="preserve">Custom</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ANY</w:t>
            </w:r>
          </w:p>
        </w:tc>
        <w:tc>
          <w:tcPr>
            <w:tcW w:w="2340" w:type="dxa"/>
          </w:tcPr>
          <w:p>
            <w:pPr>
              <w:pStyle w:val="TableText"/>
              <w:jc w:val="right"/>
            </w:pPr>
            <w:r>
              <w:t xml:space="preserve">390</w:t>
            </w:r>
          </w:p>
        </w:tc>
        <w:tc>
          <w:tcPr>
            <w:tcW w:w="2340" w:type="dxa"/>
          </w:tcPr>
          <w:p>
            <w:pPr>
              <w:pStyle w:val="TableText"/>
              <w:jc w:val="right"/>
            </w:pPr>
            <w:r>
              <w:t xml:space="preserve">1</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BANK_ACCOUNT</w:t>
            </w:r>
          </w:p>
        </w:tc>
        <w:tc>
          <w:tcPr>
            <w:tcW w:w="2340" w:type="dxa"/>
          </w:tcPr>
          <w:p>
            <w:pPr>
              <w:pStyle w:val="TableText"/>
              <w:jc w:val="right"/>
            </w:pPr>
            <w:r>
              <w:t xml:space="preserve">72</w:t>
            </w:r>
          </w:p>
        </w:tc>
        <w:tc>
          <w:tcPr>
            <w:tcW w:w="2340" w:type="dxa"/>
          </w:tcPr>
          <w:p>
            <w:pPr>
              <w:pStyle w:val="TableText"/>
              <w:jc w:val="right"/>
            </w:pPr>
            <w:r>
              <w:t xml:space="preserve">—</w:t>
            </w:r>
          </w:p>
        </w:tc>
      </w:tr>
      <w:tr>
        <w:tc>
          <w:tcPr>
            <w:tcW w:w="2340" w:type="dxa"/>
          </w:tcPr>
          <w:p>
            <w:pPr>
              <w:pStyle w:val="TableText"/>
            </w:pPr>
            <w:r>
              <w:rPr>
                <w:rStyle w:val="CodeChar"/>
              </w:rPr>
              <w:t xml:space="preserve">NULL_OUT</w:t>
            </w:r>
          </w:p>
        </w:tc>
        <w:tc>
          <w:tcPr>
            <w:tcW w:w="2340" w:type="dxa"/>
          </w:tcPr>
          <w:p>
            <w:pPr>
              <w:pStyle w:val="TableText"/>
            </w:pPr>
            <w:r>
              <w:rPr>
                <w:rStyle w:val="CodeChar"/>
              </w:rPr>
              <w:t xml:space="preserve">NONE</w:t>
            </w:r>
          </w:p>
        </w:tc>
        <w:tc>
          <w:tcPr>
            <w:tcW w:w="2340" w:type="dxa"/>
          </w:tcPr>
          <w:p>
            <w:pPr>
              <w:pStyle w:val="TableText"/>
              <w:jc w:val="right"/>
            </w:pPr>
            <w:r>
              <w:t xml:space="preserve">92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ANY</w:t>
            </w:r>
          </w:p>
        </w:tc>
        <w:tc>
          <w:tcPr>
            <w:tcW w:w="2340" w:type="dxa"/>
          </w:tcPr>
          <w:p>
            <w:pPr>
              <w:pStyle w:val="TableText"/>
              <w:jc w:val="right"/>
            </w:pPr>
            <w:r>
              <w:t xml:space="preserve">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BANK_ACCOUNT</w:t>
            </w:r>
          </w:p>
        </w:tc>
        <w:tc>
          <w:tcPr>
            <w:tcW w:w="2340" w:type="dxa"/>
          </w:tcPr>
          <w:p>
            <w:pPr>
              <w:pStyle w:val="TableText"/>
              <w:jc w:val="right"/>
            </w:pPr>
            <w:r>
              <w:t xml:space="preserve">1</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ANY</w:t>
            </w:r>
          </w:p>
        </w:tc>
        <w:tc>
          <w:tcPr>
            <w:tcW w:w="2340" w:type="dxa"/>
          </w:tcPr>
          <w:p>
            <w:pPr>
              <w:pStyle w:val="TableText"/>
              <w:jc w:val="right"/>
            </w:pPr>
            <w:r>
              <w:t xml:space="preserve">5</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ENTITY</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PORTFOLIO</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COUNTERPARTY</w:t>
            </w:r>
          </w:p>
        </w:tc>
        <w:tc>
          <w:tcPr>
            <w:tcW w:w="2340" w:type="dxa"/>
          </w:tcPr>
          <w:p>
            <w:pPr>
              <w:pStyle w:val="TableText"/>
              <w:jc w:val="right"/>
            </w:pPr>
            <w:r>
              <w:t xml:space="preserve">—</w:t>
            </w:r>
          </w:p>
        </w:tc>
        <w:tc>
          <w:tcPr>
            <w:tcW w:w="2340" w:type="dxa"/>
          </w:tcPr>
          <w:p>
            <w:pPr>
              <w:pStyle w:val="TableText"/>
              <w:jc w:val="right"/>
            </w:pPr>
            <w:r>
              <w:t xml:space="preserve">4</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BANK_ACCOUNT</w:t>
            </w:r>
          </w:p>
        </w:tc>
        <w:tc>
          <w:tcPr>
            <w:tcW w:w="2340" w:type="dxa"/>
          </w:tcPr>
          <w:p>
            <w:pPr>
              <w:pStyle w:val="TableText"/>
              <w:jc w:val="right"/>
            </w:pPr>
            <w:r>
              <w:t xml:space="preserve">—</w:t>
            </w:r>
          </w:p>
        </w:tc>
        <w:tc>
          <w:tcPr>
            <w:tcW w:w="2340" w:type="dxa"/>
          </w:tcPr>
          <w:p>
            <w:pPr>
              <w:pStyle w:val="TableText"/>
              <w:jc w:val="right"/>
            </w:pPr>
            <w:r>
              <w:t xml:space="preserve">3</w:t>
            </w:r>
          </w:p>
        </w:tc>
      </w:tr>
      <w:tr>
        <w:tc>
          <w:tcPr>
            <w:tcW w:w="2340" w:type="dxa"/>
          </w:tcPr>
          <w:p>
            <w:pPr>
              <w:pStyle w:val="TableText"/>
            </w:pPr>
          </w:p>
        </w:tc>
        <w:tc>
          <w:tcPr>
            <w:tcW w:w="2340" w:type="dxa"/>
          </w:tcPr>
          <w:p>
            <w:pPr>
              <w:pStyle w:val="TableText"/>
            </w:pPr>
            <w:r>
              <w:rPr>
                <w:b/>
              </w:rPr>
              <w:t xml:space="preserve">Total</w:t>
            </w:r>
          </w:p>
        </w:tc>
        <w:tc>
          <w:tcPr>
            <w:tcW w:w="2340" w:type="dxa"/>
          </w:tcPr>
          <w:p>
            <w:pPr>
              <w:pStyle w:val="TableText"/>
              <w:jc w:val="right"/>
            </w:pPr>
            <w:r>
              <w:rPr>
                <w:b/>
              </w:rPr>
              <w:t xml:space="preserve">562</w:t>
            </w:r>
          </w:p>
        </w:tc>
        <w:tc>
          <w:tcPr>
            <w:tcW w:w="2340" w:type="dxa"/>
          </w:tcPr>
          <w:p>
            <w:pPr>
              <w:pStyle w:val="TableText"/>
              <w:jc w:val="right"/>
            </w:pPr>
            <w:r>
              <w:rPr>
                <w:b/>
              </w:rPr>
              <w:t xml:space="preserve">18</w:t>
            </w:r>
          </w:p>
        </w:tc>
      </w:tr>
    </w:tbl>
    <w:p>
      <w:pPr>
        <w:spacing w:after="0" w:line="120" w:lineRule="exact"/>
      </w:pPr>
    </w:p>
    <w:p>
      <w:pPr/>
      <w:r>
        <w:t xml:space="preserve">580 rows in the files; </w:t>
      </w:r>
      <w:r>
        <w:rPr>
          <w:b/>
        </w:rPr>
        <w:t xml:space="preserve">579 loaded</w:t>
      </w:r>
      <w:r>
        <w:t xml:space="preserve">, because one custom row (</w:t>
      </w:r>
      <w:r>
        <w:rPr>
          <w:rStyle w:val="CodeChar"/>
        </w:rPr>
        <w:t xml:space="preserve">param_cpta_reg_gen.compte_ana</w:t>
      </w:r>
      <w:r>
        <w:t xml:space="preserve">) overrides a shipped row rather than adding to it.</w:t>
      </w:r>
    </w:p>
    <w:p>
      <w:pPr>
        <w:pStyle w:val="Heading3"/>
      </w:pPr>
      <w:r>
        <w:t xml:space="preserve">Overrides</w:t>
      </w:r>
    </w:p>
    <w:p>
      <w:pPr/>
      <w:r>
        <w:t xml:space="preserve">The two files are parsed in order, base then custom. For each custom row the loader emits a </w:t>
      </w:r>
      <w:r>
        <w:rPr>
          <w:rStyle w:val="CodeChar"/>
        </w:rPr>
        <w:t xml:space="preserve">DELETE</w:t>
      </w:r>
      <w:r>
        <w:t xml:space="preserve"> before its </w:t>
      </w:r>
      <w:r>
        <w:rPr>
          <w:rStyle w:val="CodeChar"/>
        </w:rPr>
        <w:t xml:space="preserve">INSERT</w:t>
      </w:r>
      <w:r>
        <w:t xml:space="preserve">, so a row in the custom file </w:t>
      </w:r>
      <w:r>
        <w:rPr>
          <w:b/>
        </w:rPr>
        <w:t xml:space="preserve">replaces</w:t>
      </w:r>
      <w:r>
        <w:t xml:space="preserve"> the shipped row for the same </w:t>
      </w:r>
      <w:r>
        <w:rPr>
          <w:rStyle w:val="CodeChar"/>
        </w:rPr>
        <w:t xml:space="preserve">(table, column)</w:t>
      </w:r>
      <w:r>
        <w:t xml:space="preserve">.</w:t>
      </w:r>
    </w:p>
    <w:p>
      <w:pPr/>
      <w:r>
        <w:t xml:space="preserve">That is how a wrong classification in the shipped inventory gets corrected at a site without editing a file that will be overwritten by the next release. The primary key on </w:t>
      </w:r>
      <w:r>
        <w:rPr>
          <w:rStyle w:val="CodeChar"/>
        </w:rPr>
        <w:t xml:space="preserve">(table_name, column_name)</w:t>
      </w:r>
      <w:r>
        <w:t xml:space="preserve"> makes the delete necessary — without it a second row for the same column raises </w:t>
      </w:r>
      <w:r>
        <w:rPr>
          <w:rStyle w:val="CodeChar"/>
        </w:rPr>
        <w:t xml:space="preserve">ORA-00001</w:t>
      </w:r>
      <w:r>
        <w:t xml:space="preserve">.</w:t>
      </w:r>
    </w:p>
    <w:p>
      <w:pPr>
        <w:pStyle w:val="Heading3"/>
      </w:pPr>
      <w:r>
        <w:t xml:space="preserve">How the CSVs reach the database</w:t>
      </w:r>
    </w:p>
    <w:p>
      <w:pPr/>
      <w:r>
        <w:t xml:space="preserve">The CSVs live on the client, not necessarily on the database server, so they cannot be read as external tables. </w:t>
      </w:r>
      <w:r>
        <w:rPr>
          <w:rStyle w:val="CodeChar"/>
        </w:rPr>
        <w:t xml:space="preserve">run_op_anonymization.bat</w:t>
      </w:r>
      <w:r>
        <w:t xml:space="preserve"> parses them and writes a temporary SQL file of </w:t>
      </w:r>
      <w:r>
        <w:rPr>
          <w:rStyle w:val="CodeChar"/>
        </w:rPr>
        <w:t xml:space="preserve">INSERT</w:t>
      </w:r>
      <w:r>
        <w:t xml:space="preserve"> statements, which the orchestrator runs. On failure that file is </w:t>
      </w:r>
      <w:r>
        <w:rPr>
          <w:b/>
        </w:rPr>
        <w:t xml:space="preserve">kept</w:t>
      </w:r>
      <w:r>
        <w:t xml:space="preserve"> and its path printed — which is the only reason a batch quoting defect that had corrupted roughly 500 of 579 statements was ever found.</w:t>
      </w:r>
    </w:p>
    <w:p>
      <w:pPr>
        <w:pBdr>
          <w:bottom w:val="single" w:sz="6" w:space="1" w:color="D5D9DE"/>
        </w:pBdr>
        <w:spacing w:before="240" w:after="240"/>
      </w:pPr>
    </w:p>
    <w:p>
      <w:pPr>
        <w:pStyle w:val="Heading2"/>
      </w:pPr>
      <w:r>
        <w:t xml:space="preserve">4. Configuration flags</w:t>
      </w:r>
    </w:p>
    <w:p>
      <w:pPr>
        <w:pStyle w:val="Heading3"/>
      </w:pPr>
      <w:r>
        <w:t xml:space="preserve">Where they take effect</w:t>
      </w:r>
    </w:p>
    <w:p>
      <w:pPr/>
      <w:r>
        <w:t xml:space="preserve">Configuration says which categories to anonymize. v4 enforces that </w:t>
      </w:r>
      <w:r>
        <w:rPr>
          <w:b/>
        </w:rPr>
        <w:t xml:space="preserve">at mapping generation, not at each column</w:t>
      </w:r>
      <w:r>
        <w:t xml:space="preserve">:</w:t>
      </w:r>
    </w:p>
    <w:p>
      <w:pPr>
        <w:pStyle w:val="CodeBlock"/>
      </w:pPr>
      <w:r>
        <w:t xml:space="preserve">ANONYMIZE_COUNTERPARTY=n</w:t>
        <w:br/>
        <w:t xml:space="preserve">   └─ no COUNTERPARTY rows are generated in anon_meta.code_map</w:t>
        <w:br/>
        <w:t xml:space="preserve">        └─ every CODE column finds no match for counterparty values</w:t>
        <w:br/>
        <w:t xml:space="preserve">             └─ counterparty codes are left alone, everywhere, automatically</w:t>
      </w:r>
    </w:p>
    <w:p>
      <w:pPr/>
      <w:r>
        <w:t xml:space="preserve">This is why v4 has no per-column conditionals. v3 needed roughly 200 </w:t>
      </w:r>
      <w:r>
        <w:rPr>
          <w:rStyle w:val="CodeChar"/>
        </w:rPr>
        <w:t xml:space="preserve">IF flag = 'y' THEN … ELSE …</w:t>
      </w:r>
      <w:r>
        <w:t xml:space="preserve"> blocks to achieve the same thing in two of its scripts, and got it wrong in a third, which ignored the flags entirely while documenting that it honoured them.</w:t>
      </w:r>
    </w:p>
    <w:p>
      <w:pPr>
        <w:pStyle w:val="Heading3"/>
      </w:pPr>
      <w:r>
        <w:t xml:space="preserve">The mental model to correct</w:t>
      </w:r>
    </w:p>
    <w:p>
      <w:pPr/>
      <w:r>
        <w:rPr>
          <w:b/>
        </w:rPr>
        <w:t xml:space="preserve">Disabling a category does not remove columns from the run.</w:t>
      </w:r>
      <w:r>
        <w:t xml:space="preserve"> Every column is still visited and its </w:t>
      </w:r>
      <w:r>
        <w:rPr>
          <w:rStyle w:val="CodeChar"/>
        </w:rPr>
        <w:t xml:space="preserve">UPDATE</w:t>
      </w:r>
      <w:r>
        <w:t xml:space="preserve"> still executes. What changes is what is in the mapping — and a value that is not in the mapping is left alone. So one column can be </w:t>
      </w:r>
      <w:r>
        <w:rPr>
          <w:i/>
        </w:rPr>
        <w:t xml:space="preserve">partly</w:t>
      </w:r>
      <w:r>
        <w:t xml:space="preserve"> anonymized:</w:t>
      </w:r>
    </w:p>
    <w:p>
      <w:pPr>
        <w:pStyle w:val="CodeBlock"/>
      </w:pPr>
      <w:r>
        <w:t xml:space="preserve">ANONYMIZE_COUNTERPARTY=n</w:t>
        <w:br/>
        <w:t xml:space="preserve">   └─ the UPDATE on histo_flux.tiers still runs</w:t>
        <w:br/>
        <w:t xml:space="preserve">        ├─ rows holding a counterparty code:  no match, left as-is</w:t>
        <w:br/>
        <w:t xml:space="preserve">        └─ rows holding an entity code:       still replaced</w:t>
      </w:r>
    </w:p>
    <w:p>
      <w:pPr/>
      <w:r>
        <w:t xml:space="preserve">The consequence: </w:t>
      </w:r>
      <w:r>
        <w:rPr>
          <w:b/>
        </w:rPr>
        <w:t xml:space="preserve">a flat covered/skipped list cannot be produced from the CSV alone.</w:t>
      </w:r>
      <w:r>
        <w:t xml:space="preserve"> For a </w:t>
      </w:r>
      <w:r>
        <w:rPr>
          <w:rStyle w:val="CodeChar"/>
        </w:rPr>
        <w:t xml:space="preserve">CODE,ANY</w:t>
      </w:r>
      <w:r>
        <w:t xml:space="preserve"> column the answer depends on what values the column actually holds on a given instance.</w:t>
      </w:r>
    </w:p>
    <w:p>
      <w:pPr/>
      <w:r>
        <w:t xml:space="preserve">The exception is </w:t>
      </w:r>
      <w:r>
        <w:rPr>
          <w:rStyle w:val="CodeChar"/>
        </w:rPr>
        <w:t xml:space="preserve">CODE,BANK_ACCOUNT</w:t>
      </w:r>
      <w:r>
        <w:t xml:space="preserve">. Those only ever look at bank-account codes, so the flag genuinely is a whole-column on/off switch and the answer </w:t>
      </w:r>
      <w:r>
        <w:rPr>
          <w:i/>
        </w:rPr>
        <w:t xml:space="preserve">is</w:t>
      </w:r>
      <w:r>
        <w:t xml:space="preserve"> knowable in advance.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jc w:val="right"/>
            </w:pPr>
            <w:r>
              <w:rPr>
                <w:b/>
              </w:rPr>
              <w:t xml:space="preserve">Rows</w:t>
            </w:r>
          </w:p>
        </w:tc>
        <w:tc>
          <w:tcPr>
            <w:tcW w:w="2340" w:type="dxa"/>
            <w:shd w:val="clear" w:fill="F4F6F8"/>
          </w:tcPr>
          <w:p>
            <w:pPr>
              <w:pStyle w:val="TableText"/>
            </w:pPr>
            <w:r>
              <w:rPr>
                <w:b/>
              </w:rPr>
              <w:t xml:space="preserve">Rule + category</w:t>
            </w:r>
          </w:p>
        </w:tc>
        <w:tc>
          <w:tcPr>
            <w:tcW w:w="2340" w:type="dxa"/>
            <w:shd w:val="clear" w:fill="F4F6F8"/>
          </w:tcPr>
          <w:p>
            <w:pPr>
              <w:pStyle w:val="TableText"/>
            </w:pPr>
            <w:r>
              <w:rPr>
                <w:b/>
              </w:rPr>
              <w:t xml:space="preserve">Governed by</w:t>
            </w:r>
          </w:p>
        </w:tc>
        <w:tc>
          <w:tcPr>
            <w:tcW w:w="2340" w:type="dxa"/>
            <w:shd w:val="clear" w:fill="F4F6F8"/>
          </w:tcPr>
          <w:p>
            <w:pPr>
              <w:pStyle w:val="TableText"/>
            </w:pPr>
            <w:r>
              <w:rPr>
                <w:b/>
              </w:rPr>
              <w:t xml:space="preserve">Predictable from the CSV alone?</w:t>
            </w:r>
          </w:p>
        </w:tc>
      </w:tr>
      <w:tr>
        <w:tc>
          <w:tcPr>
            <w:tcW w:w="2340" w:type="dxa"/>
          </w:tcPr>
          <w:p>
            <w:pPr>
              <w:pStyle w:val="TableText"/>
              <w:jc w:val="right"/>
            </w:pPr>
            <w:r>
              <w:t xml:space="preserve">72</w:t>
            </w:r>
          </w:p>
        </w:tc>
        <w:tc>
          <w:tcPr>
            <w:tcW w:w="2340" w:type="dxa"/>
          </w:tcPr>
          <w:p>
            <w:pPr>
              <w:pStyle w:val="TableText"/>
            </w:pPr>
            <w:r>
              <w:rPr>
                <w:rStyle w:val="CodeChar"/>
              </w:rPr>
              <w:t xml:space="preserve">CODE</w:t>
            </w:r>
            <w:r>
              <w:t xml:space="preserve"> + </w:t>
            </w:r>
            <w:r>
              <w:rPr>
                <w:rStyle w:val="CodeChar"/>
              </w:rPr>
              <w:t xml:space="preserve">BANK_ACCOUNT</w:t>
            </w:r>
          </w:p>
        </w:tc>
        <w:tc>
          <w:tcPr>
            <w:tcW w:w="2340" w:type="dxa"/>
          </w:tcPr>
          <w:p>
            <w:pPr>
              <w:pStyle w:val="TableText"/>
            </w:pPr>
            <w:r>
              <w:rPr>
                <w:rStyle w:val="CodeChar"/>
              </w:rPr>
              <w:t xml:space="preserve">ANONYMIZE_BANK_ACCOUNT</w:t>
            </w:r>
          </w:p>
        </w:tc>
        <w:tc>
          <w:tcPr>
            <w:tcW w:w="2340" w:type="dxa"/>
          </w:tcPr>
          <w:p>
            <w:pPr>
              <w:pStyle w:val="TableText"/>
            </w:pPr>
            <w:r>
              <w:rPr>
                <w:b/>
              </w:rPr>
              <w:t xml:space="preserve">Yes — off means the column is 100% untouched</w:t>
            </w:r>
          </w:p>
        </w:tc>
      </w:tr>
      <w:tr>
        <w:tc>
          <w:tcPr>
            <w:tcW w:w="2340" w:type="dxa"/>
          </w:tcPr>
          <w:p>
            <w:pPr>
              <w:pStyle w:val="TableText"/>
              <w:jc w:val="right"/>
            </w:pPr>
            <w:r>
              <w:t xml:space="preserve">391</w:t>
            </w:r>
          </w:p>
        </w:tc>
        <w:tc>
          <w:tcPr>
            <w:tcW w:w="2340" w:type="dxa"/>
          </w:tcPr>
          <w:p>
            <w:pPr>
              <w:pStyle w:val="TableText"/>
            </w:pPr>
            <w:r>
              <w:rPr>
                <w:rStyle w:val="CodeChar"/>
              </w:rPr>
              <w:t xml:space="preserve">CODE</w:t>
            </w:r>
            <w:r>
              <w:t xml:space="preserve"> + </w:t>
            </w:r>
            <w:r>
              <w:rPr>
                <w:rStyle w:val="CodeChar"/>
              </w:rPr>
              <w:t xml:space="preserve">ANY</w:t>
            </w:r>
          </w:p>
        </w:tc>
        <w:tc>
          <w:tcPr>
            <w:tcW w:w="2340" w:type="dxa"/>
          </w:tcPr>
          <w:p>
            <w:pPr>
              <w:pStyle w:val="TableText"/>
            </w:pPr>
            <w:r>
              <w:t xml:space="preserve">all four category flags, per value</w:t>
            </w:r>
          </w:p>
        </w:tc>
        <w:tc>
          <w:tcPr>
            <w:tcW w:w="2340" w:type="dxa"/>
          </w:tcPr>
          <w:p>
            <w:pPr>
              <w:pStyle w:val="TableText"/>
            </w:pPr>
            <w:r>
              <w:t xml:space="preserve">No — depends on instance data</w:t>
            </w:r>
          </w:p>
        </w:tc>
      </w:tr>
      <w:tr>
        <w:tc>
          <w:tcPr>
            <w:tcW w:w="2340" w:type="dxa"/>
          </w:tcPr>
          <w:p>
            <w:pPr>
              <w:pStyle w:val="TableText"/>
              <w:jc w:val="right"/>
            </w:pPr>
            <w:r>
              <w:t xml:space="preserve">92</w:t>
            </w:r>
          </w:p>
        </w:tc>
        <w:tc>
          <w:tcPr>
            <w:tcW w:w="2340" w:type="dxa"/>
          </w:tcPr>
          <w:p>
            <w:pPr>
              <w:pStyle w:val="TableText"/>
            </w:pPr>
            <w:r>
              <w:rPr>
                <w:rStyle w:val="CodeChar"/>
              </w:rPr>
              <w:t xml:space="preserve">NULL_OUT</w:t>
            </w:r>
          </w:p>
        </w:tc>
        <w:tc>
          <w:tcPr>
            <w:tcW w:w="2340" w:type="dxa"/>
          </w:tcPr>
          <w:p>
            <w:pPr>
              <w:pStyle w:val="TableText"/>
            </w:pPr>
            <w:r>
              <w:t xml:space="preserve">nothing</w:t>
            </w:r>
          </w:p>
        </w:tc>
        <w:tc>
          <w:tcPr>
            <w:tcW w:w="2340" w:type="dxa"/>
          </w:tcPr>
          <w:p>
            <w:pPr>
              <w:pStyle w:val="TableText"/>
            </w:pPr>
            <w:r>
              <w:rPr>
                <w:b/>
              </w:rPr>
              <w:t xml:space="preserve">Yes — always erased</w:t>
            </w:r>
          </w:p>
        </w:tc>
      </w:tr>
      <w:tr>
        <w:tc>
          <w:tcPr>
            <w:tcW w:w="2340" w:type="dxa"/>
          </w:tcPr>
          <w:p>
            <w:pPr>
              <w:pStyle w:val="TableText"/>
              <w:jc w:val="right"/>
            </w:pPr>
            <w:r>
              <w:t xml:space="preserve">3</w:t>
            </w:r>
          </w:p>
        </w:tc>
        <w:tc>
          <w:tcPr>
            <w:tcW w:w="2340" w:type="dxa"/>
          </w:tcPr>
          <w:p>
            <w:pPr>
              <w:pStyle w:val="TableText"/>
            </w:pPr>
            <w:r>
              <w:rPr>
                <w:rStyle w:val="CodeChar"/>
              </w:rPr>
              <w:t xml:space="preserve">DESCRIPTION</w:t>
            </w:r>
          </w:p>
        </w:tc>
        <w:tc>
          <w:tcPr>
            <w:tcW w:w="2340" w:type="dxa"/>
          </w:tcPr>
          <w:p>
            <w:pPr>
              <w:pStyle w:val="TableText"/>
            </w:pPr>
            <w:r>
              <w:rPr>
                <w:rStyle w:val="CodeChar"/>
              </w:rPr>
              <w:t xml:space="preserve">ANONYMIZE_*_DESCRIPTION</w:t>
            </w:r>
          </w:p>
        </w:tc>
        <w:tc>
          <w:tcPr>
            <w:tcW w:w="2340" w:type="dxa"/>
          </w:tcPr>
          <w:p>
            <w:pPr>
              <w:pStyle w:val="TableText"/>
            </w:pPr>
            <w:r>
              <w:t xml:space="preserve">Yes</w:t>
            </w:r>
          </w:p>
        </w:tc>
      </w:tr>
      <w:tr>
        <w:tc>
          <w:tcPr>
            <w:tcW w:w="2340" w:type="dxa"/>
          </w:tcPr>
          <w:p>
            <w:pPr>
              <w:pStyle w:val="TableText"/>
              <w:jc w:val="right"/>
            </w:pPr>
            <w:r>
              <w:t xml:space="preserve">5</w:t>
            </w:r>
          </w:p>
        </w:tc>
        <w:tc>
          <w:tcPr>
            <w:tcW w:w="2340" w:type="dxa"/>
          </w:tcPr>
          <w:p>
            <w:pPr>
              <w:pStyle w:val="TableText"/>
            </w:pPr>
            <w:r>
              <w:rPr>
                <w:rStyle w:val="CodeChar"/>
              </w:rPr>
              <w:t xml:space="preserve">SELF_CODE</w:t>
            </w:r>
            <w:r>
              <w:t xml:space="preserve"> + </w:t>
            </w:r>
            <w:r>
              <w:rPr>
                <w:rStyle w:val="CodeChar"/>
              </w:rPr>
              <w:t xml:space="preserve">ANY</w:t>
            </w:r>
          </w:p>
        </w:tc>
        <w:tc>
          <w:tcPr>
            <w:tcW w:w="2340" w:type="dxa"/>
          </w:tcPr>
          <w:p>
            <w:pPr>
              <w:pStyle w:val="TableText"/>
            </w:pPr>
            <w:r>
              <w:t xml:space="preserve">any </w:t>
            </w:r>
            <w:r>
              <w:rPr>
                <w:rStyle w:val="CodeChar"/>
              </w:rPr>
              <w:t xml:space="preserve">ANONYMIZE_*_ATTRIBUTES</w:t>
            </w:r>
          </w:p>
        </w:tc>
        <w:tc>
          <w:tcPr>
            <w:tcW w:w="2340" w:type="dxa"/>
          </w:tcPr>
          <w:p>
            <w:pPr>
              <w:pStyle w:val="TableText"/>
            </w:pPr>
            <w:r>
              <w:t xml:space="preserve">Yes</w:t>
            </w:r>
          </w:p>
        </w:tc>
      </w:tr>
      <w:tr>
        <w:tc>
          <w:tcPr>
            <w:tcW w:w="2340" w:type="dxa"/>
          </w:tcPr>
          <w:p>
            <w:pPr>
              <w:pStyle w:val="TableText"/>
              <w:jc w:val="right"/>
            </w:pPr>
            <w:r>
              <w:t xml:space="preserve">17</w:t>
            </w:r>
          </w:p>
        </w:tc>
        <w:tc>
          <w:tcPr>
            <w:tcW w:w="2340" w:type="dxa"/>
          </w:tcPr>
          <w:p>
            <w:pPr>
              <w:pStyle w:val="TableText"/>
            </w:pPr>
            <w:r>
              <w:rPr>
                <w:rStyle w:val="CodeChar"/>
              </w:rPr>
              <w:t xml:space="preserve">SELF_CODE</w:t>
            </w:r>
            <w:r>
              <w:t xml:space="preserve"> + category</w:t>
            </w:r>
          </w:p>
        </w:tc>
        <w:tc>
          <w:tcPr>
            <w:tcW w:w="2340" w:type="dxa"/>
          </w:tcPr>
          <w:p>
            <w:pPr>
              <w:pStyle w:val="TableText"/>
            </w:pPr>
            <w:r>
              <w:t xml:space="preserve">that category's </w:t>
            </w:r>
            <w:r>
              <w:rPr>
                <w:rStyle w:val="CodeChar"/>
              </w:rPr>
              <w:t xml:space="preserve">_ATTRIBUTES</w:t>
            </w:r>
          </w:p>
        </w:tc>
        <w:tc>
          <w:tcPr>
            <w:tcW w:w="2340" w:type="dxa"/>
          </w:tcPr>
          <w:p>
            <w:pPr>
              <w:pStyle w:val="TableText"/>
            </w:pPr>
            <w:r>
              <w:t xml:space="preserve">Yes</w:t>
            </w:r>
          </w:p>
        </w:tc>
      </w:tr>
    </w:tbl>
    <w:p>
      <w:pPr>
        <w:spacing w:after="0" w:line="120" w:lineRule="exact"/>
      </w:pPr>
    </w:p>
    <w:p>
      <w:pPr/>
      <w:r>
        <w:rPr>
          <w:rStyle w:val="CodeChar"/>
        </w:rPr>
        <w:t xml:space="preserve">tools/analyze_flag_impact.sql</w:t>
      </w:r>
      <w:r>
        <w:t xml:space="preserve"> resolves the remaining 391 against a real instance.</w:t>
      </w:r>
    </w:p>
    <w:p>
      <w:pPr>
        <w:pStyle w:val="Heading3"/>
      </w:pPr>
      <w:r>
        <w:t xml:space="preserve">The three flag families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Flag</w:t>
            </w:r>
          </w:p>
        </w:tc>
        <w:tc>
          <w:tcPr>
            <w:tcW w:w="3120" w:type="dxa"/>
            <w:shd w:val="clear" w:fill="F4F6F8"/>
          </w:tcPr>
          <w:p>
            <w:pPr>
              <w:pStyle w:val="TableText"/>
            </w:pPr>
            <w:r>
              <w:rPr>
                <w:b/>
              </w:rPr>
              <w:t xml:space="preserve">Gates</w:t>
            </w:r>
          </w:p>
        </w:tc>
        <w:tc>
          <w:tcPr>
            <w:tcW w:w="3120" w:type="dxa"/>
            <w:shd w:val="clear" w:fill="F4F6F8"/>
          </w:tcPr>
          <w:p>
            <w:pPr>
              <w:pStyle w:val="TableText"/>
            </w:pPr>
            <w:r>
              <w:rPr>
                <w:b/>
              </w:rPr>
              <w:t xml:space="preserve">Replaces</w:t>
            </w:r>
          </w:p>
        </w:tc>
      </w:tr>
      <w:tr>
        <w:tc>
          <w:tcPr>
            <w:tcW w:w="3120" w:type="dxa"/>
          </w:tcPr>
          <w:p>
            <w:pPr>
              <w:pStyle w:val="TableText"/>
            </w:pPr>
            <w:r>
              <w:rPr>
                <w:rStyle w:val="CodeChar"/>
              </w:rPr>
              <w:t xml:space="preserve">ANONYMIZE_&lt;CATEGORY&gt;</w:t>
            </w:r>
          </w:p>
        </w:tc>
        <w:tc>
          <w:tcPr>
            <w:tcW w:w="3120" w:type="dxa"/>
          </w:tcPr>
          <w:p>
            <w:pPr>
              <w:pStyle w:val="TableText"/>
            </w:pPr>
            <w:r>
              <w:rPr>
                <w:rStyle w:val="CodeChar"/>
              </w:rPr>
              <w:t xml:space="preserve">CODE</w:t>
            </w:r>
            <w:r>
              <w:t xml:space="preserve"> — whether the category's identifiers are mapped at all</w:t>
            </w:r>
          </w:p>
        </w:tc>
        <w:tc>
          <w:tcPr>
            <w:tcW w:w="3120" w:type="dxa"/>
          </w:tcPr>
          <w:p>
            <w:pPr>
              <w:pStyle w:val="TableText"/>
            </w:pPr>
            <w:r>
              <w:t xml:space="preserve">v2's </w:t>
            </w:r>
            <w:r>
              <w:rPr>
                <w:rStyle w:val="CodeChar"/>
              </w:rPr>
              <w:t xml:space="preserve">Ent0</w:t>
            </w:r>
            <w:r>
              <w:t xml:space="preserve"> + </w:t>
            </w:r>
            <w:r>
              <w:rPr>
                <w:rStyle w:val="CodeChar"/>
              </w:rPr>
              <w:t xml:space="preserve">EntC</w:t>
            </w:r>
          </w:p>
        </w:tc>
      </w:tr>
      <w:tr>
        <w:tc>
          <w:tcPr>
            <w:tcW w:w="3120" w:type="dxa"/>
          </w:tcPr>
          <w:p>
            <w:pPr>
              <w:pStyle w:val="TableText"/>
            </w:pPr>
            <w:r>
              <w:rPr>
                <w:rStyle w:val="CodeChar"/>
              </w:rPr>
              <w:t xml:space="preserve">ANONYMIZE_&lt;CATEGORY&gt;_DESCRIPTION</w:t>
            </w:r>
          </w:p>
        </w:tc>
        <w:tc>
          <w:tcPr>
            <w:tcW w:w="3120" w:type="dxa"/>
          </w:tcPr>
          <w:p>
            <w:pPr>
              <w:pStyle w:val="TableText"/>
            </w:pPr>
            <w:r>
              <w:rPr>
                <w:rStyle w:val="CodeChar"/>
              </w:rPr>
              <w:t xml:space="preserve">DESCRIPTION</w:t>
            </w:r>
            <w:r>
              <w:t xml:space="preserve"> — the label column</w:t>
            </w:r>
          </w:p>
        </w:tc>
        <w:tc>
          <w:tcPr>
            <w:tcW w:w="3120" w:type="dxa"/>
          </w:tcPr>
          <w:p>
            <w:pPr>
              <w:pStyle w:val="TableText"/>
            </w:pPr>
            <w:r>
              <w:rPr>
                <w:rStyle w:val="CodeChar"/>
              </w:rPr>
              <w:t xml:space="preserve">EntD</w:t>
            </w:r>
            <w:r>
              <w:t xml:space="preserve"> / </w:t>
            </w:r>
            <w:r>
              <w:rPr>
                <w:rStyle w:val="CodeChar"/>
              </w:rPr>
              <w:t xml:space="preserve">FoldD</w:t>
            </w:r>
            <w:r>
              <w:t xml:space="preserve"> / </w:t>
            </w:r>
            <w:r>
              <w:rPr>
                <w:rStyle w:val="CodeChar"/>
              </w:rPr>
              <w:t xml:space="preserve">TierD</w:t>
            </w:r>
            <w:r>
              <w:t xml:space="preserve"> / </w:t>
            </w:r>
            <w:r>
              <w:rPr>
                <w:rStyle w:val="CodeChar"/>
              </w:rPr>
              <w:t xml:space="preserve">CpteD</w:t>
            </w:r>
          </w:p>
        </w:tc>
      </w:tr>
      <w:tr>
        <w:tc>
          <w:tcPr>
            <w:tcW w:w="3120" w:type="dxa"/>
          </w:tcPr>
          <w:p>
            <w:pPr>
              <w:pStyle w:val="TableText"/>
            </w:pPr>
            <w:r>
              <w:rPr>
                <w:rStyle w:val="CodeChar"/>
              </w:rPr>
              <w:t xml:space="preserve">ANONYMIZE_&lt;CATEGORY&gt;_ATTRIBUTES</w:t>
            </w:r>
          </w:p>
        </w:tc>
        <w:tc>
          <w:tcPr>
            <w:tcW w:w="3120" w:type="dxa"/>
          </w:tcPr>
          <w:p>
            <w:pPr>
              <w:pStyle w:val="TableText"/>
            </w:pPr>
            <w:r>
              <w:rPr>
                <w:rStyle w:val="CodeChar"/>
              </w:rPr>
              <w:t xml:space="preserve">SELF_CODE</w:t>
            </w:r>
            <w:r>
              <w:t xml:space="preserve"> — the extra PII attribute columns</w:t>
            </w:r>
          </w:p>
        </w:tc>
        <w:tc>
          <w:tcPr>
            <w:tcW w:w="3120" w:type="dxa"/>
          </w:tcPr>
          <w:p>
            <w:pPr>
              <w:pStyle w:val="TableText"/>
            </w:pPr>
            <w:r>
              <w:rPr>
                <w:rStyle w:val="CodeChar"/>
              </w:rPr>
              <w:t xml:space="preserve">Ent1</w:t>
            </w:r>
            <w:r>
              <w:t xml:space="preserve">–</w:t>
            </w:r>
            <w:r>
              <w:rPr>
                <w:rStyle w:val="CodeChar"/>
              </w:rPr>
              <w:t xml:space="preserve">Ent5</w:t>
            </w:r>
            <w:r>
              <w:t xml:space="preserve"> and the equivalents</w:t>
            </w:r>
          </w:p>
        </w:tc>
      </w:tr>
    </w:tbl>
    <w:p>
      <w:pPr>
        <w:spacing w:after="0" w:line="120" w:lineRule="exact"/>
      </w:pPr>
    </w:p>
    <w:p>
      <w:pPr/>
      <w:r>
        <w:t xml:space="preserve">Descriptions and attributes are gated separately because the vendor package separated them, and the separation is useful: a support copy often wants readable labels while still scrubbing phone numbers and personal names.</w:t>
      </w:r>
    </w:p>
    <w:p>
      <w:pPr/>
      <w:r>
        <w:t xml:space="preserve">Both require their own category to be enabled, because both write the row's anonymized identifier — without a mapping there is nothing to write.</w:t>
      </w:r>
    </w:p>
    <w:p>
      <w:pPr/>
      <w:r>
        <w:rPr>
          <w:rStyle w:val="CodeChar"/>
        </w:rPr>
        <w:t xml:space="preserve">NULL_OUT</w:t>
      </w:r>
      <w:r>
        <w:t xml:space="preserve"> has no flag. Free text and PII are always erased.</w:t>
      </w:r>
    </w:p>
    <w:p>
      <w:pPr>
        <w:pStyle w:val="Heading3"/>
      </w:pPr>
      <w:r>
        <w:t xml:space="preserve">What replaced the </w:t>
      </w:r>
      <w:r>
        <w:rPr>
          <w:rStyle w:val="CodeChar"/>
        </w:rPr>
        <w:t xml:space="preserve">Ent1</w:t>
      </w:r>
      <w:r>
        <w:t xml:space="preserve">–</w:t>
      </w:r>
      <w:r>
        <w:rPr>
          <w:rStyle w:val="CodeChar"/>
        </w:rPr>
        <w:t xml:space="preserve">Ent5</w:t>
      </w:r>
      <w:r>
        <w:t xml:space="preserve"> slots</w:t>
      </w:r>
    </w:p>
    <w:p>
      <w:pPr/>
      <w:r>
        <w:t xml:space="preserve">In v2 each category had five free-form slots holding column names, applied only to </w:t>
      </w:r>
      <w:r>
        <w:rPr>
          <w:rStyle w:val="CodeChar"/>
        </w:rPr>
        <w:t xml:space="preserve">op.tiers</w:t>
      </w:r>
      <w:r>
        <w:t xml:space="preserve"> and </w:t>
      </w:r>
      <w:r>
        <w:rPr>
          <w:rStyle w:val="CodeChar"/>
        </w:rPr>
        <w:t xml:space="preserve">op.compte_banque</w:t>
      </w:r>
      <w:r>
        <w:t xml:space="preserve">. </w:t>
      </w:r>
      <w:r>
        <w:rPr>
          <w:b/>
        </w:rPr>
        <w:t xml:space="preserve">Which</w:t>
      </w:r>
      <w:r>
        <w:t xml:space="preserve"> columns are treated this way is now declared in the inventory with rule </w:t>
      </w:r>
      <w:r>
        <w:rPr>
          <w:rStyle w:val="CodeChar"/>
        </w:rPr>
        <w:t xml:space="preserve">SELF_CODE</w:t>
      </w:r>
      <w:r>
        <w:t xml:space="preserve">, so there is no five-column ceiling and no table restriction. The flags remain as the on/off switch those slots gave you by being left blank.</w:t>
      </w:r>
    </w:p>
    <w:p>
      <w:pPr/>
      <w:r>
        <w:t xml:space="preserve">The 17 </w:t>
      </w:r>
      <w:r>
        <w:rPr>
          <w:rStyle w:val="CodeChar"/>
        </w:rPr>
        <w:t xml:space="preserve">SELF_CODE</w:t>
      </w:r>
      <w:r>
        <w:t xml:space="preserve"> rows in </w:t>
      </w:r>
      <w:r>
        <w:rPr>
          <w:rStyle w:val="CodeChar"/>
        </w:rPr>
        <w:t xml:space="preserve">inventory_op_custom.csv</w:t>
      </w:r>
      <w:r>
        <w:t xml:space="preserve"> are what one site had put in those slots. They live in the custom file precisely because they are that site's choice, not a product default.</w:t>
      </w:r>
    </w:p>
    <w:p>
      <w:pPr>
        <w:pBdr>
          <w:bottom w:val="single" w:sz="6" w:space="1" w:color="D5D9DE"/>
        </w:pBdr>
        <w:spacing w:before="240" w:after="240"/>
      </w:pPr>
    </w:p>
    <w:p>
      <w:pPr>
        <w:pStyle w:val="Heading2"/>
      </w:pPr>
      <w:r>
        <w:t xml:space="preserve">5. Identifier generation</w:t>
      </w:r>
    </w:p>
    <w:p>
      <w:pPr/>
      <w:r>
        <w:t xml:space="preserve">Codes are generated </w:t>
      </w:r>
      <w:r>
        <w:rPr>
          <w:b/>
        </w:rPr>
        <w:t xml:space="preserve">deterministically and set-based</w:t>
      </w:r>
      <w:r>
        <w:t xml:space="preserve">:</w:t>
      </w:r>
    </w:p>
    <w:p>
      <w:pPr>
        <w:pStyle w:val="CodeBlock"/>
      </w:pPr>
      <w:r>
        <w:t xml:space="preserve">INSERT INTO anon_meta.code_map (category, old_code, new_code)</w:t>
        <w:br/>
        <w:t xml:space="preserve">SELECT :category, code,</w:t>
        <w:br/>
        <w:t xml:space="preserve">       :prefix || LPAD(ROW_NUMBER() OVER (ORDER BY code), 7, '0')</w:t>
        <w:br/>
        <w:t xml:space="preserve">  FROM (&lt;category source query&gt;);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Category</w:t>
            </w:r>
          </w:p>
        </w:tc>
        <w:tc>
          <w:tcPr>
            <w:tcW w:w="3120" w:type="dxa"/>
            <w:shd w:val="clear" w:fill="F4F6F8"/>
          </w:tcPr>
          <w:p>
            <w:pPr>
              <w:pStyle w:val="TableText"/>
            </w:pPr>
            <w:r>
              <w:rPr>
                <w:b/>
              </w:rPr>
              <w:t xml:space="preserve">Prefix</w:t>
            </w:r>
          </w:p>
        </w:tc>
        <w:tc>
          <w:tcPr>
            <w:tcW w:w="3120" w:type="dxa"/>
            <w:shd w:val="clear" w:fill="F4F6F8"/>
          </w:tcPr>
          <w:p>
            <w:pPr>
              <w:pStyle w:val="TableText"/>
            </w:pPr>
            <w:r>
              <w:rPr>
                <w:b/>
              </w:rPr>
              <w:t xml:space="preserve">Width</w:t>
            </w:r>
          </w:p>
        </w:tc>
      </w:tr>
      <w:tr>
        <w:tc>
          <w:tcPr>
            <w:tcW w:w="3120" w:type="dxa"/>
          </w:tcPr>
          <w:p>
            <w:pPr>
              <w:pStyle w:val="TableText"/>
            </w:pPr>
            <w:r>
              <w:t xml:space="preserve">Entity</w:t>
            </w:r>
          </w:p>
        </w:tc>
        <w:tc>
          <w:tcPr>
            <w:tcW w:w="3120" w:type="dxa"/>
          </w:tcPr>
          <w:p>
            <w:pPr>
              <w:pStyle w:val="TableText"/>
            </w:pPr>
            <w:r>
              <w:rPr>
                <w:rStyle w:val="CodeChar"/>
              </w:rPr>
              <w:t xml:space="preserve">E_</w:t>
            </w:r>
          </w:p>
        </w:tc>
        <w:tc>
          <w:tcPr>
            <w:tcW w:w="3120" w:type="dxa"/>
          </w:tcPr>
          <w:p>
            <w:pPr>
              <w:pStyle w:val="TableText"/>
            </w:pPr>
            <w:r>
              <w:t xml:space="preserve">9</w:t>
            </w:r>
          </w:p>
        </w:tc>
      </w:tr>
      <w:tr>
        <w:tc>
          <w:tcPr>
            <w:tcW w:w="3120" w:type="dxa"/>
          </w:tcPr>
          <w:p>
            <w:pPr>
              <w:pStyle w:val="TableText"/>
            </w:pPr>
            <w:r>
              <w:t xml:space="preserve">Portfolio</w:t>
            </w:r>
          </w:p>
        </w:tc>
        <w:tc>
          <w:tcPr>
            <w:tcW w:w="3120" w:type="dxa"/>
          </w:tcPr>
          <w:p>
            <w:pPr>
              <w:pStyle w:val="TableText"/>
            </w:pPr>
            <w:r>
              <w:rPr>
                <w:rStyle w:val="CodeChar"/>
              </w:rPr>
              <w:t xml:space="preserve">P_</w:t>
            </w:r>
          </w:p>
        </w:tc>
        <w:tc>
          <w:tcPr>
            <w:tcW w:w="3120" w:type="dxa"/>
          </w:tcPr>
          <w:p>
            <w:pPr>
              <w:pStyle w:val="TableText"/>
            </w:pPr>
            <w:r>
              <w:t xml:space="preserve">9</w:t>
            </w:r>
          </w:p>
        </w:tc>
      </w:tr>
      <w:tr>
        <w:tc>
          <w:tcPr>
            <w:tcW w:w="3120" w:type="dxa"/>
          </w:tcPr>
          <w:p>
            <w:pPr>
              <w:pStyle w:val="TableText"/>
            </w:pPr>
            <w:r>
              <w:t xml:space="preserve">Counterparty</w:t>
            </w:r>
          </w:p>
        </w:tc>
        <w:tc>
          <w:tcPr>
            <w:tcW w:w="3120" w:type="dxa"/>
          </w:tcPr>
          <w:p>
            <w:pPr>
              <w:pStyle w:val="TableText"/>
            </w:pPr>
            <w:r>
              <w:rPr>
                <w:rStyle w:val="CodeChar"/>
              </w:rPr>
              <w:t xml:space="preserve">T_</w:t>
            </w:r>
          </w:p>
        </w:tc>
        <w:tc>
          <w:tcPr>
            <w:tcW w:w="3120" w:type="dxa"/>
          </w:tcPr>
          <w:p>
            <w:pPr>
              <w:pStyle w:val="TableText"/>
            </w:pPr>
            <w:r>
              <w:t xml:space="preserve">9</w:t>
            </w:r>
          </w:p>
        </w:tc>
      </w:tr>
      <w:tr>
        <w:tc>
          <w:tcPr>
            <w:tcW w:w="3120" w:type="dxa"/>
          </w:tcPr>
          <w:p>
            <w:pPr>
              <w:pStyle w:val="TableText"/>
            </w:pPr>
            <w:r>
              <w:t xml:space="preserve">Bank account</w:t>
            </w:r>
          </w:p>
        </w:tc>
        <w:tc>
          <w:tcPr>
            <w:tcW w:w="3120" w:type="dxa"/>
          </w:tcPr>
          <w:p>
            <w:pPr>
              <w:pStyle w:val="TableText"/>
            </w:pPr>
            <w:r>
              <w:rPr>
                <w:rStyle w:val="CodeChar"/>
              </w:rPr>
              <w:t xml:space="preserve">CB_</w:t>
            </w:r>
          </w:p>
        </w:tc>
        <w:tc>
          <w:tcPr>
            <w:tcW w:w="3120" w:type="dxa"/>
          </w:tcPr>
          <w:p>
            <w:pPr>
              <w:pStyle w:val="TableText"/>
            </w:pPr>
            <w:r>
              <w:t xml:space="preserve">10</w:t>
            </w:r>
          </w:p>
        </w:tc>
      </w:tr>
    </w:tbl>
    <w:p>
      <w:pPr>
        <w:spacing w:after="0" w:line="120" w:lineRule="exact"/>
      </w:pPr>
    </w:p>
    <w:p>
      <w:pPr/>
      <w:r>
        <w:t xml:space="preserve">Uniqueness is guaranteed by construction, so there is no collision probe and no retry loop. The whole mapping is produced in one statement per category rather than one round-trip per code, and the result is reproducible — the same source data always yields the same mapping.</w:t>
      </w:r>
    </w:p>
    <w:p>
      <w:pPr/>
      <w:r>
        <w:t xml:space="preserve">v3 instead drew a random 7-digit number per code, queried the mapping table to check for a collision, and retried up to 100 times.</w:t>
      </w:r>
    </w:p>
    <w:p>
      <w:pPr/>
      <w:r>
        <w:rPr>
          <w:b/>
        </w:rPr>
        <w:t xml:space="preserve">Width is checked before any data is touched.</w:t>
      </w:r>
      <w:r>
        <w:t xml:space="preserve"> Preflight compares the generated width against </w:t>
      </w:r>
      <w:r>
        <w:rPr>
          <w:rStyle w:val="CodeChar"/>
        </w:rPr>
        <w:t xml:space="preserve">all_tab_columns</w:t>
      </w:r>
      <w:r>
        <w:t xml:space="preserve"> for every </w:t>
      </w:r>
      <w:r>
        <w:rPr>
          <w:rStyle w:val="CodeChar"/>
        </w:rPr>
        <w:t xml:space="preserve">CODE</w:t>
      </w:r>
      <w:r>
        <w:t xml:space="preserve"> column in the inventory and refuses to start if a target is too narrow. v3 would have discovered that as an </w:t>
      </w:r>
      <w:r>
        <w:rPr>
          <w:rStyle w:val="CodeChar"/>
        </w:rPr>
        <w:t xml:space="preserve">ORA-12899</w:t>
      </w:r>
      <w:r>
        <w:t xml:space="preserve"> partway through a run it could not resume.</w:t>
      </w:r>
    </w:p>
    <w:p>
      <w:pPr>
        <w:pStyle w:val="Heading3"/>
      </w:pPr>
      <w:r>
        <w:rPr>
          <w:rStyle w:val="CodeChar"/>
        </w:rPr>
        <w:t xml:space="preserve">code_map_any</w:t>
      </w:r>
    </w:p>
    <w:p>
      <w:pPr/>
      <w:r>
        <w:t xml:space="preserve">A second table holds the resolved unrestricted lookup — one row per distinct original, with collisions across categories resolved by priority (entity &gt; portfolio &gt; counterparty &gt; bank account). </w:t>
      </w:r>
      <w:r>
        <w:rPr>
          <w:rStyle w:val="CodeChar"/>
        </w:rPr>
        <w:t xml:space="preserve">CODE,ANY</w:t>
      </w:r>
      <w:r>
        <w:t xml:space="preserve"> columns read this; </w:t>
      </w:r>
      <w:r>
        <w:rPr>
          <w:rStyle w:val="CodeChar"/>
        </w:rPr>
        <w:t xml:space="preserve">CODE,BANK_ACCOUNT</w:t>
      </w:r>
      <w:r>
        <w:t xml:space="preserve"> columns read </w:t>
      </w:r>
      <w:r>
        <w:rPr>
          <w:rStyle w:val="CodeChar"/>
        </w:rPr>
        <w:t xml:space="preserve">code_map</w:t>
      </w:r>
      <w:r>
        <w:t xml:space="preserve"> filtered to that category.</w:t>
      </w:r>
    </w:p>
    <w:p>
      <w:pPr/>
      <w:r>
        <w:t xml:space="preserve">Six originals currently exist in more than one category. Verification reports them as an informational warning; they were reviewed and are correct by design.</w:t>
      </w:r>
    </w:p>
    <w:p>
      <w:pPr>
        <w:pBdr>
          <w:bottom w:val="single" w:sz="6" w:space="1" w:color="D5D9DE"/>
        </w:pBdr>
        <w:spacing w:before="240" w:after="240"/>
      </w:pPr>
    </w:p>
    <w:p>
      <w:pPr>
        <w:pStyle w:val="Heading2"/>
      </w:pPr>
      <w:r>
        <w:t xml:space="preserve">6. Run lifecycle</w:t>
      </w:r>
    </w:p>
    <w:p>
      <w:pPr>
        <w:pStyle w:val="CodeBlock"/>
      </w:pPr>
      <w:r>
        <w:t xml:space="preserve">run_op_anonymization.bat</w:t>
        <w:br/>
        <w:t xml:space="preserve">   ├─ settle configuration (file, prompts, defaults)</w:t>
        <w:br/>
        <w:t xml:space="preserve">   ├─ parse both CSVs into a temporary INSERT script</w:t>
        <w:br/>
        <w:t xml:space="preserve">   └─ sqlplus @sql/00_run_op_anonymization.sql  (22 positional parameters)</w:t>
        <w:br/>
        <w:t xml:space="preserve">        ├─ connect as SYS</w:t>
        <w:br/>
        <w:t xml:space="preserve">        ├─ @@10_create_metadata_schema.sql      create anon_meta if absent; truncate the inventory</w:t>
        <w:br/>
        <w:t xml:space="preserve">        ├─ connect as OP, assert the connection landed</w:t>
        <w:br/>
        <w:t xml:space="preserve">        ├─ @@30_install_engine.sql              compile the anon_engine package</w:t>
        <w:br/>
        <w:t xml:space="preserve">        ├─ @&lt;temporary inventory script&gt;        load 579 rows</w:t>
        <w:br/>
        <w:t xml:space="preserve">        ├─ @@21_validate_inventory.sql          reject impossible rule/category pairs</w:t>
        <w:br/>
        <w:t xml:space="preserve">        ├─ anon_engine.configure / start_run</w:t>
        <w:br/>
        <w:t xml:space="preserve">        ├─ anon_engine.preflight                DRY RUN STOPS HERE</w:t>
        <w:br/>
        <w:t xml:space="preserve">        ├─ disable triggers            (45 on the tested instance)</w:t>
        <w:br/>
        <w:t xml:space="preserve">        ├─ generate or reuse the mapping</w:t>
        <w:br/>
        <w:t xml:space="preserve">        ├─ apply the inventory         NULL_OUT → CODE → DESCRIPTION/SELF_CODE</w:t>
        <w:br/>
        <w:t xml:space="preserve">        ├─ re-enable triggers          (runs even when the run fails)</w:t>
        <w:br/>
        <w:t xml:space="preserve">        └─ finish_run</w:t>
        <w:br/>
        <w:t xml:space="preserve">   ├─ verify/verify_op_coverage.sql            after a successful EXECUTE</w:t>
        <w:br/>
        <w:t xml:space="preserve">   └─ verify/generate_report.sql               always, even when verification fails</w:t>
      </w:r>
    </w:p>
    <w:p>
      <w:pPr/>
      <w:r>
        <w:t xml:space="preserve">Triggers are re-enabled by a handler that runs before the error propagates, so a failed run does not leave the schema with its audit triggers off.</w:t>
      </w:r>
    </w:p>
    <w:p>
      <w:pPr/>
      <w:r>
        <w:t xml:space="preserve">Verification's exit code is captured and becomes the batch's exit code. The report is generated either way, because a failed verification is exactly when it is most wanted.</w:t>
      </w:r>
    </w:p>
    <w:p>
      <w:pPr>
        <w:pBdr>
          <w:bottom w:val="single" w:sz="6" w:space="1" w:color="D5D9DE"/>
        </w:pBdr>
        <w:spacing w:before="240" w:after="240"/>
      </w:pPr>
    </w:p>
    <w:p>
      <w:pPr>
        <w:pStyle w:val="Heading2"/>
      </w:pPr>
      <w:r>
        <w:t xml:space="preserve">7. Restartability</w:t>
      </w:r>
    </w:p>
    <w:p>
      <w:pPr/>
      <w:r>
        <w:rPr>
          <w:b/>
        </w:rPr>
        <w:t xml:space="preserve">A failed run can be re-run directly. No restore, no flag, no checkpoint.</w:t>
      </w:r>
    </w:p>
    <w:p>
      <w:pPr/>
      <w:r>
        <w:t xml:space="preserve">The guarantee is that every operation is a no-op when its work is already done, so re-executing the whole inventory converges on the same result whether the previous run reached 5% or 95%.</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Why a second pass changes nothing</w:t>
            </w:r>
          </w:p>
        </w:tc>
      </w:tr>
      <w:tr>
        <w:tc>
          <w:tcPr>
            <w:tcW w:w="4680" w:type="dxa"/>
          </w:tcPr>
          <w:p>
            <w:pPr>
              <w:pStyle w:val="TableText"/>
            </w:pPr>
            <w:r>
              <w:rPr>
                <w:rStyle w:val="CodeChar"/>
              </w:rPr>
              <w:t xml:space="preserve">CODE</w:t>
            </w:r>
          </w:p>
        </w:tc>
        <w:tc>
          <w:tcPr>
            <w:tcW w:w="4680" w:type="dxa"/>
          </w:tcPr>
          <w:p>
            <w:pPr>
              <w:pStyle w:val="TableText"/>
            </w:pPr>
            <w:r>
              <w:t xml:space="preserve">Matches </w:t>
            </w:r>
            <w:r>
              <w:rPr>
                <w:rStyle w:val="CodeChar"/>
              </w:rPr>
              <w:t xml:space="preserve">WHERE column IN (SELECT old_code …)</w:t>
            </w:r>
            <w:r>
              <w:t xml:space="preserve">. An already-substituted value is a </w:t>
            </w:r>
            <w:r>
              <w:rPr>
                <w:i/>
              </w:rPr>
              <w:t xml:space="preserve">new</w:t>
            </w:r>
            <w:r>
              <w:t xml:space="preserve"> code, which is not in </w:t>
            </w:r>
            <w:r>
              <w:rPr>
                <w:rStyle w:val="CodeChar"/>
              </w:rPr>
              <w:t xml:space="preserve">old_code</w:t>
            </w:r>
            <w:r>
              <w:t xml:space="preserve">, so it does not match.</w:t>
            </w:r>
          </w:p>
        </w:tc>
      </w:tr>
      <w:tr>
        <w:tc>
          <w:tcPr>
            <w:tcW w:w="4680" w:type="dxa"/>
          </w:tcPr>
          <w:p>
            <w:pPr>
              <w:pStyle w:val="TableText"/>
            </w:pPr>
            <w:r>
              <w:rPr>
                <w:rStyle w:val="CodeChar"/>
              </w:rPr>
              <w:t xml:space="preserve">NULL_OUT</w:t>
            </w:r>
          </w:p>
        </w:tc>
        <w:tc>
          <w:tcPr>
            <w:tcW w:w="4680" w:type="dxa"/>
          </w:tcPr>
          <w:p>
            <w:pPr>
              <w:pStyle w:val="TableText"/>
            </w:pPr>
            <w:r>
              <w:t xml:space="preserve">Matches </w:t>
            </w:r>
            <w:r>
              <w:rPr>
                <w:rStyle w:val="CodeChar"/>
              </w:rPr>
              <w:t xml:space="preserve">WHERE column IS NOT NULL</w:t>
            </w:r>
            <w:r>
              <w:t xml:space="preserve">. Already empty, nothing to do.</w:t>
            </w:r>
          </w:p>
        </w:tc>
      </w:tr>
      <w:tr>
        <w:tc>
          <w:tcPr>
            <w:tcW w:w="4680" w:type="dxa"/>
          </w:tcPr>
          <w:p>
            <w:pPr>
              <w:pStyle w:val="TableText"/>
            </w:pPr>
            <w:r>
              <w:rPr>
                <w:rStyle w:val="CodeChar"/>
              </w:rPr>
              <w:t xml:space="preserve">DESCRIPTION</w:t>
            </w:r>
            <w:r>
              <w:t xml:space="preserve"> / </w:t>
            </w:r>
            <w:r>
              <w:rPr>
                <w:rStyle w:val="CodeChar"/>
              </w:rPr>
              <w:t xml:space="preserve">SELF_CODE</w:t>
            </w:r>
          </w:p>
        </w:tc>
        <w:tc>
          <w:tcPr>
            <w:tcW w:w="4680" w:type="dxa"/>
          </w:tcPr>
          <w:p>
            <w:pPr>
              <w:pStyle w:val="TableText"/>
            </w:pPr>
            <w:r>
              <w:t xml:space="preserve">Matches only rows where the column does not already equal its row's code.</w:t>
            </w:r>
          </w:p>
        </w:tc>
      </w:tr>
      <w:tr>
        <w:tc>
          <w:tcPr>
            <w:tcW w:w="4680" w:type="dxa"/>
          </w:tcPr>
          <w:p>
            <w:pPr>
              <w:pStyle w:val="TableText"/>
            </w:pPr>
            <w:r>
              <w:t xml:space="preserve">Mapping</w:t>
            </w:r>
          </w:p>
        </w:tc>
        <w:tc>
          <w:tcPr>
            <w:tcW w:w="4680" w:type="dxa"/>
          </w:tcPr>
          <w:p>
            <w:pPr>
              <w:pStyle w:val="TableText"/>
            </w:pPr>
            <w:r>
              <w:t xml:space="preserve">Reused, never regenerated — identifiers stay stable across runs.</w:t>
            </w:r>
          </w:p>
        </w:tc>
      </w:tr>
    </w:tbl>
    <w:p>
      <w:pPr>
        <w:spacing w:after="0" w:line="120" w:lineRule="exact"/>
      </w:pPr>
    </w:p>
    <w:p>
      <w:pPr>
        <w:pStyle w:val="Heading3"/>
      </w:pPr>
      <w:r>
        <w:t xml:space="preserve">It does not skip completed steps</w:t>
      </w:r>
    </w:p>
    <w:p>
      <w:pPr/>
      <w:r>
        <w:t xml:space="preserve">There is no checkpoint; the whole inventory is re-executed. That is deliberate — skipping based on a previous run's log would be wrong the moment the configuration changed or the database was partially restored, whereas idempotent re-execution is correct in every case.</w:t>
      </w:r>
    </w:p>
    <w:p>
      <w:pPr/>
      <w:r>
        <w:rPr>
          <w:b/>
        </w:rPr>
        <w:t xml:space="preserve">The cost:</w:t>
      </w:r>
      <w:r>
        <w:t xml:space="preserve"> a re-run re-scans every table and takes roughly as long as the original even though it changes almost nothing.</w:t>
      </w:r>
    </w:p>
    <w:p>
      <w:pPr>
        <w:pStyle w:val="Heading3"/>
      </w:pPr>
      <w:r>
        <w:t xml:space="preserve">What a clean re-run looks like</w:t>
      </w:r>
    </w:p>
    <w:p>
      <w:pPr>
        <w:pStyle w:val="CodeBlock"/>
      </w:pPr>
      <w:r>
        <w:t xml:space="preserve">mapping ................ REUSED  (n existing mappings)</w:t>
        <w:br/>
        <w:t xml:space="preserve">NULL_OUT items ......... NOOP</w:t>
        <w:br/>
        <w:t xml:space="preserve">CODE items ............. NOOP</w:t>
        <w:br/>
        <w:t xml:space="preserve">DESCRIPTION / SELF_CODE  NOOP</w:t>
      </w:r>
    </w:p>
    <w:p>
      <w:pPr/>
      <w:r>
        <w:rPr>
          <w:rStyle w:val="CodeChar"/>
        </w:rPr>
        <w:t xml:space="preserve">REUSED</w:t>
      </w:r>
      <w:r>
        <w:t xml:space="preserve"> on all four categories is the signal that the mapping survived. Identifiers being </w:t>
      </w:r>
      <w:r>
        <w:rPr>
          <w:i/>
        </w:rPr>
        <w:t xml:space="preserve">generated</w:t>
      </w:r>
      <w:r>
        <w:t xml:space="preserve"> instead means </w:t>
      </w:r>
      <w:r>
        <w:rPr>
          <w:rStyle w:val="CodeChar"/>
        </w:rPr>
        <w:t xml:space="preserve">anon_meta</w:t>
      </w:r>
      <w:r>
        <w:t xml:space="preserve"> was dropped and the previous run's work can no longer be reconciled — restore and start over.</w:t>
      </w:r>
    </w:p>
    <w:p>
      <w:pPr/>
      <w:r>
        <w:t xml:space="preserve">This was proven directly: runs 3 and 4 against an already-anonymized instance showed the dry run predicting exactly one change and the execute making exactly that one change.</w:t>
      </w:r>
    </w:p>
    <w:p>
      <w:pPr>
        <w:pStyle w:val="Heading3"/>
      </w:pPr>
      <w:r>
        <w:t xml:space="preserve">When you must not re-run</w:t>
      </w:r>
    </w:p>
    <w:p>
      <w:pPr/>
      <w:r>
        <w:rPr>
          <w:b/>
        </w:rPr>
        <w:t xml:space="preserve">After restoring the database.</w:t>
      </w:r>
      <w:r>
        <w:t xml:space="preserve"> The mapping refers to values the restore has put back, so the two are out of step. </w:t>
      </w:r>
      <w:r>
        <w:rPr>
          <w:rStyle w:val="CodeChar"/>
        </w:rPr>
        <w:t xml:space="preserve">DROP USER anon_meta CASCADE</w:t>
      </w:r>
      <w:r>
        <w:t xml:space="preserve"> first.</w:t>
      </w:r>
    </w:p>
    <w:p>
      <w:pPr>
        <w:pBdr>
          <w:left w:val="single" w:sz="18" w:space="8" w:color="C9A227"/>
        </w:pBdr>
        <w:ind w:left="360"/>
      </w:pPr>
      <w:r>
        <w:t xml:space="preserve">This is the behaviour not to take for granted if you have used v3. There, every run dropped the mapping table and generated fresh random identifiers, so a failed run left renamed rows whose originals could no longer be recovered.</w:t>
      </w:r>
    </w:p>
    <w:p>
      <w:pPr>
        <w:pBdr>
          <w:bottom w:val="single" w:sz="6" w:space="1" w:color="D5D9DE"/>
        </w:pBdr>
        <w:spacing w:before="240" w:after="240"/>
      </w:pPr>
    </w:p>
    <w:p>
      <w:pPr>
        <w:pStyle w:val="Heading2"/>
      </w:pPr>
      <w:r>
        <w:t xml:space="preserve">8. Logging</w:t>
      </w:r>
    </w:p>
    <w:p>
      <w:pPr/>
      <w:r>
        <w:t xml:space="preserve">Every inventory item produces exactly one </w:t>
      </w:r>
      <w:r>
        <w:rPr>
          <w:rStyle w:val="CodeChar"/>
        </w:rPr>
        <w:t xml:space="preserve">anon_step_log</w:t>
      </w:r>
      <w:r>
        <w:t xml:space="preserve"> row — </w:t>
      </w:r>
      <w:r>
        <w:rPr>
          <w:b/>
        </w:rPr>
        <w:t xml:space="preserve">including items that changed zero rows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Status</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OK</w:t>
            </w:r>
          </w:p>
        </w:tc>
        <w:tc>
          <w:tcPr>
            <w:tcW w:w="4680" w:type="dxa"/>
          </w:tcPr>
          <w:p>
            <w:pPr>
              <w:pStyle w:val="TableText"/>
            </w:pPr>
            <w:r>
              <w:t xml:space="preserve">Applied, </w:t>
            </w:r>
            <w:r>
              <w:rPr>
                <w:i/>
              </w:rPr>
              <w:t xml:space="preserve">n</w:t>
            </w:r>
            <w:r>
              <w:t xml:space="preserve"> rows changed</w:t>
            </w:r>
          </w:p>
        </w:tc>
      </w:tr>
      <w:tr>
        <w:tc>
          <w:tcPr>
            <w:tcW w:w="4680" w:type="dxa"/>
          </w:tcPr>
          <w:p>
            <w:pPr>
              <w:pStyle w:val="TableText"/>
            </w:pPr>
            <w:r>
              <w:rPr>
                <w:rStyle w:val="CodeChar"/>
              </w:rPr>
              <w:t xml:space="preserve">NOOP</w:t>
            </w:r>
          </w:p>
        </w:tc>
        <w:tc>
          <w:tcPr>
            <w:tcW w:w="4680" w:type="dxa"/>
          </w:tcPr>
          <w:p>
            <w:pPr>
              <w:pStyle w:val="TableText"/>
            </w:pPr>
            <w:r>
              <w:t xml:space="preserve">Applied, 0 rows changed — already clean, or nothing matched</w:t>
            </w:r>
          </w:p>
        </w:tc>
      </w:tr>
      <w:tr>
        <w:tc>
          <w:tcPr>
            <w:tcW w:w="4680" w:type="dxa"/>
          </w:tcPr>
          <w:p>
            <w:pPr>
              <w:pStyle w:val="TableText"/>
            </w:pPr>
            <w:r>
              <w:rPr>
                <w:rStyle w:val="CodeChar"/>
              </w:rPr>
              <w:t xml:space="preserve">SKIPPED</w:t>
            </w:r>
          </w:p>
        </w:tc>
        <w:tc>
          <w:tcPr>
            <w:tcW w:w="4680" w:type="dxa"/>
          </w:tcPr>
          <w:p>
            <w:pPr>
              <w:pStyle w:val="TableText"/>
            </w:pPr>
            <w:r>
              <w:t xml:space="preserve">Table or column does not exist here (</w:t>
            </w:r>
            <w:r>
              <w:rPr>
                <w:rStyle w:val="CodeChar"/>
              </w:rPr>
              <w:t xml:space="preserve">ORA-00942</w:t>
            </w:r>
            <w:r>
              <w:t xml:space="preserve"> / </w:t>
            </w:r>
            <w:r>
              <w:rPr>
                <w:rStyle w:val="CodeChar"/>
              </w:rPr>
              <w:t xml:space="preserve">ORA-00904</w:t>
            </w:r>
            <w:r>
              <w:t xml:space="preserve">)</w:t>
            </w:r>
          </w:p>
        </w:tc>
      </w:tr>
      <w:tr>
        <w:tc>
          <w:tcPr>
            <w:tcW w:w="4680" w:type="dxa"/>
          </w:tcPr>
          <w:p>
            <w:pPr>
              <w:pStyle w:val="TableText"/>
            </w:pPr>
            <w:r>
              <w:rPr>
                <w:rStyle w:val="CodeChar"/>
              </w:rPr>
              <w:t xml:space="preserve">DISABLED</w:t>
            </w:r>
          </w:p>
        </w:tc>
        <w:tc>
          <w:tcPr>
            <w:tcW w:w="4680" w:type="dxa"/>
          </w:tcPr>
          <w:p>
            <w:pPr>
              <w:pStyle w:val="TableText"/>
            </w:pPr>
            <w:r>
              <w:t xml:space="preserve">Excluded by configuration</w:t>
            </w:r>
          </w:p>
        </w:tc>
      </w:tr>
      <w:tr>
        <w:tc>
          <w:tcPr>
            <w:tcW w:w="4680" w:type="dxa"/>
          </w:tcPr>
          <w:p>
            <w:pPr>
              <w:pStyle w:val="TableText"/>
            </w:pPr>
            <w:r>
              <w:rPr>
                <w:rStyle w:val="CodeChar"/>
              </w:rPr>
              <w:t xml:space="preserve">ERROR</w:t>
            </w:r>
          </w:p>
        </w:tc>
        <w:tc>
          <w:tcPr>
            <w:tcW w:w="4680" w:type="dxa"/>
          </w:tcPr>
          <w:p>
            <w:pPr>
              <w:pStyle w:val="TableText"/>
            </w:pPr>
            <w:r>
              <w:t xml:space="preserve">Anything else — the run fails</w:t>
            </w:r>
          </w:p>
        </w:tc>
      </w:tr>
    </w:tbl>
    <w:p>
      <w:pPr>
        <w:spacing w:after="0" w:line="120" w:lineRule="exact"/>
      </w:pPr>
    </w:p>
    <w:p>
      <w:pPr/>
      <w:r>
        <w:t xml:space="preserve">The </w:t>
      </w:r>
      <w:r>
        <w:rPr>
          <w:rStyle w:val="CodeChar"/>
        </w:rPr>
        <w:t xml:space="preserve">NOOP</w:t>
      </w:r>
      <w:r>
        <w:t xml:space="preserve"> / </w:t>
      </w:r>
      <w:r>
        <w:rPr>
          <w:rStyle w:val="CodeChar"/>
        </w:rPr>
        <w:t xml:space="preserve">SKIPPED</w:t>
      </w:r>
      <w:r>
        <w:t xml:space="preserve"> distinction is the point. v3's </w:t>
      </w:r>
      <w:r>
        <w:rPr>
          <w:rStyle w:val="CodeChar"/>
        </w:rPr>
        <w:t xml:space="preserve">merge_codes</w:t>
      </w:r>
      <w:r>
        <w:t xml:space="preserve"> printed nothing at all when zero rows matched, so a misspelled column name and a genuinely clean column produced identical output: silence.</w:t>
      </w:r>
    </w:p>
    <w:p>
      <w:pPr/>
      <w:r>
        <w:t xml:space="preserve">Errors other than missing-object are not swallowed. The orchestrator runs under </w:t>
      </w:r>
      <w:r>
        <w:rPr>
          <w:rStyle w:val="CodeChar"/>
        </w:rPr>
        <w:t xml:space="preserve">WHENEVER SQLERROR EXIT FAILURE</w:t>
      </w:r>
      <w:r>
        <w:t xml:space="preserve">, so a failed run returns a non-zero exit code.</w:t>
      </w:r>
    </w:p>
    <w:p>
      <w:pPr>
        <w:pStyle w:val="Heading3"/>
      </w:pPr>
      <w:r>
        <w:t xml:space="preserve">Live progress</w:t>
      </w:r>
    </w:p>
    <w:p>
      <w:pPr/>
      <w:r>
        <w:t xml:space="preserve">The step log is written through an </w:t>
      </w:r>
      <w:r>
        <w:rPr>
          <w:b/>
        </w:rPr>
        <w:t xml:space="preserve">autonomous transaction</w:t>
      </w:r>
      <w:r>
        <w:t xml:space="preserve">, so progress is visible from a second session immediately, even though SQL*Plus will not print </w:t>
      </w:r>
      <w:r>
        <w:rPr>
          <w:rStyle w:val="CodeChar"/>
        </w:rPr>
        <w:t xml:space="preserve">DBMS_OUTPUT</w:t>
      </w:r>
      <w:r>
        <w:t xml:space="preserve"> until the block finishes:</w:t>
      </w:r>
    </w:p>
    <w:p>
      <w:pPr>
        <w:pStyle w:val="CodeBlock"/>
      </w:pPr>
      <w:r>
        <w:t xml:space="preserve">sqlplus op/&lt;pwd&gt;@&lt;TNS&gt; @tests\manual\monitor_op_progress.sql</w:t>
      </w:r>
    </w:p>
    <w:p>
      <w:pPr>
        <w:pStyle w:val="Heading3"/>
      </w:pPr>
      <w:r>
        <w:t xml:space="preserve">Counters</w:t>
      </w:r>
    </w:p>
    <w:p>
      <w:pPr/>
      <w:r>
        <w:t xml:space="preserve">The run summary counts each object once. Preflight visits every object too, and until this was fixed both visits were counted — a run reporting </w:t>
      </w:r>
      <w:r>
        <w:rPr>
          <w:rStyle w:val="CodeChar"/>
        </w:rPr>
        <w:t xml:space="preserve">skipped 304</w:t>
      </w:r>
      <w:r>
        <w:t xml:space="preserve"> was describing 152 objects.</w:t>
      </w:r>
    </w:p>
    <w:p>
      <w:pPr>
        <w:pBdr>
          <w:bottom w:val="single" w:sz="6" w:space="1" w:color="D5D9DE"/>
        </w:pBdr>
        <w:spacing w:before="240" w:after="240"/>
      </w:pPr>
    </w:p>
    <w:p>
      <w:pPr>
        <w:pStyle w:val="Heading2"/>
      </w:pPr>
      <w:r>
        <w:t xml:space="preserve">9. The dry run</w:t>
      </w:r>
    </w:p>
    <w:p>
      <w:pPr/>
      <w:r>
        <w:rPr>
          <w:rStyle w:val="CodeChar"/>
        </w:rPr>
        <w:t xml:space="preserve">/dryrun</w:t>
      </w:r>
      <w:r>
        <w:t xml:space="preserve"> runs the same code path with </w:t>
      </w:r>
      <w:r>
        <w:rPr>
          <w:rStyle w:val="CodeChar"/>
        </w:rPr>
        <w:t xml:space="preserve">p_dry_run =&gt; TRUE</w:t>
      </w:r>
      <w:r>
        <w:t xml:space="preserve">. It:</w:t>
      </w:r>
    </w:p>
    <w:p>
      <w:pPr>
        <w:ind w:left="360" w:hanging="280"/>
        <w:spacing w:after="60"/>
      </w:pPr>
      <w:r>
        <w:t xml:space="preserve">•  </w:t>
      </w:r>
      <w:r>
        <w:t xml:space="preserve">resolves every inventory row against </w:t>
      </w:r>
      <w:r>
        <w:rPr>
          <w:rStyle w:val="CodeChar"/>
        </w:rPr>
        <w:t xml:space="preserve">all_tab_columns</w:t>
      </w:r>
      <w:r>
        <w:t xml:space="preserve"> and reports what is missing here,</w:t>
      </w:r>
    </w:p>
    <w:p>
      <w:pPr>
        <w:ind w:left="360" w:hanging="280"/>
        <w:spacing w:after="60"/>
      </w:pPr>
      <w:r>
        <w:t xml:space="preserve">•  </w:t>
      </w:r>
      <w:r>
        <w:t xml:space="preserve">checks generated code width against every </w:t>
      </w:r>
      <w:r>
        <w:rPr>
          <w:rStyle w:val="CodeChar"/>
        </w:rPr>
        <w:t xml:space="preserve">CODE</w:t>
      </w:r>
      <w:r>
        <w:t xml:space="preserve"> target,</w:t>
      </w:r>
    </w:p>
    <w:p>
      <w:pPr>
        <w:ind w:left="360" w:hanging="280"/>
        <w:spacing w:after="60"/>
      </w:pPr>
      <w:r>
        <w:t xml:space="preserve">•  </w:t>
      </w:r>
      <w:r>
        <w:t xml:space="preserve">identifies one-character columns and reports that they will be left alone,</w:t>
      </w:r>
    </w:p>
    <w:p>
      <w:pPr>
        <w:ind w:left="360" w:hanging="280"/>
        <w:spacing w:after="60"/>
      </w:pPr>
      <w:r>
        <w:t xml:space="preserve">•  </w:t>
      </w:r>
      <w:r>
        <w:t xml:space="preserve">identifies </w:t>
      </w:r>
      <w:r>
        <w:rPr>
          <w:rStyle w:val="CodeChar"/>
        </w:rPr>
        <w:t xml:space="preserve">NOT NULL</w:t>
      </w:r>
      <w:r>
        <w:t xml:space="preserve"> free-text columns that cannot be emptied,</w:t>
      </w:r>
    </w:p>
    <w:p>
      <w:pPr>
        <w:ind w:left="360" w:hanging="280"/>
        <w:spacing w:after="60"/>
      </w:pPr>
      <w:r>
        <w:t xml:space="preserve">•  </w:t>
      </w:r>
      <w:r>
        <w:t xml:space="preserve">counts the rows each item </w:t>
      </w:r>
      <w:r>
        <w:rPr>
          <w:i/>
        </w:rPr>
        <w:t xml:space="preserve">would</w:t>
      </w:r>
      <w:r>
        <w:t xml:space="preserve"> change,</w:t>
      </w:r>
    </w:p>
    <w:p>
      <w:pPr>
        <w:ind w:left="360" w:hanging="280"/>
        <w:spacing w:after="60"/>
      </w:pPr>
      <w:r>
        <w:t xml:space="preserve">•  </w:t>
      </w:r>
      <w:r>
        <w:t xml:space="preserve">writes </w:t>
      </w:r>
      <w:r>
        <w:rPr>
          <w:rStyle w:val="CodeChar"/>
        </w:rPr>
        <w:t xml:space="preserve">DRYRUN</w:t>
      </w:r>
      <w:r>
        <w:t xml:space="preserve"> rows to the step log,</w:t>
      </w:r>
    </w:p>
    <w:p>
      <w:pPr>
        <w:ind w:left="360" w:hanging="280"/>
        <w:spacing w:after="60"/>
      </w:pPr>
      <w:r>
        <w:t xml:space="preserve">•  </w:t>
      </w:r>
      <w:r>
        <w:t xml:space="preserve">issues </w:t>
      </w:r>
      <w:r>
        <w:rPr>
          <w:b/>
        </w:rPr>
        <w:t xml:space="preserve">no DML</w:t>
      </w:r>
      <w:r>
        <w:t xml:space="preserve">, and</w:t>
      </w:r>
    </w:p>
    <w:p>
      <w:pPr>
        <w:ind w:left="360" w:hanging="280"/>
        <w:spacing w:after="60"/>
      </w:pPr>
      <w:r>
        <w:t xml:space="preserve">•  </w:t>
      </w:r>
      <w:r>
        <w:rPr>
          <w:b/>
        </w:rPr>
        <w:t xml:space="preserve">exits non-zero if any check fails.</w:t>
      </w:r>
    </w:p>
    <w:p>
      <w:pPr/>
      <w:r>
        <w:t xml:space="preserve">It is a rehearsal, not a summary. v3's </w:t>
      </w:r>
      <w:r>
        <w:rPr>
          <w:rStyle w:val="CodeChar"/>
        </w:rPr>
        <w:t xml:space="preserve">/dryrun</w:t>
      </w:r>
      <w:r>
        <w:t xml:space="preserve"> lived entirely in the batch file, echoed a hardcoded list of five filenames — three of which the real run did not execute — issued four </w:t>
      </w:r>
      <w:r>
        <w:rPr>
          <w:rStyle w:val="CodeChar"/>
        </w:rPr>
        <w:t xml:space="preserve">COUNT(*)</w:t>
      </w:r>
      <w:r>
        <w:t xml:space="preserve"> queries, never consulted the inventory, and could not fail.</w:t>
      </w:r>
    </w:p>
    <w:p>
      <w:pPr>
        <w:pBdr>
          <w:bottom w:val="single" w:sz="6" w:space="1" w:color="D5D9DE"/>
        </w:pBdr>
        <w:spacing w:before="240" w:after="240"/>
      </w:pPr>
    </w:p>
    <w:p>
      <w:pPr>
        <w:pStyle w:val="Heading2"/>
      </w:pPr>
      <w:r>
        <w:t xml:space="preserve">10. Verification</w:t>
      </w:r>
    </w:p>
    <w:p>
      <w:pPr/>
      <w:r>
        <w:rPr>
          <w:rStyle w:val="CodeChar"/>
        </w:rPr>
        <w:t xml:space="preserve">verify/verify_op_coverage.sql</w:t>
      </w:r>
      <w:r>
        <w:t xml:space="preserve"> reads the same inventory the engine used, so it cannot check a different set of columns than the one that was anonymized. Results are written to </w:t>
      </w:r>
      <w:r>
        <w:rPr>
          <w:rStyle w:val="CodeChar"/>
        </w:rPr>
        <w:t xml:space="preserve">anon_meta.verify_result</w:t>
      </w:r>
      <w:r>
        <w:t xml:space="preserve"> and the script exits non-zero on any failure.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Part</w:t>
            </w:r>
          </w:p>
        </w:tc>
        <w:tc>
          <w:tcPr>
            <w:tcW w:w="3120" w:type="dxa"/>
            <w:shd w:val="clear" w:fill="F4F6F8"/>
          </w:tcPr>
          <w:p>
            <w:pPr>
              <w:pStyle w:val="TableText"/>
            </w:pPr>
            <w:r>
              <w:rPr>
                <w:b/>
              </w:rPr>
              <w:t xml:space="preserve">Question</w:t>
            </w:r>
          </w:p>
        </w:tc>
        <w:tc>
          <w:tcPr>
            <w:tcW w:w="3120" w:type="dxa"/>
            <w:shd w:val="clear" w:fill="F4F6F8"/>
          </w:tcPr>
          <w:p>
            <w:pPr>
              <w:pStyle w:val="TableText"/>
            </w:pPr>
            <w:r>
              <w:rPr>
                <w:b/>
              </w:rPr>
              <w:t xml:space="preserve">Pass/fail?</w:t>
            </w:r>
          </w:p>
        </w:tc>
      </w:tr>
      <w:tr>
        <w:tc>
          <w:tcPr>
            <w:tcW w:w="3120" w:type="dxa"/>
          </w:tcPr>
          <w:p>
            <w:pPr>
              <w:pStyle w:val="TableText"/>
            </w:pPr>
            <w:r>
              <w:t xml:space="preserve">1</w:t>
            </w:r>
          </w:p>
        </w:tc>
        <w:tc>
          <w:tcPr>
            <w:tcW w:w="3120" w:type="dxa"/>
          </w:tcPr>
          <w:p>
            <w:pPr>
              <w:pStyle w:val="TableText"/>
            </w:pPr>
            <w:r>
              <w:t xml:space="preserve">Does any </w:t>
            </w:r>
            <w:r>
              <w:rPr>
                <w:b/>
              </w:rPr>
              <w:t xml:space="preserve">original identifier</w:t>
            </w:r>
            <w:r>
              <w:t xml:space="preserve"> still exist in any identifier column?</w:t>
            </w:r>
          </w:p>
        </w:tc>
        <w:tc>
          <w:tcPr>
            <w:tcW w:w="3120" w:type="dxa"/>
          </w:tcPr>
          <w:p>
            <w:pPr>
              <w:pStyle w:val="TableText"/>
            </w:pPr>
            <w:r>
              <w:rPr>
                <w:b/>
              </w:rPr>
              <w:t xml:space="preserve">Yes — this is the test</w:t>
            </w:r>
          </w:p>
        </w:tc>
      </w:tr>
      <w:tr>
        <w:tc>
          <w:tcPr>
            <w:tcW w:w="3120" w:type="dxa"/>
          </w:tcPr>
          <w:p>
            <w:pPr>
              <w:pStyle w:val="TableText"/>
            </w:pPr>
            <w:r>
              <w:t xml:space="preserve">2</w:t>
            </w:r>
          </w:p>
        </w:tc>
        <w:tc>
          <w:tcPr>
            <w:tcW w:w="3120" w:type="dxa"/>
          </w:tcPr>
          <w:p>
            <w:pPr>
              <w:pStyle w:val="TableText"/>
            </w:pPr>
            <w:r>
              <w:t xml:space="preserve">Is every free-text / PII column empty or masked?</w:t>
            </w:r>
          </w:p>
        </w:tc>
        <w:tc>
          <w:tcPr>
            <w:tcW w:w="3120" w:type="dxa"/>
          </w:tcPr>
          <w:p>
            <w:pPr>
              <w:pStyle w:val="TableText"/>
            </w:pPr>
            <w:r>
              <w:t xml:space="preserve">Yes</w:t>
            </w:r>
          </w:p>
        </w:tc>
      </w:tr>
      <w:tr>
        <w:tc>
          <w:tcPr>
            <w:tcW w:w="3120" w:type="dxa"/>
          </w:tcPr>
          <w:p>
            <w:pPr>
              <w:pStyle w:val="TableText"/>
            </w:pPr>
            <w:r>
              <w:t xml:space="preserve">3</w:t>
            </w:r>
          </w:p>
        </w:tc>
        <w:tc>
          <w:tcPr>
            <w:tcW w:w="3120" w:type="dxa"/>
          </w:tcPr>
          <w:p>
            <w:pPr>
              <w:pStyle w:val="TableText"/>
            </w:pPr>
            <w:r>
              <w:t xml:space="preserve">Do anonymized rows agree with their own code?</w:t>
            </w:r>
          </w:p>
        </w:tc>
        <w:tc>
          <w:tcPr>
            <w:tcW w:w="3120" w:type="dxa"/>
          </w:tcPr>
          <w:p>
            <w:pPr>
              <w:pStyle w:val="TableText"/>
            </w:pPr>
            <w:r>
              <w:t xml:space="preserve">Warning only</w:t>
            </w:r>
          </w:p>
        </w:tc>
      </w:tr>
      <w:tr>
        <w:tc>
          <w:tcPr>
            <w:tcW w:w="3120" w:type="dxa"/>
          </w:tcPr>
          <w:p>
            <w:pPr>
              <w:pStyle w:val="TableText"/>
            </w:pPr>
            <w:r>
              <w:t xml:space="preserve">4</w:t>
            </w:r>
          </w:p>
        </w:tc>
        <w:tc>
          <w:tcPr>
            <w:tcW w:w="3120" w:type="dxa"/>
          </w:tcPr>
          <w:p>
            <w:pPr>
              <w:pStyle w:val="TableText"/>
            </w:pPr>
            <w:r>
              <w:t xml:space="preserve">Is the mapping unique, complete and unambiguous?</w:t>
            </w:r>
          </w:p>
        </w:tc>
        <w:tc>
          <w:tcPr>
            <w:tcW w:w="3120" w:type="dxa"/>
          </w:tcPr>
          <w:p>
            <w:pPr>
              <w:pStyle w:val="TableText"/>
            </w:pPr>
            <w:r>
              <w:t xml:space="preserve">Yes</w:t>
            </w:r>
          </w:p>
        </w:tc>
      </w:tr>
      <w:tr>
        <w:tc>
          <w:tcPr>
            <w:tcW w:w="3120" w:type="dxa"/>
          </w:tcPr>
          <w:p>
            <w:pPr>
              <w:pStyle w:val="TableText"/>
            </w:pPr>
            <w:r>
              <w:t xml:space="preserve">5</w:t>
            </w:r>
          </w:p>
        </w:tc>
        <w:tc>
          <w:tcPr>
            <w:tcW w:w="3120" w:type="dxa"/>
          </w:tcPr>
          <w:p>
            <w:pPr>
              <w:pStyle w:val="TableText"/>
            </w:pPr>
            <w:r>
              <w:t xml:space="preserve">How much of each identifier column carries a prefix?</w:t>
            </w:r>
          </w:p>
        </w:tc>
        <w:tc>
          <w:tcPr>
            <w:tcW w:w="3120" w:type="dxa"/>
          </w:tcPr>
          <w:p>
            <w:pPr>
              <w:pStyle w:val="TableText"/>
            </w:pPr>
            <w:r>
              <w:t xml:space="preserve">Informational</w:t>
            </w:r>
          </w:p>
        </w:tc>
      </w:tr>
    </w:tbl>
    <w:p>
      <w:pPr>
        <w:spacing w:after="0" w:line="120" w:lineRule="exact"/>
      </w:pPr>
    </w:p>
    <w:p>
      <w:pPr>
        <w:pStyle w:val="Heading3"/>
      </w:pPr>
      <w:r>
        <w:t xml:space="preserve">Residual detection, not prefix matching</w:t>
      </w:r>
    </w:p>
    <w:p>
      <w:pPr/>
      <w:r>
        <w:t xml:space="preserve">Part 1 asks </w:t>
      </w:r>
      <w:r>
        <w:rPr>
          <w:i/>
        </w:rPr>
        <w:t xml:space="preserve">"is any value here still one of the originals?"</w:t>
      </w:r>
      <w:r>
        <w:t xml:space="preserve"> — a question with a definite answer that cannot be fooled.</w:t>
      </w:r>
    </w:p>
    <w:p>
      <w:pPr/>
      <w:r>
        <w:t xml:space="preserve">The older scripts instead asked </w:t>
      </w:r>
      <w:r>
        <w:rPr>
          <w:i/>
        </w:rPr>
        <w:t xml:space="preserve">"does this value look anonymized?"</w:t>
      </w:r>
      <w:r>
        <w:t xml:space="preserve"> by testing a prefix. That is weaker in two ways:</w:t>
      </w:r>
    </w:p>
    <w:p>
      <w:pPr>
        <w:ind w:left="360" w:hanging="280"/>
        <w:spacing w:after="60"/>
      </w:pPr>
      <w:r>
        <w:t xml:space="preserve">1.  </w:t>
      </w:r>
      <w:r>
        <w:rPr>
          <w:b/>
        </w:rPr>
        <w:t xml:space="preserve">It produced false passes.</w:t>
      </w:r>
      <w:r>
        <w:t xml:space="preserve"> The OP script used </w:t>
      </w:r>
      <w:r>
        <w:rPr>
          <w:rStyle w:val="CodeChar"/>
        </w:rPr>
        <w:t xml:space="preserve">LIKE 'E_%'</w:t>
      </w:r>
      <w:r>
        <w:t xml:space="preserve"> — and in Oracle </w:t>
      </w:r>
      <w:r>
        <w:rPr>
          <w:rStyle w:val="CodeChar"/>
        </w:rPr>
        <w:t xml:space="preserve">_</w:t>
      </w:r>
      <w:r>
        <w:t xml:space="preserve"> is a single-character wildcard, so a real currency code </w:t>
      </w:r>
      <w:r>
        <w:rPr>
          <w:rStyle w:val="CodeChar"/>
        </w:rPr>
        <w:t xml:space="preserve">EUR</w:t>
      </w:r>
      <w:r>
        <w:t xml:space="preserve"> matched and was counted as anonymized. Every prefix test in v4 uses </w:t>
      </w:r>
      <w:r>
        <w:rPr>
          <w:rStyle w:val="CodeChar"/>
        </w:rPr>
        <w:t xml:space="preserve">ESCAPE</w:t>
      </w:r>
      <w:r>
        <w:t xml:space="preserve">, as the EPF script correctly did.</w:t>
      </w:r>
    </w:p>
    <w:p>
      <w:pPr>
        <w:ind w:left="360" w:hanging="280"/>
        <w:spacing w:after="60"/>
      </w:pPr>
      <w:r>
        <w:t xml:space="preserve">2.  </w:t>
      </w:r>
      <w:r>
        <w:rPr>
          <w:b/>
        </w:rPr>
        <w:t xml:space="preserve">Even written correctly, it asks the wrong question.</w:t>
      </w:r>
      <w:r>
        <w:t xml:space="preserve"> Plenty of values legitimately have no prefix — currency codes, product codes, system references that were never client data. Those are not failures. Prefix conformance is reported as information, not pass/fail.</w:t>
      </w:r>
    </w:p>
    <w:p>
      <w:pPr>
        <w:pStyle w:val="Heading3"/>
      </w:pPr>
      <w:r>
        <w:t xml:space="preserve">Part 1 deliberately does not mirror the engine</w:t>
      </w:r>
    </w:p>
    <w:p>
      <w:pPr/>
      <w:r>
        <w:t xml:space="preserve">An earlier version restricted </w:t>
      </w:r>
      <w:r>
        <w:rPr>
          <w:rStyle w:val="CodeChar"/>
        </w:rPr>
        <w:t xml:space="preserve">BANK_ACCOUNT</w:t>
      </w:r>
      <w:r>
        <w:t xml:space="preserve"> columns to bank-account codes, exactly as the engine does. That meant a column whose declared category was too narrow was missed by the engine </w:t>
      </w:r>
      <w:r>
        <w:rPr>
          <w:b/>
        </w:rPr>
        <w:t xml:space="preserve">and</w:t>
      </w:r>
      <w:r>
        <w:t xml:space="preserve"> by the check meant to catch it. Both agreed; both were wrong. On the test instance that hid five live client codes in </w:t>
      </w:r>
      <w:r>
        <w:rPr>
          <w:rStyle w:val="CodeChar"/>
        </w:rPr>
        <w:t xml:space="preserve">param_cpta_reg_gen.compte_ana</w:t>
      </w:r>
      <w:r>
        <w:t xml:space="preserve">, and verification reported </w:t>
      </w:r>
      <w:r>
        <w:rPr>
          <w:rStyle w:val="CodeChar"/>
        </w:rPr>
        <w:t xml:space="preserve">PASS</w:t>
      </w:r>
      <w:r>
        <w:t xml:space="preserve">.</w:t>
      </w:r>
    </w:p>
    <w:p>
      <w:pPr/>
      <w:r>
        <w:t xml:space="preserve">Part 1 now searches the </w:t>
      </w:r>
      <w:r>
        <w:rPr>
          <w:b/>
        </w:rPr>
        <w:t xml:space="preserve">full</w:t>
      </w:r>
      <w:r>
        <w:t xml:space="preserve"> mapping regardless of the declared category. The verifier's job is to test the outcome, not to re-apply the engine's assumptions. Any original left anywhere is a leak, whatever category it belongs to.</w:t>
      </w:r>
    </w:p>
    <w:p>
      <w:pPr/>
      <w:r>
        <w:rPr>
          <w:b/>
        </w:rPr>
        <w:t xml:space="preserve">The general rule this illustrates:</w:t>
      </w:r>
      <w:r>
        <w:t xml:space="preserve"> it is legitimate for the checker to share a </w:t>
      </w:r>
      <w:r>
        <w:rPr>
          <w:i/>
        </w:rPr>
        <w:t xml:space="preserve">definition</w:t>
      </w:r>
      <w:r>
        <w:t xml:space="preserve"> with the engine — what an anonymized value looks like. It is not legitimate for it to share an </w:t>
      </w:r>
      <w:r>
        <w:rPr>
          <w:i/>
        </w:rPr>
        <w:t xml:space="preserve">assumption</w:t>
      </w:r>
      <w:r>
        <w:t xml:space="preserve"> about where to look.</w:t>
      </w:r>
    </w:p>
    <w:p>
      <w:pPr>
        <w:pStyle w:val="Heading3"/>
      </w:pPr>
      <w:r>
        <w:t xml:space="preserve">Things that are deliberately not failures</w:t>
      </w:r>
    </w:p>
    <w:p>
      <w:pPr>
        <w:ind w:left="360" w:hanging="280"/>
        <w:spacing w:after="60"/>
      </w:pPr>
      <w:r>
        <w:t xml:space="preserve">•  </w:t>
      </w:r>
      <w:r>
        <w:rPr>
          <w:b/>
        </w:rPr>
        <w:t xml:space="preserve">One-character columns.</w:t>
      </w:r>
      <w:r>
        <w:t xml:space="preserve"> The engine leaves them alone by design, so failing them would mean a correct run could never pass.</w:t>
      </w:r>
    </w:p>
    <w:p>
      <w:pPr>
        <w:ind w:left="360" w:hanging="280"/>
        <w:spacing w:after="60"/>
      </w:pPr>
      <w:r>
        <w:t xml:space="preserve">•  </w:t>
      </w:r>
      <w:r>
        <w:rPr>
          <w:b/>
        </w:rPr>
        <w:t xml:space="preserve">`NOT NULL` free text.</w:t>
      </w:r>
      <w:r>
        <w:t xml:space="preserve"> It cannot be emptied. It is masked with </w:t>
      </w:r>
      <w:r>
        <w:rPr>
          <w:rStyle w:val="CodeChar"/>
        </w:rPr>
        <w:t xml:space="preserve">ANONYMIZED</w:t>
      </w:r>
      <w:r>
        <w:t xml:space="preserve"> where the column is character-typed; where it is not, the gap is reported as a warning — loud, but not a run failure.</w:t>
      </w:r>
    </w:p>
    <w:p>
      <w:pPr>
        <w:ind w:left="360" w:hanging="280"/>
        <w:spacing w:after="60"/>
      </w:pPr>
      <w:r>
        <w:t xml:space="preserve">•  </w:t>
      </w:r>
      <w:r>
        <w:rPr>
          <w:b/>
        </w:rPr>
        <w:t xml:space="preserve">Missing objects.</w:t>
      </w:r>
      <w:r>
        <w:t xml:space="preserve"> Reported as </w:t>
      </w:r>
      <w:r>
        <w:rPr>
          <w:rStyle w:val="CodeChar"/>
        </w:rPr>
        <w:t xml:space="preserve">SKIP</w:t>
      </w:r>
      <w:r>
        <w:t xml:space="preserve">, with a row count of nothing.</w:t>
      </w:r>
    </w:p>
    <w:p>
      <w:pPr>
        <w:pBdr>
          <w:bottom w:val="single" w:sz="6" w:space="1" w:color="D5D9DE"/>
        </w:pBdr>
        <w:spacing w:before="240" w:after="240"/>
      </w:pPr>
    </w:p>
    <w:p>
      <w:pPr>
        <w:pStyle w:val="Heading2"/>
      </w:pPr>
      <w:r>
        <w:t xml:space="preserve">11. The HTML report</w:t>
      </w:r>
    </w:p>
    <w:p>
      <w:pPr/>
      <w:r>
        <w:rPr>
          <w:rStyle w:val="CodeChar"/>
        </w:rPr>
        <w:t xml:space="preserve">verify/generate_report.sql</w:t>
      </w:r>
      <w:r>
        <w:t xml:space="preserve"> writes </w:t>
      </w:r>
      <w:r>
        <w:rPr>
          <w:rStyle w:val="CodeChar"/>
        </w:rPr>
        <w:t xml:space="preserve">op/logs/report_&lt;timestamp&gt;.html</w:t>
      </w:r>
      <w:r>
        <w:t xml:space="preserve"> — a single self-contained file with inline CSS and no external dependencies.</w:t>
      </w:r>
    </w:p>
    <w:p>
      <w:pPr>
        <w:pStyle w:val="Heading3"/>
      </w:pPr>
      <w:r>
        <w:t xml:space="preserve">It reads, it never re-checks</w:t>
      </w:r>
    </w:p>
    <w:p>
      <w:pPr/>
      <w:r>
        <w:t xml:space="preserve">Every number comes from </w:t>
      </w:r>
      <w:r>
        <w:rPr>
          <w:rStyle w:val="CodeChar"/>
        </w:rPr>
        <w:t xml:space="preserve">anon_meta.verify_result</w:t>
      </w:r>
      <w:r>
        <w:t xml:space="preserve">, joined to </w:t>
      </w:r>
      <w:r>
        <w:rPr>
          <w:rStyle w:val="CodeChar"/>
        </w:rPr>
        <w:t xml:space="preserve">anon_inventory</w:t>
      </w:r>
      <w:r>
        <w:t xml:space="preserve"> and </w:t>
      </w:r>
      <w:r>
        <w:rPr>
          <w:rStyle w:val="CodeChar"/>
        </w:rPr>
        <w:t xml:space="preserve">anon_run</w:t>
      </w:r>
      <w:r>
        <w:t xml:space="preserve">. The report performs no verification of its own.</w:t>
      </w:r>
    </w:p>
    <w:p>
      <w:pPr/>
      <w:r>
        <w:t xml:space="preserve">That is deliberate. Duplicating the check logic is exactly how the engine and the verifier came to share one wrong assumption and both miss five live client codes. There is one place that decides whether a column is clean, and the renderer is not it.</w:t>
      </w:r>
    </w:p>
    <w:p>
      <w:pPr/>
      <w:r>
        <w:t xml:space="preserve">If </w:t>
      </w:r>
      <w:r>
        <w:rPr>
          <w:rStyle w:val="CodeChar"/>
        </w:rPr>
        <w:t xml:space="preserve">verify_result</w:t>
      </w:r>
      <w:r>
        <w:t xml:space="preserve"> is empty the script raises </w:t>
      </w:r>
      <w:r>
        <w:rPr>
          <w:rStyle w:val="CodeChar"/>
        </w:rPr>
        <w:t xml:space="preserve">ORA-20070</w:t>
      </w:r>
      <w:r>
        <w:t xml:space="preserve"> and stops, rather than rendering an empty report that would look like a pass.</w:t>
      </w:r>
    </w:p>
    <w:p>
      <w:pPr>
        <w:pStyle w:val="Heading3"/>
      </w:pPr>
      <w:r>
        <w:t xml:space="preserve">Structure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Section</w:t>
            </w:r>
          </w:p>
        </w:tc>
        <w:tc>
          <w:tcPr>
            <w:tcW w:w="4680" w:type="dxa"/>
            <w:shd w:val="clear" w:fill="F4F6F8"/>
          </w:tcPr>
          <w:p>
            <w:pPr>
              <w:pStyle w:val="TableText"/>
            </w:pPr>
            <w:r>
              <w:rPr>
                <w:b/>
              </w:rPr>
              <w:t xml:space="preserve">Contents</w:t>
            </w:r>
          </w:p>
        </w:tc>
      </w:tr>
      <w:tr>
        <w:tc>
          <w:tcPr>
            <w:tcW w:w="4680" w:type="dxa"/>
          </w:tcPr>
          <w:p>
            <w:pPr>
              <w:pStyle w:val="TableText"/>
            </w:pPr>
            <w:r>
              <w:t xml:space="preserve">Verdict banner</w:t>
            </w:r>
          </w:p>
        </w:tc>
        <w:tc>
          <w:tcPr>
            <w:tcW w:w="4680" w:type="dxa"/>
          </w:tcPr>
          <w:p>
            <w:pPr>
              <w:pStyle w:val="TableText"/>
            </w:pPr>
            <w:r>
              <w:rPr>
                <w:rStyle w:val="CodeChar"/>
              </w:rPr>
              <w:t xml:space="preserve">PASS</w:t>
            </w:r>
            <w:r>
              <w:t xml:space="preserve"> / </w:t>
            </w:r>
            <w:r>
              <w:rPr>
                <w:rStyle w:val="CodeChar"/>
              </w:rPr>
              <w:t xml:space="preserve">FAIL</w:t>
            </w:r>
            <w:r>
              <w:t xml:space="preserve"> with the headline figures</w:t>
            </w:r>
          </w:p>
        </w:tc>
      </w:tr>
      <w:tr>
        <w:tc>
          <w:tcPr>
            <w:tcW w:w="4680" w:type="dxa"/>
          </w:tcPr>
          <w:p>
            <w:pPr>
              <w:pStyle w:val="TableText"/>
            </w:pPr>
            <w:r>
              <w:t xml:space="preserve">Six tiles</w:t>
            </w:r>
          </w:p>
        </w:tc>
        <w:tc>
          <w:tcPr>
            <w:tcW w:w="4680" w:type="dxa"/>
          </w:tcPr>
          <w:p>
            <w:pPr>
              <w:pStyle w:val="TableText"/>
            </w:pPr>
            <w:r>
              <w:t xml:space="preserve">Columns in scope · verified clean · rows exposed · not on instance · identifiers mapped · rows changed</w:t>
            </w:r>
          </w:p>
        </w:tc>
      </w:tr>
      <w:tr>
        <w:tc>
          <w:tcPr>
            <w:tcW w:w="4680" w:type="dxa"/>
          </w:tcPr>
          <w:p>
            <w:pPr>
              <w:pStyle w:val="TableText"/>
            </w:pPr>
            <w:r>
              <w:t xml:space="preserve">Coverage by treatment</w:t>
            </w:r>
          </w:p>
        </w:tc>
        <w:tc>
          <w:tcPr>
            <w:tcW w:w="4680" w:type="dxa"/>
          </w:tcPr>
          <w:p>
            <w:pPr>
              <w:pStyle w:val="TableText"/>
            </w:pPr>
            <w:r>
              <w:t xml:space="preserve">One row per rule, with columns / clean / exposed / not checked</w:t>
            </w:r>
          </w:p>
        </w:tc>
      </w:tr>
      <w:tr>
        <w:tc>
          <w:tcPr>
            <w:tcW w:w="4680" w:type="dxa"/>
          </w:tcPr>
          <w:p>
            <w:pPr>
              <w:pStyle w:val="TableText"/>
            </w:pPr>
            <w:r>
              <w:t xml:space="preserve">Shipped inventory</w:t>
            </w:r>
          </w:p>
        </w:tc>
        <w:tc>
          <w:tcPr>
            <w:tcW w:w="4680" w:type="dxa"/>
          </w:tcPr>
          <w:p>
            <w:pPr>
              <w:pStyle w:val="TableText"/>
            </w:pPr>
            <w:r>
              <w:t xml:space="preserve">Every column from </w:t>
            </w:r>
            <w:r>
              <w:rPr>
                <w:rStyle w:val="CodeChar"/>
              </w:rPr>
              <w:t xml:space="preserve">inventory_op.csv</w:t>
            </w:r>
            <w:r>
              <w:t xml:space="preserve">, grouped by table</w:t>
            </w:r>
          </w:p>
        </w:tc>
      </w:tr>
      <w:tr>
        <w:tc>
          <w:tcPr>
            <w:tcW w:w="4680" w:type="dxa"/>
          </w:tcPr>
          <w:p>
            <w:pPr>
              <w:pStyle w:val="TableText"/>
            </w:pPr>
            <w:r>
              <w:t xml:space="preserve">Custom-added inventory</w:t>
            </w:r>
          </w:p>
        </w:tc>
        <w:tc>
          <w:tcPr>
            <w:tcW w:w="4680" w:type="dxa"/>
          </w:tcPr>
          <w:p>
            <w:pPr>
              <w:pStyle w:val="TableText"/>
            </w:pPr>
            <w:r>
              <w:t xml:space="preserve">The same for </w:t>
            </w:r>
            <w:r>
              <w:rPr>
                <w:rStyle w:val="CodeChar"/>
              </w:rPr>
              <w:t xml:space="preserve">inventory_op_custom.csv</w:t>
            </w:r>
          </w:p>
        </w:tc>
      </w:tr>
      <w:tr>
        <w:tc>
          <w:tcPr>
            <w:tcW w:w="4680" w:type="dxa"/>
          </w:tcPr>
          <w:p>
            <w:pPr>
              <w:pStyle w:val="TableText"/>
            </w:pPr>
            <w:r>
              <w:t xml:space="preserve">Not checked on this instance</w:t>
            </w:r>
          </w:p>
        </w:tc>
        <w:tc>
          <w:tcPr>
            <w:tcW w:w="4680" w:type="dxa"/>
          </w:tcPr>
          <w:p>
            <w:pPr>
              <w:pStyle w:val="TableText"/>
            </w:pPr>
            <w:r>
              <w:t xml:space="preserve">Tables absent here, grouped, with the reason</w:t>
            </w:r>
          </w:p>
        </w:tc>
      </w:tr>
      <w:tr>
        <w:tc>
          <w:tcPr>
            <w:tcW w:w="4680" w:type="dxa"/>
          </w:tcPr>
          <w:p>
            <w:pPr>
              <w:pStyle w:val="TableText"/>
            </w:pPr>
            <w:r>
              <w:t xml:space="preserve">Mapping integrity</w:t>
            </w:r>
          </w:p>
        </w:tc>
        <w:tc>
          <w:tcPr>
            <w:tcW w:w="4680" w:type="dxa"/>
          </w:tcPr>
          <w:p>
            <w:pPr>
              <w:pStyle w:val="TableText"/>
            </w:pPr>
            <w:r>
              <w:t xml:space="preserve">Uniqueness, completeness, per-category counts</w:t>
            </w:r>
          </w:p>
        </w:tc>
      </w:tr>
    </w:tbl>
    <w:p>
      <w:pPr>
        <w:spacing w:after="0" w:line="120" w:lineRule="exact"/>
      </w:pPr>
    </w:p>
    <w:p>
      <w:pPr/>
      <w:r>
        <w:t xml:space="preserve">Failures sort to the top </w:t>
      </w:r>
      <w:r>
        <w:rPr>
          <w:b/>
        </w:rPr>
        <w:t xml:space="preserve">within each table group</w:t>
      </w:r>
      <w:r>
        <w:t xml:space="preserve"> and are shaded, so nothing needing action can be buried a few hundred rows down.</w:t>
      </w:r>
    </w:p>
    <w:p>
      <w:pPr>
        <w:pStyle w:val="Heading3"/>
      </w:pPr>
      <w:r>
        <w:t xml:space="preserve">Clean and Exposed, not anonymized and not-anonymized</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Column</w:t>
            </w:r>
          </w:p>
        </w:tc>
        <w:tc>
          <w:tcPr>
            <w:tcW w:w="4680" w:type="dxa"/>
            <w:shd w:val="clear" w:fill="F4F6F8"/>
          </w:tcPr>
          <w:p>
            <w:pPr>
              <w:pStyle w:val="TableText"/>
            </w:pPr>
            <w:r>
              <w:rPr>
                <w:b/>
              </w:rPr>
              <w:t xml:space="preserve">Means</w:t>
            </w:r>
          </w:p>
        </w:tc>
      </w:tr>
      <w:tr>
        <w:tc>
          <w:tcPr>
            <w:tcW w:w="4680" w:type="dxa"/>
          </w:tcPr>
          <w:p>
            <w:pPr>
              <w:pStyle w:val="TableText"/>
            </w:pPr>
            <w:r>
              <w:rPr>
                <w:b/>
              </w:rPr>
              <w:t xml:space="preserve">Rows</w:t>
            </w:r>
          </w:p>
        </w:tc>
        <w:tc>
          <w:tcPr>
            <w:tcW w:w="4680" w:type="dxa"/>
          </w:tcPr>
          <w:p>
            <w:pPr>
              <w:pStyle w:val="TableText"/>
            </w:pPr>
            <w:r>
              <w:t xml:space="preserve">Every row in the column</w:t>
            </w:r>
          </w:p>
        </w:tc>
      </w:tr>
      <w:tr>
        <w:tc>
          <w:tcPr>
            <w:tcW w:w="4680" w:type="dxa"/>
          </w:tcPr>
          <w:p>
            <w:pPr>
              <w:pStyle w:val="TableText"/>
            </w:pPr>
            <w:r>
              <w:rPr>
                <w:b/>
              </w:rPr>
              <w:t xml:space="preserve">Exposed</w:t>
            </w:r>
          </w:p>
        </w:tc>
        <w:tc>
          <w:tcPr>
            <w:tcW w:w="4680" w:type="dxa"/>
          </w:tcPr>
          <w:p>
            <w:pPr>
              <w:pStyle w:val="TableText"/>
            </w:pPr>
            <w:r>
              <w:t xml:space="preserve">Rows still holding an original client value — the only figure that should ever be non-zero</w:t>
            </w:r>
          </w:p>
        </w:tc>
      </w:tr>
      <w:tr>
        <w:tc>
          <w:tcPr>
            <w:tcW w:w="4680" w:type="dxa"/>
          </w:tcPr>
          <w:p>
            <w:pPr>
              <w:pStyle w:val="TableText"/>
            </w:pPr>
            <w:r>
              <w:rPr>
                <w:b/>
              </w:rPr>
              <w:t xml:space="preserve">Clean</w:t>
            </w:r>
          </w:p>
        </w:tc>
        <w:tc>
          <w:tcPr>
            <w:tcW w:w="4680" w:type="dxa"/>
          </w:tcPr>
          <w:p>
            <w:pPr>
              <w:pStyle w:val="TableText"/>
            </w:pPr>
            <w:r>
              <w:t xml:space="preserve">Rows − Exposed</w:t>
            </w:r>
          </w:p>
        </w:tc>
      </w:tr>
    </w:tbl>
    <w:p>
      <w:pPr>
        <w:spacing w:after="0" w:line="120" w:lineRule="exact"/>
      </w:pPr>
    </w:p>
    <w:p>
      <w:pPr/>
      <w:r>
        <w:t xml:space="preserve">A </w:t>
      </w:r>
      <w:r>
        <w:rPr>
          <w:rStyle w:val="CodeChar"/>
        </w:rPr>
        <w:t xml:space="preserve">CODE</w:t>
      </w:r>
      <w:r>
        <w:t xml:space="preserve"> column can legitimately hold currency codes, product codes and system references that were never client data and correctly carry no prefix. Counting those as "not anonymized" would show alarming figures on a perfectly clean database — the trap the v3 verifier fell into.</w:t>
      </w:r>
    </w:p>
    <w:p>
      <w:pPr>
        <w:pStyle w:val="Heading3"/>
      </w:pPr>
      <w:r>
        <w:t xml:space="preserve">Regenerating</w:t>
      </w:r>
    </w:p>
    <w:p>
      <w:pPr/>
      <w:r>
        <w:t xml:space="preserve">It reads stored results, so it can be re-run at any time without a run and without changing anything. It always reflects the most recent verification.</w:t>
      </w:r>
    </w:p>
    <w:p>
      <w:pPr>
        <w:pBdr>
          <w:bottom w:val="single" w:sz="6" w:space="1" w:color="D5D9DE"/>
        </w:pBdr>
        <w:spacing w:before="240" w:after="240"/>
      </w:pPr>
    </w:p>
    <w:p>
      <w:pPr>
        <w:pStyle w:val="Heading2"/>
      </w:pPr>
      <w:r>
        <w:t xml:space="preserve">12. Metadata schema reference</w:t>
      </w:r>
    </w:p>
    <w:p>
      <w:pPr/>
      <w:r>
        <w:t xml:space="preserve">Everything the tool stores lives in </w:t>
      </w:r>
      <w:r>
        <w:rPr>
          <w:rStyle w:val="CodeChar"/>
        </w:rPr>
        <w:t xml:space="preserve">anon_meta</w:t>
      </w:r>
      <w:r>
        <w:t xml:space="preserve">, created on first run and never dropped as part of a run.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Object</w:t>
            </w:r>
          </w:p>
        </w:tc>
        <w:tc>
          <w:tcPr>
            <w:tcW w:w="4680" w:type="dxa"/>
            <w:shd w:val="clear" w:fill="F4F6F8"/>
          </w:tcPr>
          <w:p>
            <w:pPr>
              <w:pStyle w:val="TableText"/>
            </w:pPr>
            <w:r>
              <w:rPr>
                <w:b/>
              </w:rPr>
              <w:t xml:space="preserve">Purpose</w:t>
            </w:r>
          </w:p>
        </w:tc>
      </w:tr>
      <w:tr>
        <w:tc>
          <w:tcPr>
            <w:tcW w:w="4680" w:type="dxa"/>
          </w:tcPr>
          <w:p>
            <w:pPr>
              <w:pStyle w:val="TableText"/>
            </w:pPr>
            <w:r>
              <w:rPr>
                <w:rStyle w:val="CodeChar"/>
              </w:rPr>
              <w:t xml:space="preserve">code_map</w:t>
            </w:r>
          </w:p>
        </w:tc>
        <w:tc>
          <w:tcPr>
            <w:tcW w:w="4680" w:type="dxa"/>
          </w:tcPr>
          <w:p>
            <w:pPr>
              <w:pStyle w:val="TableText"/>
            </w:pPr>
            <w:r>
              <w:rPr>
                <w:rStyle w:val="CodeChar"/>
              </w:rPr>
              <w:t xml:space="preserve">category</w:t>
            </w:r>
            <w:r>
              <w:t xml:space="preserve">, </w:t>
            </w:r>
            <w:r>
              <w:rPr>
                <w:rStyle w:val="CodeChar"/>
              </w:rPr>
              <w:t xml:space="preserve">old_code</w:t>
            </w:r>
            <w:r>
              <w:t xml:space="preserve">, </w:t>
            </w:r>
            <w:r>
              <w:rPr>
                <w:rStyle w:val="CodeChar"/>
              </w:rPr>
              <w:t xml:space="preserve">new_code</w:t>
            </w:r>
            <w:r>
              <w:t xml:space="preserve">. The mapping. Retained across runs.</w:t>
            </w:r>
          </w:p>
        </w:tc>
      </w:tr>
      <w:tr>
        <w:tc>
          <w:tcPr>
            <w:tcW w:w="4680" w:type="dxa"/>
          </w:tcPr>
          <w:p>
            <w:pPr>
              <w:pStyle w:val="TableText"/>
            </w:pPr>
            <w:r>
              <w:rPr>
                <w:rStyle w:val="CodeChar"/>
              </w:rPr>
              <w:t xml:space="preserve">code_map_any</w:t>
            </w:r>
          </w:p>
        </w:tc>
        <w:tc>
          <w:tcPr>
            <w:tcW w:w="4680" w:type="dxa"/>
          </w:tcPr>
          <w:p>
            <w:pPr>
              <w:pStyle w:val="TableText"/>
            </w:pPr>
            <w:r>
              <w:t xml:space="preserve">Resolved unrestricted lookup — one row per distinct original, cross-category collisions resolved by priority</w:t>
            </w:r>
          </w:p>
        </w:tc>
      </w:tr>
      <w:tr>
        <w:tc>
          <w:tcPr>
            <w:tcW w:w="4680" w:type="dxa"/>
          </w:tcPr>
          <w:p>
            <w:pPr>
              <w:pStyle w:val="TableText"/>
            </w:pPr>
            <w:r>
              <w:rPr>
                <w:rStyle w:val="CodeChar"/>
              </w:rPr>
              <w:t xml:space="preserve">anon_inventory</w:t>
            </w:r>
          </w:p>
        </w:tc>
        <w:tc>
          <w:tcPr>
            <w:tcW w:w="4680" w:type="dxa"/>
          </w:tcPr>
          <w:p>
            <w:pPr>
              <w:pStyle w:val="TableText"/>
            </w:pPr>
            <w:r>
              <w:t xml:space="preserve">The loaded inventory. Truncated and reloaded each run. PK </w:t>
            </w:r>
            <w:r>
              <w:rPr>
                <w:rStyle w:val="CodeChar"/>
              </w:rPr>
              <w:t xml:space="preserve">(table_name, column_name)</w:t>
            </w:r>
          </w:p>
        </w:tc>
      </w:tr>
      <w:tr>
        <w:tc>
          <w:tcPr>
            <w:tcW w:w="4680" w:type="dxa"/>
          </w:tcPr>
          <w:p>
            <w:pPr>
              <w:pStyle w:val="TableText"/>
            </w:pPr>
            <w:r>
              <w:rPr>
                <w:rStyle w:val="CodeChar"/>
              </w:rPr>
              <w:t xml:space="preserve">anon_run</w:t>
            </w:r>
          </w:p>
        </w:tc>
        <w:tc>
          <w:tcPr>
            <w:tcW w:w="4680" w:type="dxa"/>
          </w:tcPr>
          <w:p>
            <w:pPr>
              <w:pStyle w:val="TableText"/>
            </w:pPr>
            <w:r>
              <w:t xml:space="preserve">One row per run: </w:t>
            </w:r>
            <w:r>
              <w:rPr>
                <w:rStyle w:val="CodeChar"/>
              </w:rPr>
              <w:t xml:space="preserve">run_id</w:t>
            </w:r>
            <w:r>
              <w:t xml:space="preserve">, </w:t>
            </w:r>
            <w:r>
              <w:rPr>
                <w:rStyle w:val="CodeChar"/>
              </w:rPr>
              <w:t xml:space="preserve">run_mode</w:t>
            </w:r>
            <w:r>
              <w:t xml:space="preserve"> (</w:t>
            </w:r>
            <w:r>
              <w:rPr>
                <w:rStyle w:val="CodeChar"/>
              </w:rPr>
              <w:t xml:space="preserve">EXECUTE</w:t>
            </w:r>
            <w:r>
              <w:t xml:space="preserve"> / </w:t>
            </w:r>
            <w:r>
              <w:rPr>
                <w:rStyle w:val="CodeChar"/>
              </w:rPr>
              <w:t xml:space="preserve">DRYRUN</w:t>
            </w:r>
            <w:r>
              <w:t xml:space="preserve">), </w:t>
            </w:r>
            <w:r>
              <w:rPr>
                <w:rStyle w:val="CodeChar"/>
              </w:rPr>
              <w:t xml:space="preserve">status</w:t>
            </w:r>
            <w:r>
              <w:t xml:space="preserve">, timestamps, </w:t>
            </w:r>
            <w:r>
              <w:rPr>
                <w:rStyle w:val="CodeChar"/>
              </w:rPr>
              <w:t xml:space="preserve">config_json</w:t>
            </w:r>
          </w:p>
        </w:tc>
      </w:tr>
      <w:tr>
        <w:tc>
          <w:tcPr>
            <w:tcW w:w="4680" w:type="dxa"/>
          </w:tcPr>
          <w:p>
            <w:pPr>
              <w:pStyle w:val="TableText"/>
            </w:pPr>
            <w:r>
              <w:rPr>
                <w:rStyle w:val="CodeChar"/>
              </w:rPr>
              <w:t xml:space="preserve">anon_step_log</w:t>
            </w:r>
          </w:p>
        </w:tc>
        <w:tc>
          <w:tcPr>
            <w:tcW w:w="4680" w:type="dxa"/>
          </w:tcPr>
          <w:p>
            <w:pPr>
              <w:pStyle w:val="TableText"/>
            </w:pPr>
            <w:r>
              <w:t xml:space="preserve">One row per inventory item per run: </w:t>
            </w:r>
            <w:r>
              <w:rPr>
                <w:rStyle w:val="CodeChar"/>
              </w:rPr>
              <w:t xml:space="preserve">phase</w:t>
            </w:r>
            <w:r>
              <w:t xml:space="preserve">, </w:t>
            </w:r>
            <w:r>
              <w:rPr>
                <w:rStyle w:val="CodeChar"/>
              </w:rPr>
              <w:t xml:space="preserve">object_name</w:t>
            </w:r>
            <w:r>
              <w:t xml:space="preserve">, </w:t>
            </w:r>
            <w:r>
              <w:rPr>
                <w:rStyle w:val="CodeChar"/>
              </w:rPr>
              <w:t xml:space="preserve">rows_affected</w:t>
            </w:r>
            <w:r>
              <w:t xml:space="preserve">, </w:t>
            </w:r>
            <w:r>
              <w:rPr>
                <w:rStyle w:val="CodeChar"/>
              </w:rPr>
              <w:t xml:space="preserve">elapsed_ms</w:t>
            </w:r>
            <w:r>
              <w:t xml:space="preserve">, </w:t>
            </w:r>
            <w:r>
              <w:rPr>
                <w:rStyle w:val="CodeChar"/>
              </w:rPr>
              <w:t xml:space="preserve">status</w:t>
            </w:r>
            <w:r>
              <w:t xml:space="preserve">, </w:t>
            </w:r>
            <w:r>
              <w:rPr>
                <w:rStyle w:val="CodeChar"/>
              </w:rPr>
              <w:t xml:space="preserve">message</w:t>
            </w:r>
          </w:p>
        </w:tc>
      </w:tr>
      <w:tr>
        <w:tc>
          <w:tcPr>
            <w:tcW w:w="4680" w:type="dxa"/>
          </w:tcPr>
          <w:p>
            <w:pPr>
              <w:pStyle w:val="TableText"/>
            </w:pPr>
            <w:r>
              <w:rPr>
                <w:rStyle w:val="CodeChar"/>
              </w:rPr>
              <w:t xml:space="preserve">verify_result</w:t>
            </w:r>
          </w:p>
        </w:tc>
        <w:tc>
          <w:tcPr>
            <w:tcW w:w="4680" w:type="dxa"/>
          </w:tcPr>
          <w:p>
            <w:pPr>
              <w:pStyle w:val="TableText"/>
            </w:pPr>
            <w:r>
              <w:t xml:space="preserve">One row per check: </w:t>
            </w:r>
            <w:r>
              <w:rPr>
                <w:rStyle w:val="CodeChar"/>
              </w:rPr>
              <w:t xml:space="preserve">part</w:t>
            </w:r>
            <w:r>
              <w:t xml:space="preserve">, </w:t>
            </w:r>
            <w:r>
              <w:rPr>
                <w:rStyle w:val="CodeChar"/>
              </w:rPr>
              <w:t xml:space="preserve">check_name</w:t>
            </w:r>
            <w:r>
              <w:t xml:space="preserve">, </w:t>
            </w:r>
            <w:r>
              <w:rPr>
                <w:rStyle w:val="CodeChar"/>
              </w:rPr>
              <w:t xml:space="preserve">expectation</w:t>
            </w:r>
            <w:r>
              <w:t xml:space="preserve">, </w:t>
            </w:r>
            <w:r>
              <w:rPr>
                <w:rStyle w:val="CodeChar"/>
              </w:rPr>
              <w:t xml:space="preserve">total_rows</w:t>
            </w:r>
            <w:r>
              <w:t xml:space="preserve">, </w:t>
            </w:r>
            <w:r>
              <w:rPr>
                <w:rStyle w:val="CodeChar"/>
              </w:rPr>
              <w:t xml:space="preserve">bad_rows</w:t>
            </w:r>
            <w:r>
              <w:t xml:space="preserve">, </w:t>
            </w:r>
            <w:r>
              <w:rPr>
                <w:rStyle w:val="CodeChar"/>
              </w:rPr>
              <w:t xml:space="preserve">status</w:t>
            </w:r>
            <w:r>
              <w:t xml:space="preserve">, </w:t>
            </w:r>
            <w:r>
              <w:rPr>
                <w:rStyle w:val="CodeChar"/>
              </w:rPr>
              <w:t xml:space="preserve">detail</w:t>
            </w:r>
          </w:p>
        </w:tc>
      </w:tr>
      <w:tr>
        <w:tc>
          <w:tcPr>
            <w:tcW w:w="4680" w:type="dxa"/>
          </w:tcPr>
          <w:p>
            <w:pPr>
              <w:pStyle w:val="TableText"/>
            </w:pPr>
            <w:r>
              <w:rPr>
                <w:rStyle w:val="CodeChar"/>
              </w:rPr>
              <w:t xml:space="preserve">atrace.ref_tables_modif</w:t>
            </w:r>
          </w:p>
        </w:tc>
        <w:tc>
          <w:tcPr>
            <w:tcW w:w="4680" w:type="dxa"/>
          </w:tcPr>
          <w:p>
            <w:pPr>
              <w:pStyle w:val="TableText"/>
            </w:pPr>
            <w:r>
              <w:t xml:space="preserve">A view over </w:t>
            </w:r>
            <w:r>
              <w:rPr>
                <w:rStyle w:val="CodeChar"/>
              </w:rPr>
              <w:t xml:space="preserve">code_map</w:t>
            </w:r>
            <w:r>
              <w:t xml:space="preserve"> in a separate schema, for EPF compatibility</w:t>
            </w:r>
          </w:p>
        </w:tc>
      </w:tr>
    </w:tbl>
    <w:p>
      <w:pPr>
        <w:spacing w:after="0" w:line="120" w:lineRule="exact"/>
      </w:pPr>
    </w:p>
    <w:p>
      <w:pPr>
        <w:pBdr>
          <w:left w:val="single" w:sz="18" w:space="8" w:color="C9A227"/>
        </w:pBdr>
        <w:ind w:left="360"/>
      </w:pPr>
      <w:r>
        <w:rPr>
          <w:rStyle w:val="CodeChar"/>
        </w:rPr>
        <w:t xml:space="preserve">anon_run.run_mode</w:t>
      </w:r>
      <w:r>
        <w:t xml:space="preserve"> is not called </w:t>
      </w:r>
      <w:r>
        <w:rPr>
          <w:rStyle w:val="CodeChar"/>
        </w:rPr>
        <w:t xml:space="preserve">mode</w:t>
      </w:r>
      <w:r>
        <w:t xml:space="preserve">. </w:t>
      </w:r>
      <w:r>
        <w:rPr>
          <w:rStyle w:val="CodeChar"/>
        </w:rPr>
        <w:t xml:space="preserve">MODE</w:t>
      </w:r>
      <w:r>
        <w:t xml:space="preserve"> is an Oracle reserved word, and naming the column that caused the first live test to fail with </w:t>
      </w:r>
      <w:r>
        <w:rPr>
          <w:rStyle w:val="CodeChar"/>
        </w:rPr>
        <w:t xml:space="preserve">ORA-00904</w:t>
      </w:r>
      <w:r>
        <w:t xml:space="preserve"> plus four cascading errors. Quoting it as </w:t>
      </w:r>
      <w:r>
        <w:rPr>
          <w:rStyle w:val="CodeChar"/>
        </w:rPr>
        <w:t xml:space="preserve">"MODE"</w:t>
      </w:r>
      <w:r>
        <w:t xml:space="preserve"> would have worked but would have made the identifier case-sensitive forever.</w:t>
      </w:r>
    </w:p>
    <w:p>
      <w:pPr>
        <w:pStyle w:val="Heading3"/>
      </w:pPr>
      <w:r>
        <w:t xml:space="preserve">The </w:t>
      </w:r>
      <w:r>
        <w:rPr>
          <w:rStyle w:val="CodeChar"/>
        </w:rPr>
        <w:t xml:space="preserve">atrace</w:t>
      </w:r>
      <w:r>
        <w:t xml:space="preserve"> compatibility surface</w:t>
      </w:r>
    </w:p>
    <w:p>
      <w:pPr/>
      <w:r>
        <w:t xml:space="preserve">EPF's cascade phase reads </w:t>
      </w:r>
      <w:r>
        <w:rPr>
          <w:rStyle w:val="CodeChar"/>
        </w:rPr>
        <w:t xml:space="preserve">atrace.ref_tables_modif</w:t>
      </w:r>
      <w:r>
        <w:t xml:space="preserve">. v4 exposes that name and shape as a view over </w:t>
      </w:r>
      <w:r>
        <w:rPr>
          <w:rStyle w:val="CodeChar"/>
        </w:rPr>
        <w:t xml:space="preserve">code_map</w:t>
      </w:r>
      <w:r>
        <w:t xml:space="preserve"> so the existing EPF scripts keep working until EPF is ported.</w:t>
      </w:r>
    </w:p>
    <w:p>
      <w:pPr/>
      <w:r>
        <w:t xml:space="preserve">A view compiles with its </w:t>
      </w:r>
      <w:r>
        <w:rPr>
          <w:b/>
        </w:rPr>
        <w:t xml:space="preserve">owner's</w:t>
      </w:r>
      <w:r>
        <w:t xml:space="preserve"> rights, so </w:t>
      </w:r>
      <w:r>
        <w:rPr>
          <w:rStyle w:val="CodeChar"/>
        </w:rPr>
        <w:t xml:space="preserve">atrace</w:t>
      </w:r>
      <w:r>
        <w:t xml:space="preserve"> needs its own </w:t>
      </w:r>
      <w:r>
        <w:rPr>
          <w:rStyle w:val="CodeChar"/>
        </w:rPr>
        <w:t xml:space="preserve">SELECT</w:t>
      </w:r>
      <w:r>
        <w:t xml:space="preserve"> on </w:t>
      </w:r>
      <w:r>
        <w:rPr>
          <w:rStyle w:val="CodeChar"/>
        </w:rPr>
        <w:t xml:space="preserve">anon_meta.code_map</w:t>
      </w:r>
      <w:r>
        <w:t xml:space="preserve">, granted </w:t>
      </w:r>
      <w:r>
        <w:rPr>
          <w:rStyle w:val="CodeChar"/>
        </w:rPr>
        <w:t xml:space="preserve">WITH GRANT OPTION</w:t>
      </w:r>
      <w:r>
        <w:t xml:space="preserve"> so it can pass the privilege on to </w:t>
      </w:r>
      <w:r>
        <w:rPr>
          <w:rStyle w:val="CodeChar"/>
        </w:rPr>
        <w:t xml:space="preserve">op</w:t>
      </w:r>
      <w:r>
        <w:t xml:space="preserve">. Missing that produced an </w:t>
      </w:r>
      <w:r>
        <w:rPr>
          <w:rStyle w:val="CodeChar"/>
        </w:rPr>
        <w:t xml:space="preserve">ORA-00942</w:t>
      </w:r>
      <w:r>
        <w:t xml:space="preserve"> on view creation that looked like a missing schema and was not one.</w:t>
      </w:r>
    </w:p>
    <w:p>
      <w:pPr>
        <w:pStyle w:val="Heading3"/>
      </w:pPr>
      <w:r>
        <w:t xml:space="preserve">After handover</w:t>
      </w:r>
    </w:p>
    <w:p>
      <w:pPr>
        <w:pStyle w:val="CodeBlock"/>
      </w:pPr>
      <w:r>
        <w:t xml:space="preserve">DROP USER anon_meta CASCADE;</w:t>
        <w:br/>
        <w:t xml:space="preserve">DROP USER atrace CASCADE;   -- only once EPF has also run</w:t>
      </w:r>
    </w:p>
    <w:p>
      <w:pPr/>
      <w:r>
        <w:rPr>
          <w:rStyle w:val="CodeChar"/>
        </w:rPr>
        <w:t xml:space="preserve">code_map</w:t>
      </w:r>
      <w:r>
        <w:t xml:space="preserve"> maps every anonymized identifier back to the real one. It is kept so a failed run can resume and so verification can be re-run — not as a key to hold on to.</w:t>
      </w:r>
    </w:p>
    <w:p>
      <w:pPr>
        <w:pBdr>
          <w:bottom w:val="single" w:sz="6" w:space="1" w:color="D5D9DE"/>
        </w:pBdr>
        <w:spacing w:before="240" w:after="240"/>
      </w:pPr>
    </w:p>
    <w:p>
      <w:pPr>
        <w:pStyle w:val="Heading2"/>
      </w:pPr>
      <w:r>
        <w:t xml:space="preserve">13. Extending coverage</w:t>
      </w:r>
    </w:p>
    <w:p>
      <w:pPr/>
      <w:r>
        <w:t xml:space="preserve">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Then dry-run to confirm it resolves, run for real, and optionally regenerate the coverage document:</w:t>
      </w:r>
    </w:p>
    <w:p>
      <w:pPr>
        <w:pStyle w:val="CodeBlock"/>
      </w:pPr>
      <w:r>
        <w:t xml:space="preserve">sqlplus op/&lt;pwd&gt;@&lt;TNS&gt; @tools\generate_coverage_doc.sql</w:t>
      </w:r>
    </w:p>
    <w:p>
      <w:pPr/>
      <w:r>
        <w:t xml:space="preserve">No SQL changes anywhere. The engine, the dry run, the verifier, the report and the coverage document all pick it up.</w:t>
      </w:r>
    </w:p>
    <w:p>
      <w:pPr>
        <w:pStyle w:val="Heading3"/>
      </w:pPr>
      <w:r>
        <w:t xml:space="preserve">Choosing the rule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Situation</w:t>
            </w:r>
          </w:p>
        </w:tc>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Category</w:t>
            </w:r>
          </w:p>
        </w:tc>
      </w:tr>
      <w:tr>
        <w:tc>
          <w:tcPr>
            <w:tcW w:w="3120" w:type="dxa"/>
          </w:tcPr>
          <w:p>
            <w:pPr>
              <w:pStyle w:val="TableText"/>
            </w:pPr>
            <w:r>
              <w:t xml:space="preserve">Holds an entity / portfolio / counterparty 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ANY</w:t>
            </w:r>
          </w:p>
        </w:tc>
      </w:tr>
      <w:tr>
        <w:tc>
          <w:tcPr>
            <w:tcW w:w="3120" w:type="dxa"/>
          </w:tcPr>
          <w:p>
            <w:pPr>
              <w:pStyle w:val="TableText"/>
            </w:pPr>
            <w:r>
              <w:t xml:space="preserve">References </w:t>
            </w:r>
            <w:r>
              <w:rPr>
                <w:rStyle w:val="CodeChar"/>
              </w:rPr>
              <w:t xml:space="preserve">compte_banque.code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BANK_ACCOUNT</w:t>
            </w:r>
          </w:p>
        </w:tc>
      </w:tr>
      <w:tr>
        <w:tc>
          <w:tcPr>
            <w:tcW w:w="3120" w:type="dxa"/>
          </w:tcPr>
          <w:p>
            <w:pPr>
              <w:pStyle w:val="TableText"/>
            </w:pPr>
            <w:r>
              <w:t xml:space="preserve">Free text or PII</w:t>
            </w:r>
          </w:p>
        </w:tc>
        <w:tc>
          <w:tcPr>
            <w:tcW w:w="3120" w:type="dxa"/>
          </w:tcPr>
          <w:p>
            <w:pPr>
              <w:pStyle w:val="TableText"/>
            </w:pPr>
            <w:r>
              <w:rPr>
                <w:rStyle w:val="CodeChar"/>
              </w:rPr>
              <w:t xml:space="preserve">NULL_OUT</w:t>
            </w:r>
          </w:p>
        </w:tc>
        <w:tc>
          <w:tcPr>
            <w:tcW w:w="3120" w:type="dxa"/>
          </w:tcPr>
          <w:p>
            <w:pPr>
              <w:pStyle w:val="TableText"/>
            </w:pPr>
            <w:r>
              <w:rPr>
                <w:rStyle w:val="CodeChar"/>
              </w:rPr>
              <w:t xml:space="preserve">NONE</w:t>
            </w:r>
          </w:p>
        </w:tc>
      </w:tr>
      <w:tr>
        <w:tc>
          <w:tcPr>
            <w:tcW w:w="3120" w:type="dxa"/>
          </w:tcPr>
          <w:p>
            <w:pPr>
              <w:pStyle w:val="TableText"/>
            </w:pPr>
            <w:r>
              <w:t xml:space="preserve">PII that must stay populated (</w:t>
            </w:r>
            <w:r>
              <w:rPr>
                <w:rStyle w:val="CodeChar"/>
              </w:rPr>
              <w:t xml:space="preserve">NOT NULL</w:t>
            </w:r>
            <w:r>
              <w:t xml:space="preserve">, format check)</w:t>
            </w:r>
          </w:p>
        </w:tc>
        <w:tc>
          <w:tcPr>
            <w:tcW w:w="3120" w:type="dxa"/>
          </w:tcPr>
          <w:p>
            <w:pPr>
              <w:pStyle w:val="TableText"/>
            </w:pPr>
            <w:r>
              <w:rPr>
                <w:rStyle w:val="CodeChar"/>
              </w:rPr>
              <w:t xml:space="preserve">SELF_CODE</w:t>
            </w:r>
          </w:p>
        </w:tc>
        <w:tc>
          <w:tcPr>
            <w:tcW w:w="3120" w:type="dxa"/>
          </w:tcPr>
          <w:p>
            <w:pPr>
              <w:pStyle w:val="TableText"/>
            </w:pPr>
            <w:r>
              <w:t xml:space="preserve">the owning category</w:t>
            </w:r>
          </w:p>
        </w:tc>
      </w:tr>
    </w:tbl>
    <w:p>
      <w:pPr>
        <w:spacing w:after="0" w:line="120" w:lineRule="exact"/>
      </w:pPr>
    </w:p>
    <w:p>
      <w:pPr/>
      <w:r>
        <w:rPr>
          <w:rStyle w:val="CodeChar"/>
        </w:rPr>
        <w:t xml:space="preserve">SELF_CODE</w:t>
      </w:r>
      <w:r>
        <w:t xml:space="preserve"> requires the table to have a </w:t>
      </w:r>
      <w:r>
        <w:rPr>
          <w:rStyle w:val="CodeChar"/>
        </w:rPr>
        <w:t xml:space="preserve">code</w:t>
      </w:r>
      <w:r>
        <w:t xml:space="preserve"> column, since the value written </w:t>
      </w:r>
      <w:r>
        <w:rPr>
          <w:i/>
        </w:rPr>
        <w:t xml:space="preserve">is</w:t>
      </w:r>
      <w:r>
        <w:t xml:space="preserve"> that row's anonymized code. The </w:t>
      </w:r>
      <w:r>
        <w:rPr>
          <w:rStyle w:val="CodeChar"/>
        </w:rPr>
        <w:t xml:space="preserve">histo_*</w:t>
      </w:r>
      <w:r>
        <w:t xml:space="preserve"> tables do not have one, which is why a </w:t>
      </w:r>
      <w:r>
        <w:rPr>
          <w:rStyle w:val="CodeChar"/>
        </w:rPr>
        <w:t xml:space="preserve">NOT NULL</w:t>
      </w:r>
      <w:r>
        <w:t xml:space="preserve"> free-text column there is masked rather than self-coded.</w:t>
      </w:r>
    </w:p>
    <w:p>
      <w:pPr>
        <w:pStyle w:val="Heading3"/>
      </w:pPr>
      <w:r>
        <w:t xml:space="preserve">Is the inventory complete?</w:t>
      </w:r>
    </w:p>
    <w:p>
      <w:pPr/>
      <w:r>
        <w:t xml:space="preserve">The tool guarantees that </w:t>
      </w:r>
      <w:r>
        <w:rPr>
          <w:b/>
        </w:rPr>
        <w:t xml:space="preserve">the inventory is followed exactly</w:t>
      </w:r>
      <w:r>
        <w:t xml:space="preserve">. It cannot know whether the inventory lists everything that needs anonymizing — that is a data-classification question for whoever owns the schema. </w:t>
      </w:r>
      <w:r>
        <w:rPr>
          <w:rStyle w:val="CodeChar"/>
        </w:rPr>
        <w:t xml:space="preserve">tools/scan_for_leaks.sql</w:t>
      </w:r>
      <w:r>
        <w:t xml:space="preserve"> samples the schema for values that look like client identifiers but are not in the inventory, as an aid to that review.</w:t>
      </w:r>
    </w:p>
    <w:p>
      <w:pPr>
        <w:pBdr>
          <w:bottom w:val="single" w:sz="6" w:space="1" w:color="D5D9DE"/>
        </w:pBdr>
        <w:spacing w:before="240" w:after="240"/>
      </w:pPr>
    </w:p>
    <w:p>
      <w:pPr>
        <w:pStyle w:val="Heading2"/>
      </w:pPr>
      <w:r>
        <w:t xml:space="preserve">14. Version compatibility</w:t>
      </w:r>
    </w:p>
    <w:p>
      <w:pPr>
        <w:pStyle w:val="Heading3"/>
      </w:pPr>
      <w:r>
        <w:t xml:space="preserve">Older OP versions — supported</w:t>
      </w:r>
    </w:p>
    <w:p>
      <w:pPr/>
      <w:r>
        <w:t xml:space="preserve">The shipped inventory spans several KTP/CTI releases. On the tested instance 147 of 580 items did not exist, and the run completed cleanly: missing objects are resolved at preflight, logged as </w:t>
      </w:r>
      <w:r>
        <w:rPr>
          <w:rStyle w:val="CodeChar"/>
        </w:rPr>
        <w:t xml:space="preserve">SKIPPED</w:t>
      </w:r>
      <w:r>
        <w:t xml:space="preserve">, and never touched.</w:t>
      </w:r>
    </w:p>
    <w:p>
      <w:pPr/>
      <w:r>
        <w:t xml:space="preserve">Set </w:t>
      </w:r>
      <w:r>
        <w:rPr>
          <w:rStyle w:val="CodeChar"/>
        </w:rPr>
        <w:t xml:space="preserve">FAIL_ON_MISSING_OBJECT=y</w:t>
      </w:r>
      <w:r>
        <w:t xml:space="preserve"> for a strict run where any drift from the inventory is a failure.</w:t>
      </w:r>
    </w:p>
    <w:p>
      <w:pPr>
        <w:pStyle w:val="Heading3"/>
      </w:pPr>
      <w:r>
        <w:t xml:space="preserve">Newer OP versions — supported</w:t>
      </w:r>
    </w:p>
    <w:p>
      <w:pPr/>
      <w:r>
        <w:t xml:space="preserve">Adding coverage for a new table or column is one line in </w:t>
      </w:r>
      <w:r>
        <w:rPr>
          <w:rStyle w:val="CodeChar"/>
        </w:rPr>
        <w:t xml:space="preserve">inventory_op_custom.csv</w:t>
      </w:r>
      <w:r>
        <w:t xml:space="preserve">. No SQL, no release of the tool. This path is proven: the </w:t>
      </w:r>
      <w:r>
        <w:rPr>
          <w:rStyle w:val="CodeChar"/>
        </w:rPr>
        <w:t xml:space="preserve">compte_ana</w:t>
      </w:r>
      <w:r>
        <w:t xml:space="preserve"> correction was delivered exactly this way.</w:t>
      </w:r>
    </w:p>
    <w:p>
      <w:pPr>
        <w:pStyle w:val="Heading3"/>
      </w:pPr>
      <w:r>
        <w:t xml:space="preserve">What would need real work</w:t>
      </w:r>
    </w:p>
    <w:p>
      <w:pPr/>
      <w:r>
        <w:t xml:space="preserve">A new </w:t>
      </w:r>
      <w:r>
        <w:rPr>
          <w:i/>
        </w:rPr>
        <w:t xml:space="preserve">kind</w:t>
      </w:r>
      <w:r>
        <w:t xml:space="preserve"> of anonymization — something none of the four rules expresses. That means a new rule in the engine and matching handling in the verifier. Nothing currently on the horizon needs one.</w:t>
      </w:r>
    </w:p>
    <w:p>
      <w:pPr>
        <w:pBdr>
          <w:bottom w:val="single" w:sz="6" w:space="1" w:color="D5D9DE"/>
        </w:pBdr>
        <w:spacing w:before="240" w:after="240"/>
      </w:pPr>
    </w:p>
    <w:p>
      <w:pPr>
        <w:pStyle w:val="Heading2"/>
      </w:pPr>
      <w:r>
        <w:t xml:space="preserve">15. Naming and vocabulary</w:t>
      </w:r>
    </w:p>
    <w:p>
      <w:pPr/>
      <w:r>
        <w:t xml:space="preserve">Our own objects use English names. The vendor's schema objects are </w:t>
      </w:r>
      <w:r>
        <w:rPr>
          <w:b/>
        </w:rPr>
        <w:t xml:space="preserve">never</w:t>
      </w:r>
      <w:r>
        <w:t xml:space="preserve"> renamed — doing so would break the application.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v3</w:t>
            </w:r>
          </w:p>
        </w:tc>
        <w:tc>
          <w:tcPr>
            <w:tcW w:w="4680" w:type="dxa"/>
            <w:shd w:val="clear" w:fill="F4F6F8"/>
          </w:tcPr>
          <w:p>
            <w:pPr>
              <w:pStyle w:val="TableText"/>
            </w:pPr>
            <w:r>
              <w:rPr>
                <w:b/>
              </w:rPr>
              <w:t xml:space="preserve">v4</w:t>
            </w:r>
          </w:p>
        </w:tc>
      </w:tr>
      <w:tr>
        <w:tc>
          <w:tcPr>
            <w:tcW w:w="4680" w:type="dxa"/>
          </w:tcPr>
          <w:p>
            <w:pPr>
              <w:pStyle w:val="TableText"/>
            </w:pPr>
            <w:r>
              <w:rPr>
                <w:rStyle w:val="CodeChar"/>
              </w:rPr>
              <w:t xml:space="preserve">atrace</w:t>
            </w:r>
            <w:r>
              <w:t xml:space="preserve"> (schema)</w:t>
            </w:r>
          </w:p>
        </w:tc>
        <w:tc>
          <w:tcPr>
            <w:tcW w:w="4680" w:type="dxa"/>
          </w:tcPr>
          <w:p>
            <w:pPr>
              <w:pStyle w:val="TableText"/>
            </w:pPr>
            <w:r>
              <w:rPr>
                <w:rStyle w:val="CodeChar"/>
              </w:rPr>
              <w:t xml:space="preserve">anon_meta</w:t>
            </w:r>
          </w:p>
        </w:tc>
      </w:tr>
      <w:tr>
        <w:tc>
          <w:tcPr>
            <w:tcW w:w="4680" w:type="dxa"/>
          </w:tcPr>
          <w:p>
            <w:pPr>
              <w:pStyle w:val="TableText"/>
            </w:pPr>
            <w:r>
              <w:rPr>
                <w:rStyle w:val="CodeChar"/>
              </w:rPr>
              <w:t xml:space="preserve">pack_anonym</w:t>
            </w:r>
          </w:p>
        </w:tc>
        <w:tc>
          <w:tcPr>
            <w:tcW w:w="4680" w:type="dxa"/>
          </w:tcPr>
          <w:p>
            <w:pPr>
              <w:pStyle w:val="TableText"/>
            </w:pPr>
            <w:r>
              <w:rPr>
                <w:rStyle w:val="CodeChar"/>
              </w:rPr>
              <w:t xml:space="preserve">anon_engine</w:t>
            </w:r>
          </w:p>
        </w:tc>
      </w:tr>
      <w:tr>
        <w:tc>
          <w:tcPr>
            <w:tcW w:w="4680" w:type="dxa"/>
          </w:tcPr>
          <w:p>
            <w:pPr>
              <w:pStyle w:val="TableText"/>
            </w:pPr>
            <w:r>
              <w:rPr>
                <w:rStyle w:val="CodeChar"/>
              </w:rPr>
              <w:t xml:space="preserve">merge_codes</w:t>
            </w:r>
          </w:p>
        </w:tc>
        <w:tc>
          <w:tcPr>
            <w:tcW w:w="4680" w:type="dxa"/>
          </w:tcPr>
          <w:p>
            <w:pPr>
              <w:pStyle w:val="TableText"/>
            </w:pPr>
            <w:r>
              <w:rPr>
                <w:rStyle w:val="CodeChar"/>
              </w:rPr>
              <w:t xml:space="preserve">anon_engine.apply_code_mapping</w:t>
            </w:r>
          </w:p>
        </w:tc>
      </w:tr>
      <w:tr>
        <w:tc>
          <w:tcPr>
            <w:tcW w:w="4680" w:type="dxa"/>
          </w:tcPr>
          <w:p>
            <w:pPr>
              <w:pStyle w:val="TableText"/>
            </w:pPr>
            <w:r>
              <w:rPr>
                <w:rStyle w:val="CodeChar"/>
              </w:rPr>
              <w:t xml:space="preserve">generate_unique_mappings</w:t>
            </w:r>
          </w:p>
        </w:tc>
        <w:tc>
          <w:tcPr>
            <w:tcW w:w="4680" w:type="dxa"/>
          </w:tcPr>
          <w:p>
            <w:pPr>
              <w:pStyle w:val="TableText"/>
            </w:pPr>
            <w:r>
              <w:rPr>
                <w:rStyle w:val="CodeChar"/>
              </w:rPr>
              <w:t xml:space="preserve">anon_engine.generate_code_map</w:t>
            </w:r>
          </w:p>
        </w:tc>
      </w:tr>
      <w:tr>
        <w:tc>
          <w:tcPr>
            <w:tcW w:w="4680" w:type="dxa"/>
          </w:tcPr>
          <w:p>
            <w:pPr>
              <w:pStyle w:val="TableText"/>
            </w:pPr>
            <w:r>
              <w:rPr>
                <w:rStyle w:val="CodeChar"/>
              </w:rPr>
              <w:t xml:space="preserve">op_code_mapping</w:t>
            </w:r>
          </w:p>
        </w:tc>
        <w:tc>
          <w:tcPr>
            <w:tcW w:w="4680" w:type="dxa"/>
          </w:tcPr>
          <w:p>
            <w:pPr>
              <w:pStyle w:val="TableText"/>
            </w:pPr>
            <w:r>
              <w:rPr>
                <w:rStyle w:val="CodeChar"/>
              </w:rPr>
              <w:t xml:space="preserve">code_map</w:t>
            </w:r>
          </w:p>
        </w:tc>
      </w:tr>
      <w:tr>
        <w:tc>
          <w:tcPr>
            <w:tcW w:w="4680" w:type="dxa"/>
          </w:tcPr>
          <w:p>
            <w:pPr>
              <w:pStyle w:val="TableText"/>
            </w:pPr>
            <w:r>
              <w:rPr>
                <w:rStyle w:val="CodeChar"/>
              </w:rPr>
              <w:t xml:space="preserve">EntC</w:t>
            </w:r>
            <w:r>
              <w:t xml:space="preserve"> / </w:t>
            </w:r>
            <w:r>
              <w:rPr>
                <w:rStyle w:val="CodeChar"/>
              </w:rPr>
              <w:t xml:space="preserve">FoldC</w:t>
            </w:r>
            <w:r>
              <w:t xml:space="preserve"> / </w:t>
            </w:r>
            <w:r>
              <w:rPr>
                <w:rStyle w:val="CodeChar"/>
              </w:rPr>
              <w:t xml:space="preserve">TierC</w:t>
            </w:r>
            <w:r>
              <w:t xml:space="preserve"> / </w:t>
            </w:r>
            <w:r>
              <w:rPr>
                <w:rStyle w:val="CodeChar"/>
              </w:rPr>
              <w:t xml:space="preserve">CpteC</w:t>
            </w:r>
          </w:p>
        </w:tc>
        <w:tc>
          <w:tcPr>
            <w:tcW w:w="4680" w:type="dxa"/>
          </w:tcPr>
          <w:p>
            <w:pPr>
              <w:pStyle w:val="TableText"/>
            </w:pPr>
            <w:r>
              <w:rPr>
                <w:rStyle w:val="CodeChar"/>
              </w:rPr>
              <w:t xml:space="preserve">ANONYMIZE_ENTITY</w:t>
            </w:r>
            <w:r>
              <w:t xml:space="preserve"> / </w:t>
            </w:r>
            <w:r>
              <w:rPr>
                <w:rStyle w:val="CodeChar"/>
              </w:rPr>
              <w:t xml:space="preserve">_PORTFOLIO</w:t>
            </w:r>
            <w:r>
              <w:t xml:space="preserve"> / </w:t>
            </w:r>
            <w:r>
              <w:rPr>
                <w:rStyle w:val="CodeChar"/>
              </w:rPr>
              <w:t xml:space="preserve">_COUNTERPARTY</w:t>
            </w:r>
            <w:r>
              <w:t xml:space="preserve"> / </w:t>
            </w:r>
            <w:r>
              <w:rPr>
                <w:rStyle w:val="CodeChar"/>
              </w:rPr>
              <w:t xml:space="preserve">_BANK_ACCOUNT</w:t>
            </w:r>
          </w:p>
        </w:tc>
      </w:tr>
      <w:tr>
        <w:tc>
          <w:tcPr>
            <w:tcW w:w="4680" w:type="dxa"/>
          </w:tcPr>
          <w:p>
            <w:pPr>
              <w:pStyle w:val="TableText"/>
            </w:pPr>
            <w:r>
              <w:rPr>
                <w:rStyle w:val="CodeChar"/>
              </w:rPr>
              <w:t xml:space="preserve">ENTITE</w:t>
            </w:r>
            <w:r>
              <w:t xml:space="preserve"> / </w:t>
            </w:r>
            <w:r>
              <w:rPr>
                <w:rStyle w:val="CodeChar"/>
              </w:rPr>
              <w:t xml:space="preserve">PORTEFEUILLE</w:t>
            </w:r>
            <w:r>
              <w:t xml:space="preserve"> / </w:t>
            </w:r>
            <w:r>
              <w:rPr>
                <w:rStyle w:val="CodeChar"/>
              </w:rPr>
              <w:t xml:space="preserve">TIERS</w:t>
            </w:r>
            <w:r>
              <w:t xml:space="preserve"> / </w:t>
            </w:r>
            <w:r>
              <w:rPr>
                <w:rStyle w:val="CodeChar"/>
              </w:rPr>
              <w:t xml:space="preserve">COMPTE</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p>
        </w:tc>
      </w:tr>
    </w:tbl>
    <w:p>
      <w:pPr>
        <w:spacing w:after="0" w:line="120" w:lineRule="exact"/>
      </w:pPr>
    </w:p>
    <w:p>
      <w:pPr>
        <w:pStyle w:val="Heading3"/>
      </w:pPr>
      <w:r>
        <w:t xml:space="preserve">The vendor's French vocabulary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Term</w:t>
            </w:r>
          </w:p>
        </w:tc>
        <w:tc>
          <w:tcPr>
            <w:tcW w:w="4680" w:type="dxa"/>
            <w:shd w:val="clear" w:fill="F4F6F8"/>
          </w:tcPr>
          <w:p>
            <w:pPr>
              <w:pStyle w:val="TableText"/>
            </w:pPr>
            <w:r>
              <w:rPr>
                <w:b/>
              </w:rPr>
              <w:t xml:space="preserve">Means</w:t>
            </w:r>
          </w:p>
        </w:tc>
      </w:tr>
      <w:tr>
        <w:tc>
          <w:tcPr>
            <w:tcW w:w="4680" w:type="dxa"/>
          </w:tcPr>
          <w:p>
            <w:pPr>
              <w:pStyle w:val="TableText"/>
            </w:pPr>
            <w:r>
              <w:rPr>
                <w:rStyle w:val="CodeChar"/>
              </w:rPr>
              <w:t xml:space="preserve">entite</w:t>
            </w:r>
          </w:p>
        </w:tc>
        <w:tc>
          <w:tcPr>
            <w:tcW w:w="4680" w:type="dxa"/>
          </w:tcPr>
          <w:p>
            <w:pPr>
              <w:pStyle w:val="TableText"/>
            </w:pPr>
            <w:r>
              <w:t xml:space="preserve">Legal entity</w:t>
            </w:r>
          </w:p>
        </w:tc>
      </w:tr>
      <w:tr>
        <w:tc>
          <w:tcPr>
            <w:tcW w:w="4680" w:type="dxa"/>
          </w:tcPr>
          <w:p>
            <w:pPr>
              <w:pStyle w:val="TableText"/>
            </w:pPr>
            <w:r>
              <w:rPr>
                <w:rStyle w:val="CodeChar"/>
              </w:rPr>
              <w:t xml:space="preserve">portefeuille</w:t>
            </w:r>
          </w:p>
        </w:tc>
        <w:tc>
          <w:tcPr>
            <w:tcW w:w="4680" w:type="dxa"/>
          </w:tcPr>
          <w:p>
            <w:pPr>
              <w:pStyle w:val="TableText"/>
            </w:pPr>
            <w:r>
              <w:t xml:space="preserve">Portfolio</w:t>
            </w:r>
          </w:p>
        </w:tc>
      </w:tr>
      <w:tr>
        <w:tc>
          <w:tcPr>
            <w:tcW w:w="4680" w:type="dxa"/>
          </w:tcPr>
          <w:p>
            <w:pPr>
              <w:pStyle w:val="TableText"/>
            </w:pPr>
            <w:r>
              <w:rPr>
                <w:rStyle w:val="CodeChar"/>
              </w:rPr>
              <w:t xml:space="preserve">tiers</w:t>
            </w:r>
          </w:p>
        </w:tc>
        <w:tc>
          <w:tcPr>
            <w:tcW w:w="4680" w:type="dxa"/>
          </w:tcPr>
          <w:p>
            <w:pPr>
              <w:pStyle w:val="TableText"/>
            </w:pPr>
            <w:r>
              <w:t xml:space="preserve">Counterparty / third party</w:t>
            </w:r>
          </w:p>
        </w:tc>
      </w:tr>
      <w:tr>
        <w:tc>
          <w:tcPr>
            <w:tcW w:w="4680" w:type="dxa"/>
          </w:tcPr>
          <w:p>
            <w:pPr>
              <w:pStyle w:val="TableText"/>
            </w:pPr>
            <w:r>
              <w:rPr>
                <w:rStyle w:val="CodeChar"/>
              </w:rPr>
              <w:t xml:space="preserve">compte_banque</w:t>
            </w:r>
          </w:p>
        </w:tc>
        <w:tc>
          <w:tcPr>
            <w:tcW w:w="4680" w:type="dxa"/>
          </w:tcPr>
          <w:p>
            <w:pPr>
              <w:pStyle w:val="TableText"/>
            </w:pPr>
            <w:r>
              <w:t xml:space="preserve">Bank account</w:t>
            </w:r>
          </w:p>
        </w:tc>
      </w:tr>
      <w:tr>
        <w:tc>
          <w:tcPr>
            <w:tcW w:w="4680" w:type="dxa"/>
          </w:tcPr>
          <w:p>
            <w:pPr>
              <w:pStyle w:val="TableText"/>
            </w:pPr>
            <w:r>
              <w:rPr>
                <w:rStyle w:val="CodeChar"/>
              </w:rPr>
              <w:t xml:space="preserve">structure</w:t>
            </w:r>
          </w:p>
        </w:tc>
        <w:tc>
          <w:tcPr>
            <w:tcW w:w="4680" w:type="dxa"/>
          </w:tcPr>
          <w:p>
            <w:pPr>
              <w:pStyle w:val="TableText"/>
            </w:pPr>
            <w:r>
              <w:t xml:space="preserve">The entity table</w:t>
            </w:r>
          </w:p>
        </w:tc>
      </w:tr>
      <w:tr>
        <w:tc>
          <w:tcPr>
            <w:tcW w:w="4680" w:type="dxa"/>
          </w:tcPr>
          <w:p>
            <w:pPr>
              <w:pStyle w:val="TableText"/>
            </w:pPr>
            <w:r>
              <w:rPr>
                <w:rStyle w:val="CodeChar"/>
              </w:rPr>
              <w:t xml:space="preserve">libelle</w:t>
            </w:r>
          </w:p>
        </w:tc>
        <w:tc>
          <w:tcPr>
            <w:tcW w:w="4680" w:type="dxa"/>
          </w:tcPr>
          <w:p>
            <w:pPr>
              <w:pStyle w:val="TableText"/>
            </w:pPr>
            <w:r>
              <w:t xml:space="preserve">Label, description</w:t>
            </w:r>
          </w:p>
        </w:tc>
      </w:tr>
      <w:tr>
        <w:tc>
          <w:tcPr>
            <w:tcW w:w="4680" w:type="dxa"/>
          </w:tcPr>
          <w:p>
            <w:pPr>
              <w:pStyle w:val="TableText"/>
            </w:pPr>
            <w:r>
              <w:rPr>
                <w:rStyle w:val="CodeChar"/>
              </w:rPr>
              <w:t xml:space="preserve">adresse1</w:t>
            </w:r>
            <w:r>
              <w:t xml:space="preserve">–</w:t>
            </w:r>
            <w:r>
              <w:rPr>
                <w:rStyle w:val="CodeChar"/>
              </w:rPr>
              <w:t xml:space="preserve">adresse5</w:t>
            </w:r>
          </w:p>
        </w:tc>
        <w:tc>
          <w:tcPr>
            <w:tcW w:w="4680" w:type="dxa"/>
          </w:tcPr>
          <w:p>
            <w:pPr>
              <w:pStyle w:val="TableText"/>
            </w:pPr>
            <w:r>
              <w:t xml:space="preserve">Address lines</w:t>
            </w:r>
          </w:p>
        </w:tc>
      </w:tr>
      <w:tr>
        <w:tc>
          <w:tcPr>
            <w:tcW w:w="4680" w:type="dxa"/>
          </w:tcPr>
          <w:p>
            <w:pPr>
              <w:pStyle w:val="TableText"/>
            </w:pPr>
            <w:r>
              <w:rPr>
                <w:rStyle w:val="CodeChar"/>
              </w:rPr>
              <w:t xml:space="preserve">nom_pp</w:t>
            </w:r>
            <w:r>
              <w:t xml:space="preserve"> / </w:t>
            </w:r>
            <w:r>
              <w:rPr>
                <w:rStyle w:val="CodeChar"/>
              </w:rPr>
              <w:t xml:space="preserve">prenom_pp</w:t>
            </w:r>
          </w:p>
        </w:tc>
        <w:tc>
          <w:tcPr>
            <w:tcW w:w="4680" w:type="dxa"/>
          </w:tcPr>
          <w:p>
            <w:pPr>
              <w:pStyle w:val="TableText"/>
            </w:pPr>
            <w:r>
              <w:t xml:space="preserve">Surname / given name of a natural person</w:t>
            </w:r>
          </w:p>
        </w:tc>
      </w:tr>
      <w:tr>
        <w:tc>
          <w:tcPr>
            <w:tcW w:w="4680" w:type="dxa"/>
          </w:tcPr>
          <w:p>
            <w:pPr>
              <w:pStyle w:val="TableText"/>
            </w:pPr>
            <w:r>
              <w:rPr>
                <w:rStyle w:val="CodeChar"/>
              </w:rPr>
              <w:t xml:space="preserve">email_adress</w:t>
            </w:r>
          </w:p>
        </w:tc>
        <w:tc>
          <w:tcPr>
            <w:tcW w:w="4680" w:type="dxa"/>
          </w:tcPr>
          <w:p>
            <w:pPr>
              <w:pStyle w:val="TableText"/>
            </w:pPr>
            <w:r>
              <w:t xml:space="preserve">Email address (the vendor's spelling)</w:t>
            </w:r>
          </w:p>
        </w:tc>
      </w:tr>
      <w:tr>
        <w:tc>
          <w:tcPr>
            <w:tcW w:w="4680" w:type="dxa"/>
          </w:tcPr>
          <w:p>
            <w:pPr>
              <w:pStyle w:val="TableText"/>
            </w:pPr>
            <w:r>
              <w:rPr>
                <w:rStyle w:val="CodeChar"/>
              </w:rPr>
              <w:t xml:space="preserve">histo_*</w:t>
            </w:r>
          </w:p>
        </w:tc>
        <w:tc>
          <w:tcPr>
            <w:tcW w:w="4680" w:type="dxa"/>
          </w:tcPr>
          <w:p>
            <w:pPr>
              <w:pStyle w:val="TableText"/>
            </w:pPr>
            <w:r>
              <w:t xml:space="preserve">History tables — the bulk of the row count</w:t>
            </w:r>
          </w:p>
        </w:tc>
      </w:tr>
      <w:tr>
        <w:tc>
          <w:tcPr>
            <w:tcW w:w="4680" w:type="dxa"/>
          </w:tcPr>
          <w:p>
            <w:pPr>
              <w:pStyle w:val="TableText"/>
            </w:pPr>
            <w:r>
              <w:rPr>
                <w:rStyle w:val="CodeChar"/>
              </w:rPr>
              <w:t xml:space="preserve">compte_ana</w:t>
            </w:r>
          </w:p>
        </w:tc>
        <w:tc>
          <w:tcPr>
            <w:tcW w:w="4680" w:type="dxa"/>
          </w:tcPr>
          <w:p>
            <w:pPr>
              <w:pStyle w:val="TableText"/>
            </w:pPr>
            <w:r>
              <w:rPr>
                <w:i/>
              </w:rPr>
              <w:t xml:space="preserve">Compte analytique</w:t>
            </w:r>
            <w:r>
              <w:t xml:space="preserve"> — an </w:t>
            </w:r>
            <w:r>
              <w:rPr>
                <w:b/>
              </w:rPr>
              <w:t xml:space="preserve">analytical</w:t>
            </w:r>
            <w:r>
              <w:t xml:space="preserve"> account, not a bank account</w:t>
            </w:r>
          </w:p>
        </w:tc>
      </w:tr>
    </w:tbl>
    <w:p>
      <w:pPr>
        <w:spacing w:after="0" w:line="120" w:lineRule="exact"/>
      </w:pPr>
    </w:p>
    <w:p>
      <w:pPr/>
      <w:r>
        <w:t xml:space="preserve">That last one is not trivia. It is the word that caused a misclassification which survived a full run and a verification pass.</w:t>
      </w:r>
    </w:p>
    <w:p>
      <w:pPr>
        <w:pBdr>
          <w:bottom w:val="single" w:sz="6" w:space="1" w:color="D5D9DE"/>
        </w:pBdr>
        <w:spacing w:before="240" w:after="240"/>
      </w:pPr>
    </w:p>
    <w:p>
      <w:pPr>
        <w:pStyle w:val="Heading2"/>
      </w:pPr>
      <w:r>
        <w:t xml:space="preserve">16. File reference</w:t>
      </w:r>
    </w:p>
    <w:p>
      <w:pPr>
        <w:pStyle w:val="Heading3"/>
      </w:pPr>
      <w:r>
        <w:t xml:space="preserve">What runs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op/run_op_anonymization.bat</w:t>
            </w:r>
          </w:p>
        </w:tc>
        <w:tc>
          <w:tcPr>
            <w:tcW w:w="4680" w:type="dxa"/>
          </w:tcPr>
          <w:p>
            <w:pPr>
              <w:pStyle w:val="TableText"/>
            </w:pPr>
            <w:r>
              <w:t xml:space="preserve">The only entry point. Settles configuration, turns the CSVs into loadable SQL, calls SQL*Plus, returns its exit code. No logic.</w:t>
            </w:r>
          </w:p>
        </w:tc>
      </w:tr>
      <w:tr>
        <w:tc>
          <w:tcPr>
            <w:tcW w:w="4680" w:type="dxa"/>
          </w:tcPr>
          <w:p>
            <w:pPr>
              <w:pStyle w:val="TableText"/>
            </w:pPr>
            <w:r>
              <w:rPr>
                <w:rStyle w:val="CodeChar"/>
              </w:rPr>
              <w:t xml:space="preserve">op/sql/00_run_op_anonymization.sql</w:t>
            </w:r>
          </w:p>
        </w:tc>
        <w:tc>
          <w:tcPr>
            <w:tcW w:w="4680" w:type="dxa"/>
          </w:tcPr>
          <w:p>
            <w:pPr>
              <w:pStyle w:val="TableText"/>
            </w:pPr>
            <w:r>
              <w:t xml:space="preserve">Orchestrator. 22 positional parameters.</w:t>
            </w:r>
          </w:p>
        </w:tc>
      </w:tr>
      <w:tr>
        <w:tc>
          <w:tcPr>
            <w:tcW w:w="4680" w:type="dxa"/>
          </w:tcPr>
          <w:p>
            <w:pPr>
              <w:pStyle w:val="TableText"/>
            </w:pPr>
            <w:r>
              <w:rPr>
                <w:rStyle w:val="CodeChar"/>
              </w:rPr>
              <w:t xml:space="preserve">op/sql/10_create_metadata_schema.sql</w:t>
            </w:r>
          </w:p>
        </w:tc>
        <w:tc>
          <w:tcPr>
            <w:tcW w:w="4680" w:type="dxa"/>
          </w:tcPr>
          <w:p>
            <w:pPr>
              <w:pStyle w:val="TableText"/>
            </w:pPr>
            <w:r>
              <w:t xml:space="preserve">Creates </w:t>
            </w:r>
            <w:r>
              <w:rPr>
                <w:rStyle w:val="CodeChar"/>
              </w:rPr>
              <w:t xml:space="preserve">anon_meta</w:t>
            </w:r>
            <w:r>
              <w:t xml:space="preserve"> and the </w:t>
            </w:r>
            <w:r>
              <w:rPr>
                <w:rStyle w:val="CodeChar"/>
              </w:rPr>
              <w:t xml:space="preserve">atrace</w:t>
            </w:r>
            <w:r>
              <w:t xml:space="preserve"> view. Runs as SYS.</w:t>
            </w:r>
          </w:p>
        </w:tc>
      </w:tr>
      <w:tr>
        <w:tc>
          <w:tcPr>
            <w:tcW w:w="4680" w:type="dxa"/>
          </w:tcPr>
          <w:p>
            <w:pPr>
              <w:pStyle w:val="TableText"/>
            </w:pPr>
            <w:r>
              <w:rPr>
                <w:rStyle w:val="CodeChar"/>
              </w:rPr>
              <w:t xml:space="preserve">op/sql/21_validate_inventory.sql</w:t>
            </w:r>
          </w:p>
        </w:tc>
        <w:tc>
          <w:tcPr>
            <w:tcW w:w="4680" w:type="dxa"/>
          </w:tcPr>
          <w:p>
            <w:pPr>
              <w:pStyle w:val="TableText"/>
            </w:pPr>
            <w:r>
              <w:t xml:space="preserve">Rejects impossible rule/category pairs before anything runs.</w:t>
            </w:r>
          </w:p>
        </w:tc>
      </w:tr>
      <w:tr>
        <w:tc>
          <w:tcPr>
            <w:tcW w:w="4680" w:type="dxa"/>
          </w:tcPr>
          <w:p>
            <w:pPr>
              <w:pStyle w:val="TableText"/>
            </w:pPr>
            <w:r>
              <w:rPr>
                <w:rStyle w:val="CodeChar"/>
              </w:rPr>
              <w:t xml:space="preserve">op/sql/30_install_engine.sql</w:t>
            </w:r>
          </w:p>
        </w:tc>
        <w:tc>
          <w:tcPr>
            <w:tcW w:w="4680" w:type="dxa"/>
          </w:tcPr>
          <w:p>
            <w:pPr>
              <w:pStyle w:val="TableText"/>
            </w:pPr>
            <w:r>
              <w:t xml:space="preserve">The </w:t>
            </w:r>
            <w:r>
              <w:rPr>
                <w:rStyle w:val="CodeChar"/>
              </w:rPr>
              <w:t xml:space="preserve">anon_engine</w:t>
            </w:r>
            <w:r>
              <w:t xml:space="preserve"> package — 23 procedures and functions.</w:t>
            </w:r>
          </w:p>
        </w:tc>
      </w:tr>
      <w:tr>
        <w:tc>
          <w:tcPr>
            <w:tcW w:w="4680" w:type="dxa"/>
          </w:tcPr>
          <w:p>
            <w:pPr>
              <w:pStyle w:val="TableText"/>
            </w:pPr>
            <w:r>
              <w:rPr>
                <w:rStyle w:val="CodeChar"/>
              </w:rPr>
              <w:t xml:space="preserve">op/verify/verify_op_coverage.sql</w:t>
            </w:r>
          </w:p>
        </w:tc>
        <w:tc>
          <w:tcPr>
            <w:tcW w:w="4680" w:type="dxa"/>
          </w:tcPr>
          <w:p>
            <w:pPr>
              <w:pStyle w:val="TableText"/>
            </w:pPr>
            <w:r>
              <w:t xml:space="preserve">The five-part check. Writes </w:t>
            </w:r>
            <w:r>
              <w:rPr>
                <w:rStyle w:val="CodeChar"/>
              </w:rPr>
              <w:t xml:space="preserve">verify_result</w:t>
            </w:r>
            <w:r>
              <w:t xml:space="preserve">. Non-zero exit on failure.</w:t>
            </w:r>
          </w:p>
        </w:tc>
      </w:tr>
      <w:tr>
        <w:tc>
          <w:tcPr>
            <w:tcW w:w="4680" w:type="dxa"/>
          </w:tcPr>
          <w:p>
            <w:pPr>
              <w:pStyle w:val="TableText"/>
            </w:pPr>
            <w:r>
              <w:rPr>
                <w:rStyle w:val="CodeChar"/>
              </w:rPr>
              <w:t xml:space="preserve">op/verify/generate_report.sql</w:t>
            </w:r>
          </w:p>
        </w:tc>
        <w:tc>
          <w:tcPr>
            <w:tcW w:w="4680" w:type="dxa"/>
          </w:tcPr>
          <w:p>
            <w:pPr>
              <w:pStyle w:val="TableText"/>
            </w:pPr>
            <w:r>
              <w:t xml:space="preserve">Renders the HTML report from stored results.</w:t>
            </w:r>
          </w:p>
        </w:tc>
      </w:tr>
    </w:tbl>
    <w:p>
      <w:pPr>
        <w:spacing w:after="0" w:line="120" w:lineRule="exact"/>
      </w:pPr>
    </w:p>
    <w:p>
      <w:pPr>
        <w:pStyle w:val="Heading3"/>
      </w:pPr>
      <w:r>
        <w:t xml:space="preserve">Configuration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config/anonymization.template.ini</w:t>
            </w:r>
          </w:p>
        </w:tc>
        <w:tc>
          <w:tcPr>
            <w:tcW w:w="4680" w:type="dxa"/>
          </w:tcPr>
          <w:p>
            <w:pPr>
              <w:pStyle w:val="TableText"/>
            </w:pPr>
            <w:r>
              <w:t xml:space="preserve">Fully commented template. Copy it.</w:t>
            </w:r>
          </w:p>
        </w:tc>
      </w:tr>
      <w:tr>
        <w:tc>
          <w:tcPr>
            <w:tcW w:w="4680" w:type="dxa"/>
          </w:tcPr>
          <w:p>
            <w:pPr>
              <w:pStyle w:val="TableText"/>
            </w:pPr>
            <w:r>
              <w:rPr>
                <w:rStyle w:val="CodeChar"/>
              </w:rPr>
              <w:t xml:space="preserve">config/anonymization.ini</w:t>
            </w:r>
          </w:p>
        </w:tc>
        <w:tc>
          <w:tcPr>
            <w:tcW w:w="4680" w:type="dxa"/>
          </w:tcPr>
          <w:p>
            <w:pPr>
              <w:pStyle w:val="TableText"/>
            </w:pPr>
            <w:r>
              <w:t xml:space="preserve">Your settings. </w:t>
            </w:r>
            <w:r>
              <w:rPr>
                <w:b/>
              </w:rPr>
              <w:t xml:space="preserve">Not in version control</w:t>
            </w:r>
            <w:r>
              <w:t xml:space="preserve"> — it is the file that ends up holding a real SID and possibly passwords.</w:t>
            </w:r>
          </w:p>
        </w:tc>
      </w:tr>
      <w:tr>
        <w:tc>
          <w:tcPr>
            <w:tcW w:w="4680" w:type="dxa"/>
          </w:tcPr>
          <w:p>
            <w:pPr>
              <w:pStyle w:val="TableText"/>
            </w:pPr>
            <w:r>
              <w:rPr>
                <w:rStyle w:val="CodeChar"/>
              </w:rPr>
              <w:t xml:space="preserve">config/inventory_op.csv</w:t>
            </w:r>
          </w:p>
        </w:tc>
        <w:tc>
          <w:tcPr>
            <w:tcW w:w="4680" w:type="dxa"/>
          </w:tcPr>
          <w:p>
            <w:pPr>
              <w:pStyle w:val="TableText"/>
            </w:pPr>
            <w:r>
              <w:t xml:space="preserve">Shipped coverage, 562 rows</w:t>
            </w:r>
          </w:p>
        </w:tc>
      </w:tr>
      <w:tr>
        <w:tc>
          <w:tcPr>
            <w:tcW w:w="4680" w:type="dxa"/>
          </w:tcPr>
          <w:p>
            <w:pPr>
              <w:pStyle w:val="TableText"/>
            </w:pPr>
            <w:r>
              <w:rPr>
                <w:rStyle w:val="CodeChar"/>
              </w:rPr>
              <w:t xml:space="preserve">config/inventory_op_custom.csv</w:t>
            </w:r>
          </w:p>
        </w:tc>
        <w:tc>
          <w:tcPr>
            <w:tcW w:w="4680" w:type="dxa"/>
          </w:tcPr>
          <w:p>
            <w:pPr>
              <w:pStyle w:val="TableText"/>
            </w:pPr>
            <w:r>
              <w:t xml:space="preserve">Site additions and corrections, 18 rows</w:t>
            </w:r>
          </w:p>
        </w:tc>
      </w:tr>
    </w:tbl>
    <w:p>
      <w:pPr>
        <w:spacing w:after="0" w:line="120" w:lineRule="exact"/>
      </w:pPr>
    </w:p>
    <w:p>
      <w:pPr>
        <w:pStyle w:val="Heading3"/>
      </w:pPr>
      <w:r>
        <w:t xml:space="preserve">Optional</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tools/generate_coverage_doc.sql</w:t>
            </w:r>
          </w:p>
        </w:tc>
        <w:tc>
          <w:tcPr>
            <w:tcW w:w="4680" w:type="dxa"/>
          </w:tcPr>
          <w:p>
            <w:pPr>
              <w:pStyle w:val="TableText"/>
            </w:pPr>
            <w:r>
              <w:t xml:space="preserve">Writes the coverage document from the loaded inventory</w:t>
            </w:r>
          </w:p>
        </w:tc>
      </w:tr>
      <w:tr>
        <w:tc>
          <w:tcPr>
            <w:tcW w:w="4680" w:type="dxa"/>
          </w:tcPr>
          <w:p>
            <w:pPr>
              <w:pStyle w:val="TableText"/>
            </w:pPr>
            <w:r>
              <w:rPr>
                <w:rStyle w:val="CodeChar"/>
              </w:rPr>
              <w:t xml:space="preserve">tools/analyze_flag_impact.sql</w:t>
            </w:r>
          </w:p>
        </w:tc>
        <w:tc>
          <w:tcPr>
            <w:tcW w:w="4680" w:type="dxa"/>
          </w:tcPr>
          <w:p>
            <w:pPr>
              <w:pStyle w:val="TableText"/>
            </w:pPr>
            <w:r>
              <w:t xml:space="preserve">Resolves what each flag actually governs against a real instance</w:t>
            </w:r>
          </w:p>
        </w:tc>
      </w:tr>
      <w:tr>
        <w:tc>
          <w:tcPr>
            <w:tcW w:w="4680" w:type="dxa"/>
          </w:tcPr>
          <w:p>
            <w:pPr>
              <w:pStyle w:val="TableText"/>
            </w:pPr>
            <w:r>
              <w:rPr>
                <w:rStyle w:val="CodeChar"/>
              </w:rPr>
              <w:t xml:space="preserve">tools/scan_for_leaks.sql</w:t>
            </w:r>
          </w:p>
        </w:tc>
        <w:tc>
          <w:tcPr>
            <w:tcW w:w="4680" w:type="dxa"/>
          </w:tcPr>
          <w:p>
            <w:pPr>
              <w:pStyle w:val="TableText"/>
            </w:pPr>
            <w:r>
              <w:t xml:space="preserve">Samples the schema for identifier-shaped values not in the inventory</w:t>
            </w:r>
          </w:p>
        </w:tc>
      </w:tr>
      <w:tr>
        <w:tc>
          <w:tcPr>
            <w:tcW w:w="4680" w:type="dxa"/>
          </w:tcPr>
          <w:p>
            <w:pPr>
              <w:pStyle w:val="TableText"/>
            </w:pPr>
            <w:r>
              <w:rPr>
                <w:rStyle w:val="CodeChar"/>
              </w:rPr>
              <w:t xml:space="preserve">tests/manual/monitor_op_progress.sql</w:t>
            </w:r>
          </w:p>
        </w:tc>
        <w:tc>
          <w:tcPr>
            <w:tcW w:w="4680" w:type="dxa"/>
          </w:tcPr>
          <w:p>
            <w:pPr>
              <w:pStyle w:val="TableText"/>
            </w:pPr>
            <w:r>
              <w:t xml:space="preserve">Live progress from a second session</w:t>
            </w:r>
          </w:p>
        </w:tc>
      </w:tr>
      <w:tr>
        <w:tc>
          <w:tcPr>
            <w:tcW w:w="4680" w:type="dxa"/>
          </w:tcPr>
          <w:p>
            <w:pPr>
              <w:pStyle w:val="TableText"/>
            </w:pPr>
            <w:r>
              <w:rPr>
                <w:rStyle w:val="CodeChar"/>
              </w:rPr>
              <w:t xml:space="preserve">tests/manual/row_counts.sql</w:t>
            </w:r>
          </w:p>
        </w:tc>
        <w:tc>
          <w:tcPr>
            <w:tcW w:w="4680" w:type="dxa"/>
          </w:tcPr>
          <w:p>
            <w:pPr>
              <w:pStyle w:val="TableText"/>
            </w:pPr>
            <w:r>
              <w:t xml:space="preserve">What you are dealing with, before you start</w:t>
            </w:r>
          </w:p>
        </w:tc>
      </w:tr>
      <w:tr>
        <w:tc>
          <w:tcPr>
            <w:tcW w:w="4680" w:type="dxa"/>
          </w:tcPr>
          <w:p>
            <w:pPr>
              <w:pStyle w:val="TableText"/>
            </w:pPr>
            <w:r>
              <w:rPr>
                <w:rStyle w:val="CodeChar"/>
              </w:rPr>
              <w:t xml:space="preserve">tests/manual/check_tables_exist.sql</w:t>
            </w:r>
          </w:p>
        </w:tc>
        <w:tc>
          <w:tcPr>
            <w:tcW w:w="4680" w:type="dxa"/>
          </w:tcPr>
          <w:p>
            <w:pPr>
              <w:pStyle w:val="TableText"/>
            </w:pPr>
            <w:r>
              <w:t xml:space="preserve">Which inventory objects exist here</w:t>
            </w:r>
          </w:p>
        </w:tc>
      </w:tr>
      <w:tr>
        <w:tc>
          <w:tcPr>
            <w:tcW w:w="4680" w:type="dxa"/>
          </w:tcPr>
          <w:p>
            <w:pPr>
              <w:pStyle w:val="TableText"/>
            </w:pPr>
            <w:r>
              <w:rPr>
                <w:rStyle w:val="CodeChar"/>
              </w:rPr>
              <w:t xml:space="preserve">tests/manual/check_locks.sql</w:t>
            </w:r>
          </w:p>
        </w:tc>
        <w:tc>
          <w:tcPr>
            <w:tcW w:w="4680" w:type="dxa"/>
          </w:tcPr>
          <w:p>
            <w:pPr>
              <w:pStyle w:val="TableText"/>
            </w:pPr>
            <w:r>
              <w:t xml:space="preserve">Who is holding what</w:t>
            </w:r>
          </w:p>
        </w:tc>
      </w:tr>
      <w:tr>
        <w:tc>
          <w:tcPr>
            <w:tcW w:w="4680" w:type="dxa"/>
          </w:tcPr>
          <w:p>
            <w:pPr>
              <w:pStyle w:val="TableText"/>
            </w:pPr>
            <w:r>
              <w:rPr>
                <w:rStyle w:val="CodeChar"/>
              </w:rPr>
              <w:t xml:space="preserve">tests/manual/inspect_code_map.sql</w:t>
            </w:r>
          </w:p>
        </w:tc>
        <w:tc>
          <w:tcPr>
            <w:tcW w:w="4680" w:type="dxa"/>
          </w:tcPr>
          <w:p>
            <w:pPr>
              <w:pStyle w:val="TableText"/>
            </w:pPr>
            <w:r>
              <w:t xml:space="preserve">Mapping contents — </w:t>
            </w:r>
            <w:r>
              <w:rPr>
                <w:b/>
              </w:rPr>
              <w:t xml:space="preserve">shows real client values; keep local</w:t>
            </w:r>
          </w:p>
        </w:tc>
      </w:tr>
    </w:tbl>
    <w:p>
      <w:pPr>
        <w:spacing w:after="0" w:line="120" w:lineRule="exact"/>
      </w:pPr>
    </w:p>
    <w:p>
      <w:pPr/>
      <w:r>
        <w:rPr>
          <w:rStyle w:val="CodeChar"/>
        </w:rPr>
        <w:t xml:space="preserve">tests/manual/</w:t>
      </w:r>
      <w:r>
        <w:t xml:space="preserve"> is ad-hoc only and never part of a run.</w:t>
      </w:r>
    </w:p>
    <w:p>
      <w:pPr>
        <w:pStyle w:val="Heading3"/>
      </w:pPr>
      <w:r>
        <w:t xml:space="preserve">Everything else</w:t>
      </w:r>
    </w:p>
    <w:p>
      <w:pPr/>
      <w:r>
        <w:rPr>
          <w:rStyle w:val="CodeChar"/>
        </w:rPr>
        <w:t xml:space="preserve">unofficial docs/</w:t>
      </w:r>
      <w:r>
        <w:t xml:space="preserve"> holds the working notes from the rebuild: the test log, the defect record, open questions, the flag-impact analysis, and the session-2 test plan. They are accurate but are working documents, not deliverables.</w:t>
      </w:r>
    </w:p>
    <w:p>
      <w:pPr>
        <w:pBdr>
          <w:bottom w:val="single" w:sz="6" w:space="1" w:color="D5D9DE"/>
        </w:pBdr>
        <w:spacing w:before="240" w:after="240"/>
      </w:pPr>
    </w:p>
    <w:p>
      <w:pPr>
        <w:pStyle w:val="Heading2"/>
      </w:pPr>
      <w:r>
        <w:t xml:space="preserve">17. Error codes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Code</w:t>
            </w:r>
          </w:p>
        </w:tc>
        <w:tc>
          <w:tcPr>
            <w:tcW w:w="3120" w:type="dxa"/>
            <w:shd w:val="clear" w:fill="F4F6F8"/>
          </w:tcPr>
          <w:p>
            <w:pPr>
              <w:pStyle w:val="TableText"/>
            </w:pPr>
            <w:r>
              <w:rPr>
                <w:b/>
              </w:rPr>
              <w:t xml:space="preserve">Raised by</w:t>
            </w:r>
          </w:p>
        </w:tc>
        <w:tc>
          <w:tcPr>
            <w:tcW w:w="3120" w:type="dxa"/>
            <w:shd w:val="clear" w:fill="F4F6F8"/>
          </w:tcPr>
          <w:p>
            <w:pPr>
              <w:pStyle w:val="TableText"/>
            </w:pPr>
            <w:r>
              <w:rPr>
                <w:b/>
              </w:rPr>
              <w:t xml:space="preserve">Means</w:t>
            </w:r>
          </w:p>
        </w:tc>
      </w:tr>
      <w:tr>
        <w:tc>
          <w:tcPr>
            <w:tcW w:w="3120" w:type="dxa"/>
          </w:tcPr>
          <w:p>
            <w:pPr>
              <w:pStyle w:val="TableText"/>
            </w:pPr>
            <w:r>
              <w:rPr>
                <w:rStyle w:val="CodeChar"/>
              </w:rPr>
              <w:t xml:space="preserve">ORA-20010</w:t>
            </w:r>
          </w:p>
        </w:tc>
        <w:tc>
          <w:tcPr>
            <w:tcW w:w="3120" w:type="dxa"/>
          </w:tcPr>
          <w:p>
            <w:pPr>
              <w:pStyle w:val="TableText"/>
            </w:pPr>
            <w:r>
              <w:t xml:space="preserve">engine</w:t>
            </w:r>
          </w:p>
        </w:tc>
        <w:tc>
          <w:tcPr>
            <w:tcW w:w="3120" w:type="dxa"/>
          </w:tcPr>
          <w:p>
            <w:pPr>
              <w:pStyle w:val="TableText"/>
            </w:pPr>
            <w:r>
              <w:t xml:space="preserve">No category is enabled — every </w:t>
            </w:r>
            <w:r>
              <w:rPr>
                <w:rStyle w:val="CodeChar"/>
              </w:rPr>
              <w:t xml:space="preserve">ANONYMIZE_*</w:t>
            </w:r>
            <w:r>
              <w:t xml:space="preserve"> flag is </w:t>
            </w:r>
            <w:r>
              <w:rPr>
                <w:rStyle w:val="CodeChar"/>
              </w:rPr>
              <w:t xml:space="preserve">n</w:t>
            </w:r>
          </w:p>
        </w:tc>
      </w:tr>
      <w:tr>
        <w:tc>
          <w:tcPr>
            <w:tcW w:w="3120" w:type="dxa"/>
          </w:tcPr>
          <w:p>
            <w:pPr>
              <w:pStyle w:val="TableText"/>
            </w:pPr>
            <w:r>
              <w:rPr>
                <w:rStyle w:val="CodeChar"/>
              </w:rPr>
              <w:t xml:space="preserve">ORA-20011</w:t>
            </w:r>
          </w:p>
        </w:tc>
        <w:tc>
          <w:tcPr>
            <w:tcW w:w="3120" w:type="dxa"/>
          </w:tcPr>
          <w:p>
            <w:pPr>
              <w:pStyle w:val="TableText"/>
            </w:pPr>
            <w:r>
              <w:t xml:space="preserve">preflight</w:t>
            </w:r>
          </w:p>
        </w:tc>
        <w:tc>
          <w:tcPr>
            <w:tcW w:w="3120" w:type="dxa"/>
          </w:tcPr>
          <w:p>
            <w:pPr>
              <w:pStyle w:val="TableText"/>
            </w:pPr>
            <w:r>
              <w:t xml:space="preserve">Columns cannot hold a generated identifier: too narrow, or not character-typed. </w:t>
            </w:r>
            <w:r>
              <w:rPr>
                <w:b/>
              </w:rPr>
              <w:t xml:space="preserve">Nothing was changed.</w:t>
            </w:r>
          </w:p>
        </w:tc>
      </w:tr>
      <w:tr>
        <w:tc>
          <w:tcPr>
            <w:tcW w:w="3120" w:type="dxa"/>
          </w:tcPr>
          <w:p>
            <w:pPr>
              <w:pStyle w:val="TableText"/>
            </w:pPr>
            <w:r>
              <w:rPr>
                <w:rStyle w:val="CodeChar"/>
              </w:rPr>
              <w:t xml:space="preserve">ORA-20012</w:t>
            </w:r>
          </w:p>
        </w:tc>
        <w:tc>
          <w:tcPr>
            <w:tcW w:w="3120" w:type="dxa"/>
          </w:tcPr>
          <w:p>
            <w:pPr>
              <w:pStyle w:val="TableText"/>
            </w:pPr>
            <w:r>
              <w:t xml:space="preserve">preflight</w:t>
            </w:r>
          </w:p>
        </w:tc>
        <w:tc>
          <w:tcPr>
            <w:tcW w:w="3120" w:type="dxa"/>
          </w:tcPr>
          <w:p>
            <w:pPr>
              <w:pStyle w:val="TableText"/>
            </w:pPr>
            <w:r>
              <w:t xml:space="preserve">Inventory items missing and </w:t>
            </w:r>
            <w:r>
              <w:rPr>
                <w:rStyle w:val="CodeChar"/>
              </w:rPr>
              <w:t xml:space="preserve">FAIL_ON_MISSING_OBJECT=y</w:t>
            </w:r>
            <w:r>
              <w:t xml:space="preserve">. Nothing was changed.</w:t>
            </w:r>
          </w:p>
        </w:tc>
      </w:tr>
      <w:tr>
        <w:tc>
          <w:tcPr>
            <w:tcW w:w="3120" w:type="dxa"/>
          </w:tcPr>
          <w:p>
            <w:pPr>
              <w:pStyle w:val="TableText"/>
            </w:pPr>
            <w:r>
              <w:rPr>
                <w:rStyle w:val="CodeChar"/>
              </w:rPr>
              <w:t xml:space="preserve">ORA-20013</w:t>
            </w:r>
          </w:p>
        </w:tc>
        <w:tc>
          <w:tcPr>
            <w:tcW w:w="3120" w:type="dxa"/>
          </w:tcPr>
          <w:p>
            <w:pPr>
              <w:pStyle w:val="TableText"/>
            </w:pPr>
            <w:r>
              <w:t xml:space="preserve">engine</w:t>
            </w:r>
          </w:p>
        </w:tc>
        <w:tc>
          <w:tcPr>
            <w:tcW w:w="3120" w:type="dxa"/>
          </w:tcPr>
          <w:p>
            <w:pPr>
              <w:pStyle w:val="TableText"/>
            </w:pPr>
            <w:r>
              <w:t xml:space="preserve">Core entity tables not shaped as expected — no identifiers can be derived. Usually the wrong database.</w:t>
            </w:r>
          </w:p>
        </w:tc>
      </w:tr>
      <w:tr>
        <w:tc>
          <w:tcPr>
            <w:tcW w:w="3120" w:type="dxa"/>
          </w:tcPr>
          <w:p>
            <w:pPr>
              <w:pStyle w:val="TableText"/>
            </w:pPr>
            <w:r>
              <w:rPr>
                <w:rStyle w:val="CodeChar"/>
              </w:rPr>
              <w:t xml:space="preserve">ORA-20020</w:t>
            </w:r>
          </w:p>
        </w:tc>
        <w:tc>
          <w:tcPr>
            <w:tcW w:w="3120" w:type="dxa"/>
          </w:tcPr>
          <w:p>
            <w:pPr>
              <w:pStyle w:val="TableText"/>
            </w:pPr>
            <w:r>
              <w:t xml:space="preserve">validation</w:t>
            </w:r>
          </w:p>
        </w:tc>
        <w:tc>
          <w:tcPr>
            <w:tcW w:w="3120" w:type="dxa"/>
          </w:tcPr>
          <w:p>
            <w:pPr>
              <w:pStyle w:val="TableText"/>
            </w:pPr>
            <w:r>
              <w:t xml:space="preserve">The inventory is empty — CSV not found, or every line is a comment</w:t>
            </w:r>
          </w:p>
        </w:tc>
      </w:tr>
      <w:tr>
        <w:tc>
          <w:tcPr>
            <w:tcW w:w="3120" w:type="dxa"/>
          </w:tcPr>
          <w:p>
            <w:pPr>
              <w:pStyle w:val="TableText"/>
            </w:pPr>
            <w:r>
              <w:rPr>
                <w:rStyle w:val="CodeChar"/>
              </w:rPr>
              <w:t xml:space="preserve">ORA-20021</w:t>
            </w:r>
          </w:p>
        </w:tc>
        <w:tc>
          <w:tcPr>
            <w:tcW w:w="3120" w:type="dxa"/>
          </w:tcPr>
          <w:p>
            <w:pPr>
              <w:pStyle w:val="TableText"/>
            </w:pPr>
            <w:r>
              <w:t xml:space="preserve">validation</w:t>
            </w:r>
          </w:p>
        </w:tc>
        <w:tc>
          <w:tcPr>
            <w:tcW w:w="3120" w:type="dxa"/>
          </w:tcPr>
          <w:p>
            <w:pPr>
              <w:pStyle w:val="TableText"/>
            </w:pPr>
            <w:r>
              <w:t xml:space="preserve">Rows pair a rule with a category that cannot apply</w:t>
            </w:r>
          </w:p>
        </w:tc>
      </w:tr>
      <w:tr>
        <w:tc>
          <w:tcPr>
            <w:tcW w:w="3120" w:type="dxa"/>
          </w:tcPr>
          <w:p>
            <w:pPr>
              <w:pStyle w:val="TableText"/>
            </w:pPr>
            <w:r>
              <w:rPr>
                <w:rStyle w:val="CodeChar"/>
              </w:rPr>
              <w:t xml:space="preserve">ORA-20023</w:t>
            </w:r>
          </w:p>
        </w:tc>
        <w:tc>
          <w:tcPr>
            <w:tcW w:w="3120" w:type="dxa"/>
          </w:tcPr>
          <w:p>
            <w:pPr>
              <w:pStyle w:val="TableText"/>
            </w:pPr>
            <w:r>
              <w:t xml:space="preserve">setup</w:t>
            </w:r>
          </w:p>
        </w:tc>
        <w:tc>
          <w:tcPr>
            <w:tcW w:w="3120" w:type="dxa"/>
          </w:tcPr>
          <w:p>
            <w:pPr>
              <w:pStyle w:val="TableText"/>
            </w:pPr>
            <w:r>
              <w:rPr>
                <w:rStyle w:val="CodeChar"/>
              </w:rPr>
              <w:t xml:space="preserve">anon_inventory</w:t>
            </w:r>
            <w:r>
              <w:t xml:space="preserve"> is locked by another session. The message names the holder.</w:t>
            </w:r>
          </w:p>
        </w:tc>
      </w:tr>
      <w:tr>
        <w:tc>
          <w:tcPr>
            <w:tcW w:w="3120" w:type="dxa"/>
          </w:tcPr>
          <w:p>
            <w:pPr>
              <w:pStyle w:val="TableText"/>
            </w:pPr>
            <w:r>
              <w:rPr>
                <w:rStyle w:val="CodeChar"/>
              </w:rPr>
              <w:t xml:space="preserve">ORA-20030</w:t>
            </w:r>
          </w:p>
        </w:tc>
        <w:tc>
          <w:tcPr>
            <w:tcW w:w="3120" w:type="dxa"/>
          </w:tcPr>
          <w:p>
            <w:pPr>
              <w:pStyle w:val="TableText"/>
            </w:pPr>
            <w:r>
              <w:t xml:space="preserve">verify</w:t>
            </w:r>
          </w:p>
        </w:tc>
        <w:tc>
          <w:tcPr>
            <w:tcW w:w="3120" w:type="dxa"/>
          </w:tcPr>
          <w:p>
            <w:pPr>
              <w:pStyle w:val="TableText"/>
            </w:pPr>
            <w:r>
              <w:rPr>
                <w:rStyle w:val="CodeChar"/>
              </w:rPr>
              <w:t xml:space="preserve">code_map</w:t>
            </w:r>
            <w:r>
              <w:t xml:space="preserve"> is empty — nothing to verify</w:t>
            </w:r>
          </w:p>
        </w:tc>
      </w:tr>
      <w:tr>
        <w:tc>
          <w:tcPr>
            <w:tcW w:w="3120" w:type="dxa"/>
          </w:tcPr>
          <w:p>
            <w:pPr>
              <w:pStyle w:val="TableText"/>
            </w:pPr>
            <w:r>
              <w:rPr>
                <w:rStyle w:val="CodeChar"/>
              </w:rPr>
              <w:t xml:space="preserve">ORA-20031</w:t>
            </w:r>
          </w:p>
        </w:tc>
        <w:tc>
          <w:tcPr>
            <w:tcW w:w="3120" w:type="dxa"/>
          </w:tcPr>
          <w:p>
            <w:pPr>
              <w:pStyle w:val="TableText"/>
            </w:pPr>
            <w:r>
              <w:t xml:space="preserve">verify</w:t>
            </w:r>
          </w:p>
        </w:tc>
        <w:tc>
          <w:tcPr>
            <w:tcW w:w="3120" w:type="dxa"/>
          </w:tcPr>
          <w:p>
            <w:pPr>
              <w:pStyle w:val="TableText"/>
            </w:pPr>
            <w:r>
              <w:t xml:space="preserve">Checks failed — client data is still present</w:t>
            </w:r>
          </w:p>
        </w:tc>
      </w:tr>
      <w:tr>
        <w:tc>
          <w:tcPr>
            <w:tcW w:w="3120" w:type="dxa"/>
          </w:tcPr>
          <w:p>
            <w:pPr>
              <w:pStyle w:val="TableText"/>
            </w:pPr>
            <w:r>
              <w:rPr>
                <w:rStyle w:val="CodeChar"/>
              </w:rPr>
              <w:t xml:space="preserve">ORA-20070</w:t>
            </w:r>
          </w:p>
        </w:tc>
        <w:tc>
          <w:tcPr>
            <w:tcW w:w="3120" w:type="dxa"/>
          </w:tcPr>
          <w:p>
            <w:pPr>
              <w:pStyle w:val="TableText"/>
            </w:pPr>
            <w:r>
              <w:t xml:space="preserve">report</w:t>
            </w:r>
          </w:p>
        </w:tc>
        <w:tc>
          <w:tcPr>
            <w:tcW w:w="3120" w:type="dxa"/>
          </w:tcPr>
          <w:p>
            <w:pPr>
              <w:pStyle w:val="TableText"/>
            </w:pPr>
            <w:r>
              <w:rPr>
                <w:rStyle w:val="CodeChar"/>
              </w:rPr>
              <w:t xml:space="preserve">verify_result</w:t>
            </w:r>
            <w:r>
              <w:t xml:space="preserve"> is empty — run the verifier first</w:t>
            </w:r>
          </w:p>
        </w:tc>
      </w:tr>
    </w:tbl>
    <w:p>
      <w:pPr>
        <w:spacing w:after="0" w:line="120" w:lineRule="exact"/>
      </w:pPr>
    </w:p>
    <w:p>
      <w:pPr>
        <w:pStyle w:val="Heading3"/>
      </w:pPr>
      <w:r>
        <w:t xml:space="preserve">Oracle errors worth recognising</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Code</w:t>
            </w:r>
          </w:p>
        </w:tc>
        <w:tc>
          <w:tcPr>
            <w:tcW w:w="4680" w:type="dxa"/>
            <w:shd w:val="clear" w:fill="F4F6F8"/>
          </w:tcPr>
          <w:p>
            <w:pPr>
              <w:pStyle w:val="TableText"/>
            </w:pPr>
            <w:r>
              <w:rPr>
                <w:b/>
              </w:rPr>
              <w:t xml:space="preserve">Meaning here</w:t>
            </w:r>
          </w:p>
        </w:tc>
      </w:tr>
      <w:tr>
        <w:tc>
          <w:tcPr>
            <w:tcW w:w="4680" w:type="dxa"/>
          </w:tcPr>
          <w:p>
            <w:pPr>
              <w:pStyle w:val="TableText"/>
            </w:pPr>
            <w:r>
              <w:rPr>
                <w:rStyle w:val="CodeChar"/>
              </w:rPr>
              <w:t xml:space="preserve">ORA-03114: not connected</w:t>
            </w:r>
          </w:p>
        </w:tc>
        <w:tc>
          <w:tcPr>
            <w:tcW w:w="4680" w:type="dxa"/>
          </w:tcPr>
          <w:p>
            <w:pPr>
              <w:pStyle w:val="TableText"/>
            </w:pPr>
            <w:r>
              <w:t xml:space="preserve">The client had already lost the connection. Network, not code.</w:t>
            </w:r>
          </w:p>
        </w:tc>
      </w:tr>
      <w:tr>
        <w:tc>
          <w:tcPr>
            <w:tcW w:w="4680" w:type="dxa"/>
          </w:tcPr>
          <w:p>
            <w:pPr>
              <w:pStyle w:val="TableText"/>
            </w:pPr>
            <w:r>
              <w:rPr>
                <w:rStyle w:val="CodeChar"/>
              </w:rPr>
              <w:t xml:space="preserve">ORA-03113: end-of-file</w:t>
            </w:r>
          </w:p>
        </w:tc>
        <w:tc>
          <w:tcPr>
            <w:tcW w:w="4680" w:type="dxa"/>
          </w:tcPr>
          <w:p>
            <w:pPr>
              <w:pStyle w:val="TableText"/>
            </w:pPr>
            <w:r>
              <w:t xml:space="preserve">The server-side process died. Different problem, different fix.</w:t>
            </w:r>
          </w:p>
        </w:tc>
      </w:tr>
      <w:tr>
        <w:tc>
          <w:tcPr>
            <w:tcW w:w="4680" w:type="dxa"/>
          </w:tcPr>
          <w:p>
            <w:pPr>
              <w:pStyle w:val="TableText"/>
            </w:pPr>
            <w:r>
              <w:rPr>
                <w:rStyle w:val="CodeChar"/>
              </w:rPr>
              <w:t xml:space="preserve">ORA-00942</w:t>
            </w:r>
            <w:r>
              <w:t xml:space="preserve"> / </w:t>
            </w:r>
            <w:r>
              <w:rPr>
                <w:rStyle w:val="CodeChar"/>
              </w:rPr>
              <w:t xml:space="preserve">ORA-00904</w:t>
            </w:r>
          </w:p>
        </w:tc>
        <w:tc>
          <w:tcPr>
            <w:tcW w:w="4680" w:type="dxa"/>
          </w:tcPr>
          <w:p>
            <w:pPr>
              <w:pStyle w:val="TableText"/>
            </w:pPr>
            <w:r>
              <w:t xml:space="preserve">Missing table / column. Caught and logged as </w:t>
            </w:r>
            <w:r>
              <w:rPr>
                <w:rStyle w:val="CodeChar"/>
              </w:rPr>
              <w:t xml:space="preserve">SKIPPED</w:t>
            </w:r>
            <w:r>
              <w:t xml:space="preserve">, not an error.</w:t>
            </w:r>
          </w:p>
        </w:tc>
      </w:tr>
      <w:tr>
        <w:tc>
          <w:tcPr>
            <w:tcW w:w="4680" w:type="dxa"/>
          </w:tcPr>
          <w:p>
            <w:pPr>
              <w:pStyle w:val="TableText"/>
            </w:pPr>
            <w:r>
              <w:rPr>
                <w:rStyle w:val="CodeChar"/>
              </w:rPr>
              <w:t xml:space="preserve">ORA-01407</w:t>
            </w:r>
          </w:p>
        </w:tc>
        <w:tc>
          <w:tcPr>
            <w:tcW w:w="4680" w:type="dxa"/>
          </w:tcPr>
          <w:p>
            <w:pPr>
              <w:pStyle w:val="TableText"/>
            </w:pPr>
            <w:r>
              <w:t xml:space="preserve">Cannot set a </w:t>
            </w:r>
            <w:r>
              <w:rPr>
                <w:rStyle w:val="CodeChar"/>
              </w:rPr>
              <w:t xml:space="preserve">NOT NULL</w:t>
            </w:r>
            <w:r>
              <w:t xml:space="preserve"> column to </w:t>
            </w:r>
            <w:r>
              <w:rPr>
                <w:rStyle w:val="CodeChar"/>
              </w:rPr>
              <w:t xml:space="preserve">NULL</w:t>
            </w:r>
            <w:r>
              <w:t xml:space="preserve">. Handled by masking.</w:t>
            </w:r>
          </w:p>
        </w:tc>
      </w:tr>
    </w:tbl>
    <w:p>
      <w:pPr>
        <w:spacing w:after="0" w:line="120" w:lineRule="exact"/>
      </w:pPr>
    </w:p>
    <w:p>
      <w:pPr>
        <w:pBdr>
          <w:bottom w:val="single" w:sz="6" w:space="1" w:color="D5D9DE"/>
        </w:pBdr>
        <w:spacing w:before="240" w:after="240"/>
      </w:pPr>
    </w:p>
    <w:p>
      <w:pPr>
        <w:pStyle w:val="Heading2"/>
      </w:pPr>
      <w:r>
        <w:t xml:space="preserve">18. Known limitations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Inventory completeness is out of scope</w:t>
            </w:r>
          </w:p>
        </w:tc>
        <w:tc>
          <w:tcPr>
            <w:tcW w:w="4680" w:type="dxa"/>
          </w:tcPr>
          <w:p>
            <w:pPr>
              <w:pStyle w:val="TableText"/>
            </w:pPr>
            <w:r>
              <w:t xml:space="preserve">The tool guarantees the inventory is followed exactly. Whether the inventory lists everything that needs anonymizing is a classification question for the schema owner. </w:t>
            </w:r>
            <w:r>
              <w:rPr>
                <w:rStyle w:val="CodeChar"/>
              </w:rPr>
              <w:t xml:space="preserve">tools/scan_for_leaks.sql</w:t>
            </w:r>
            <w:r>
              <w:t xml:space="preserve"> assists.</w:t>
            </w:r>
          </w:p>
        </w:tc>
      </w:tr>
      <w:tr>
        <w:tc>
          <w:tcPr>
            <w:tcW w:w="4680" w:type="dxa"/>
          </w:tcPr>
          <w:p>
            <w:pPr>
              <w:pStyle w:val="TableText"/>
            </w:pPr>
            <w:r>
              <w:rPr>
                <w:b/>
              </w:rPr>
              <w:t xml:space="preserve">A re-run costs a full run</w:t>
            </w:r>
          </w:p>
        </w:tc>
        <w:tc>
          <w:tcPr>
            <w:tcW w:w="4680" w:type="dxa"/>
          </w:tcPr>
          <w:p>
            <w:pPr>
              <w:pStyle w:val="TableText"/>
            </w:pPr>
            <w:r>
              <w:t xml:space="preserve">No checkpointing, by design. See </w:t>
            </w:r>
            <w:r>
              <w:t xml:space="preserve">§7</w:t>
            </w:r>
            <w:r>
              <w:t xml:space="preserve">.</w:t>
            </w:r>
          </w:p>
        </w:tc>
      </w:tr>
      <w:tr>
        <w:tc>
          <w:tcPr>
            <w:tcW w:w="4680" w:type="dxa"/>
          </w:tcPr>
          <w:p>
            <w:pPr>
              <w:pStyle w:val="TableText"/>
            </w:pPr>
            <w:r>
              <w:rPr>
                <w:b/>
              </w:rPr>
              <w:t xml:space="preserve">Passwords are visible in the process list</w:t>
            </w:r>
          </w:p>
        </w:tc>
        <w:tc>
          <w:tcPr>
            <w:tcW w:w="4680" w:type="dxa"/>
          </w:tcPr>
          <w:p>
            <w:pPr>
              <w:pStyle w:val="TableText"/>
            </w:pPr>
            <w:r>
              <w:t xml:space="preserve">They are passed to SQL*Plus as arguments. Inherited from v3, normal for an internal DBA tool, worth knowing on a shared host.</w:t>
            </w:r>
          </w:p>
        </w:tc>
      </w:tr>
      <w:tr>
        <w:tc>
          <w:tcPr>
            <w:tcW w:w="4680" w:type="dxa"/>
          </w:tcPr>
          <w:p>
            <w:pPr>
              <w:pStyle w:val="TableText"/>
            </w:pPr>
            <w:r>
              <w:rPr>
                <w:b/>
              </w:rPr>
              <w:t xml:space="preserve">The run needs a stable network</w:t>
            </w:r>
          </w:p>
        </w:tc>
        <w:tc>
          <w:tcPr>
            <w:tcW w:w="4680" w:type="dxa"/>
          </w:tcPr>
          <w:p>
            <w:pPr>
              <w:pStyle w:val="TableText"/>
            </w:pPr>
            <w:r>
              <w:t xml:space="preserve">One session for the length of the run. Run from a host near the database.</w:t>
            </w:r>
          </w:p>
        </w:tc>
      </w:tr>
      <w:tr>
        <w:tc>
          <w:tcPr>
            <w:tcW w:w="4680" w:type="dxa"/>
          </w:tcPr>
          <w:p>
            <w:pPr>
              <w:pStyle w:val="TableText"/>
            </w:pPr>
            <w:r>
              <w:rPr>
                <w:b/>
              </w:rPr>
              <w:t xml:space="preserve">`NOT NULL` free text on non-character columns</w:t>
            </w:r>
          </w:p>
        </w:tc>
        <w:tc>
          <w:tcPr>
            <w:tcW w:w="4680" w:type="dxa"/>
          </w:tcPr>
          <w:p>
            <w:pPr>
              <w:pStyle w:val="TableText"/>
            </w:pPr>
            <w:r>
              <w:t xml:space="preserve">Cannot be emptied or masked. Reported as a warning; there is currently one such column.</w:t>
            </w:r>
          </w:p>
        </w:tc>
      </w:tr>
      <w:tr>
        <w:tc>
          <w:tcPr>
            <w:tcW w:w="4680" w:type="dxa"/>
          </w:tcPr>
          <w:p>
            <w:pPr>
              <w:pStyle w:val="TableText"/>
            </w:pPr>
            <w:r>
              <w:rPr>
                <w:b/>
              </w:rPr>
              <w:t xml:space="preserve">EPF is not ported</w:t>
            </w:r>
          </w:p>
        </w:tc>
        <w:tc>
          <w:tcPr>
            <w:tcW w:w="4680" w:type="dxa"/>
          </w:tcPr>
          <w:p>
            <w:pPr>
              <w:pStyle w:val="TableText"/>
            </w:pPr>
            <w:r>
              <w:rPr>
                <w:rStyle w:val="CodeChar"/>
              </w:rPr>
              <w:t xml:space="preserve">Anonymization_EPF/</w:t>
            </w:r>
            <w:r>
              <w:t xml:space="preserve"> still holds the previous-generation scripts. The v4 verifier already carries EPF's best idea — residual detection — so the port is mostly a second inventory.</w:t>
            </w:r>
          </w:p>
        </w:tc>
      </w:tr>
    </w:tbl>
    <w:p>
      <w:pPr>
        <w:spacing w:after="0" w:line="120" w:lineRule="exact"/>
      </w:pPr>
    </w:p>
    <w:p>
      <w:pPr>
        <w:pBdr>
          <w:bottom w:val="single" w:sz="6" w:space="1" w:color="D5D9DE"/>
        </w:pBdr>
        <w:spacing w:before="240" w:after="240"/>
      </w:pPr>
    </w:p>
    <w:p>
      <w:pPr>
        <w:pStyle w:val="Heading2"/>
      </w:pPr>
      <w:r>
        <w:t xml:space="preserve">19. History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When</w:t>
            </w:r>
          </w:p>
        </w:tc>
        <w:tc>
          <w:tcPr>
            <w:tcW w:w="3120" w:type="dxa"/>
            <w:shd w:val="clear" w:fill="F4F6F8"/>
          </w:tcPr>
          <w:p>
            <w:pPr>
              <w:pStyle w:val="TableText"/>
            </w:pPr>
            <w:r>
              <w:rPr>
                <w:b/>
              </w:rPr>
              <w:t xml:space="preserve">What</w:t>
            </w:r>
          </w:p>
        </w:tc>
        <w:tc>
          <w:tcPr>
            <w:tcW w:w="3120" w:type="dxa"/>
            <w:shd w:val="clear" w:fill="F4F6F8"/>
          </w:tcPr>
          <w:p>
            <w:pPr>
              <w:pStyle w:val="TableText"/>
            </w:pPr>
            <w:r>
              <w:rPr>
                <w:b/>
              </w:rPr>
              <w:t xml:space="preserve">Result</w:t>
            </w:r>
          </w:p>
        </w:tc>
      </w:tr>
      <w:tr>
        <w:tc>
          <w:tcPr>
            <w:tcW w:w="3120" w:type="dxa"/>
          </w:tcPr>
          <w:p>
            <w:pPr>
              <w:pStyle w:val="TableText"/>
            </w:pPr>
            <w:r>
              <w:t xml:space="preserve">Feb 2021</w:t>
            </w:r>
          </w:p>
        </w:tc>
        <w:tc>
          <w:tcPr>
            <w:tcW w:w="3120" w:type="dxa"/>
          </w:tcPr>
          <w:p>
            <w:pPr>
              <w:pStyle w:val="TableText"/>
            </w:pPr>
            <w:r>
              <w:t xml:space="preserve">Vendor base — </w:t>
            </w:r>
            <w:r>
              <w:rPr>
                <w:rStyle w:val="CodeChar"/>
              </w:rPr>
              <w:t xml:space="preserve">pack_anonym</w:t>
            </w:r>
            <w:r>
              <w:t xml:space="preserve">, per-entity iterative rename, 98 audit triggers</w:t>
            </w:r>
          </w:p>
        </w:tc>
        <w:tc>
          <w:tcPr>
            <w:tcW w:w="3120" w:type="dxa"/>
          </w:tcPr>
          <w:p>
            <w:pPr>
              <w:pStyle w:val="TableText"/>
            </w:pPr>
            <w:r>
              <w:t xml:space="preserve">8–12 hour runtime</w:t>
            </w:r>
          </w:p>
        </w:tc>
      </w:tr>
      <w:tr>
        <w:tc>
          <w:tcPr>
            <w:tcW w:w="3120" w:type="dxa"/>
          </w:tcPr>
          <w:p>
            <w:pPr>
              <w:pStyle w:val="TableText"/>
            </w:pPr>
            <w:r>
              <w:t xml:space="preserve">v2</w:t>
            </w:r>
          </w:p>
        </w:tc>
        <w:tc>
          <w:tcPr>
            <w:tcW w:w="3120" w:type="dxa"/>
          </w:tcPr>
          <w:p>
            <w:pPr>
              <w:pStyle w:val="TableText"/>
            </w:pPr>
            <w:r>
              <w:t xml:space="preserve">Batch driver with interactive prompts</w:t>
            </w:r>
          </w:p>
        </w:tc>
        <w:tc>
          <w:tcPr>
            <w:tcW w:w="3120" w:type="dxa"/>
          </w:tcPr>
          <w:p>
            <w:pPr>
              <w:pStyle w:val="TableText"/>
            </w:pPr>
            <w:r>
              <w:t xml:space="preserve">—</w:t>
            </w:r>
          </w:p>
        </w:tc>
      </w:tr>
      <w:tr>
        <w:tc>
          <w:tcPr>
            <w:tcW w:w="3120" w:type="dxa"/>
          </w:tcPr>
          <w:p>
            <w:pPr>
              <w:pStyle w:val="TableText"/>
            </w:pPr>
            <w:r>
              <w:t xml:space="preserve">v3</w:t>
            </w:r>
          </w:p>
        </w:tc>
        <w:tc>
          <w:tcPr>
            <w:tcW w:w="3120" w:type="dxa"/>
          </w:tcPr>
          <w:p>
            <w:pPr>
              <w:pStyle w:val="TableText"/>
            </w:pPr>
            <w:r>
              <w:t xml:space="preserve">Set-based rewrite: bulk pre-clear plus </w:t>
            </w:r>
            <w:r>
              <w:rPr>
                <w:rStyle w:val="CodeChar"/>
              </w:rPr>
              <w:t xml:space="preserve">MERGE</w:t>
            </w:r>
            <w:r>
              <w:t xml:space="preserve">/</w:t>
            </w:r>
            <w:r>
              <w:rPr>
                <w:rStyle w:val="CodeChar"/>
              </w:rPr>
              <w:t xml:space="preserve">UPDATE</w:t>
            </w:r>
            <w:r>
              <w:t xml:space="preserve"> against a mapping table</w:t>
            </w:r>
          </w:p>
        </w:tc>
        <w:tc>
          <w:tcPr>
            <w:tcW w:w="3120" w:type="dxa"/>
          </w:tcPr>
          <w:p>
            <w:pPr>
              <w:pStyle w:val="TableText"/>
            </w:pPr>
            <w:r>
              <w:t xml:space="preserve">20–40 minutes</w:t>
            </w:r>
          </w:p>
        </w:tc>
      </w:tr>
      <w:tr>
        <w:tc>
          <w:tcPr>
            <w:tcW w:w="3120" w:type="dxa"/>
          </w:tcPr>
          <w:p>
            <w:pPr>
              <w:pStyle w:val="TableText"/>
            </w:pPr>
            <w:r>
              <w:t xml:space="preserve">Jul 2026</w:t>
            </w:r>
          </w:p>
        </w:tc>
        <w:tc>
          <w:tcPr>
            <w:tcW w:w="3120" w:type="dxa"/>
          </w:tcPr>
          <w:p>
            <w:pPr>
              <w:pStyle w:val="TableText"/>
            </w:pPr>
            <w:r>
              <w:t xml:space="preserve">KTP/CTI table scope added, then CTI tables, then </w:t>
            </w:r>
            <w:r>
              <w:rPr>
                <w:rStyle w:val="CodeChar"/>
              </w:rPr>
              <w:t xml:space="preserve">/dryrun</w:t>
            </w:r>
            <w:r>
              <w:t xml:space="preserve"> and custom inclusions</w:t>
            </w:r>
          </w:p>
        </w:tc>
        <w:tc>
          <w:tcPr>
            <w:tcW w:w="3120" w:type="dxa"/>
          </w:tcPr>
          <w:p>
            <w:pPr>
              <w:pStyle w:val="TableText"/>
            </w:pPr>
            <w:r>
              <w:t xml:space="preserve">Each addition brought its own numbered script and its own hand-maintained table list</w:t>
            </w:r>
          </w:p>
        </w:tc>
      </w:tr>
      <w:tr>
        <w:tc>
          <w:tcPr>
            <w:tcW w:w="3120" w:type="dxa"/>
          </w:tcPr>
          <w:p>
            <w:pPr>
              <w:pStyle w:val="TableText"/>
            </w:pPr>
            <w:r>
              <w:t xml:space="preserve">Aug–Sep 2026</w:t>
            </w:r>
          </w:p>
        </w:tc>
        <w:tc>
          <w:tcPr>
            <w:tcW w:w="3120" w:type="dxa"/>
          </w:tcPr>
          <w:p>
            <w:pPr>
              <w:pStyle w:val="TableText"/>
            </w:pPr>
            <w:r>
              <w:rPr>
                <w:b/>
              </w:rPr>
              <w:t xml:space="preserve">v4</w:t>
            </w:r>
            <w:r>
              <w:t xml:space="preserve"> — rebuilt around a single inventory</w:t>
            </w:r>
          </w:p>
        </w:tc>
        <w:tc>
          <w:tcPr>
            <w:tcW w:w="3120" w:type="dxa"/>
          </w:tcPr>
          <w:p>
            <w:pPr>
              <w:pStyle w:val="TableText"/>
            </w:pPr>
            <w:r>
              <w:t xml:space="preserve">580 columns, 167 tables, reconciled against v3</w:t>
            </w:r>
          </w:p>
        </w:tc>
      </w:tr>
    </w:tbl>
    <w:p>
      <w:pPr>
        <w:spacing w:after="0" w:line="120" w:lineRule="exact"/>
      </w:pPr>
    </w:p>
    <w:p>
      <w:pPr>
        <w:pStyle w:val="Heading3"/>
      </w:pPr>
      <w:r>
        <w:t xml:space="preserve">What v4 fixed</w:t>
      </w:r>
    </w:p>
    <w:p>
      <w:pPr/>
      <w:r>
        <w:t xml:space="preserve">Eleven defects were found by reading v3, including: custom inclusions could never work (the table holding them was dropped before it was read); folder layout did not match the paths the scripts resolved, so neither orchestrator could run; re-running after a partial failure destroyed the link between original and anonymized values; </w:t>
      </w:r>
      <w:r>
        <w:rPr>
          <w:rStyle w:val="CodeChar"/>
        </w:rPr>
        <w:t xml:space="preserve">DROP USER atrace CASCADE</w:t>
      </w:r>
      <w:r>
        <w:t xml:space="preserve"> destroyed the EPF cascade source; and the OP verifier's unescaped </w:t>
      </w:r>
      <w:r>
        <w:rPr>
          <w:rStyle w:val="CodeChar"/>
        </w:rPr>
        <w:t xml:space="preserve">LIKE 'E_%'</w:t>
      </w:r>
      <w:r>
        <w:t xml:space="preserve"> systematically overstated coverage.</w:t>
      </w:r>
    </w:p>
    <w:p>
      <w:pPr/>
      <w:r>
        <w:t xml:space="preserve">Roughly 200 KB of the 340 KB v3 codebase was unreachable and was not carried forward.</w:t>
      </w:r>
    </w:p>
    <w:p>
      <w:pPr>
        <w:pStyle w:val="Heading3"/>
      </w:pPr>
      <w:r>
        <w:t xml:space="preserve">What real testing found</w:t>
      </w:r>
    </w:p>
    <w:p>
      <w:pPr/>
      <w:r>
        <w:t xml:space="preserve">Eight further defects (T1–T8) were found and fixed by running v4 against a live instance — a reserved word used as a column name, a privilege chain on the compatibility view, a nested aggregate, a batch quoting bug that corrupted roughly 500 of 579 </w:t>
      </w:r>
      <w:r>
        <w:rPr>
          <w:rStyle w:val="CodeChar"/>
        </w:rPr>
        <w:t xml:space="preserve">INSERT</w:t>
      </w:r>
      <w:r>
        <w:t xml:space="preserve"> statements, and the </w:t>
      </w:r>
      <w:r>
        <w:rPr>
          <w:rStyle w:val="CodeChar"/>
        </w:rPr>
        <w:t xml:space="preserve">compte_ana</w:t>
      </w:r>
      <w:r>
        <w:t xml:space="preserve"> misclassification that the verifier shared and therefore could not catch.</w:t>
      </w:r>
    </w:p>
    <w:p>
      <w:pPr>
        <w:pStyle w:val="Heading3"/>
      </w:pPr>
      <w:r>
        <w:t xml:space="preserve">The result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Mapping</w:t>
            </w:r>
          </w:p>
        </w:tc>
        <w:tc>
          <w:tcPr>
            <w:tcW w:w="4680" w:type="dxa"/>
          </w:tcPr>
          <w:p>
            <w:pPr>
              <w:pStyle w:val="TableText"/>
            </w:pPr>
            <w:r>
              <w:t xml:space="preserve">2,885 identifiers — 76 entity, 32 portfolio, 761 counterparty, 2,016 bank account</w:t>
            </w:r>
          </w:p>
        </w:tc>
      </w:tr>
      <w:tr>
        <w:tc>
          <w:tcPr>
            <w:tcW w:w="4680" w:type="dxa"/>
          </w:tcPr>
          <w:p>
            <w:pPr>
              <w:pStyle w:val="TableText"/>
            </w:pPr>
            <w:r>
              <w:t xml:space="preserve">Rows changed</w:t>
            </w:r>
          </w:p>
        </w:tc>
        <w:tc>
          <w:tcPr>
            <w:tcW w:w="4680" w:type="dxa"/>
          </w:tcPr>
          <w:p>
            <w:pPr>
              <w:pStyle w:val="TableText"/>
            </w:pPr>
            <w:r>
              <w:t xml:space="preserve">44,460,155</w:t>
            </w:r>
          </w:p>
        </w:tc>
      </w:tr>
      <w:tr>
        <w:tc>
          <w:tcPr>
            <w:tcW w:w="4680" w:type="dxa"/>
          </w:tcPr>
          <w:p>
            <w:pPr>
              <w:pStyle w:val="TableText"/>
            </w:pPr>
            <w:r>
              <w:t xml:space="preserve">Duration</w:t>
            </w:r>
          </w:p>
        </w:tc>
        <w:tc>
          <w:tcPr>
            <w:tcW w:w="4680" w:type="dxa"/>
          </w:tcPr>
          <w:p>
            <w:pPr>
              <w:pStyle w:val="TableText"/>
            </w:pPr>
            <w:r>
              <w:t xml:space="preserve">29 minutes</w:t>
            </w:r>
          </w:p>
        </w:tc>
      </w:tr>
      <w:tr>
        <w:tc>
          <w:tcPr>
            <w:tcW w:w="4680" w:type="dxa"/>
          </w:tcPr>
          <w:p>
            <w:pPr>
              <w:pStyle w:val="TableText"/>
            </w:pPr>
            <w:r>
              <w:t xml:space="preserve">Errors</w:t>
            </w:r>
          </w:p>
        </w:tc>
        <w:tc>
          <w:tcPr>
            <w:tcW w:w="4680" w:type="dxa"/>
          </w:tcPr>
          <w:p>
            <w:pPr>
              <w:pStyle w:val="TableText"/>
            </w:pPr>
            <w:r>
              <w:t xml:space="preserve">0</w:t>
            </w:r>
          </w:p>
        </w:tc>
      </w:tr>
      <w:tr>
        <w:tc>
          <w:tcPr>
            <w:tcW w:w="4680" w:type="dxa"/>
          </w:tcPr>
          <w:p>
            <w:pPr>
              <w:pStyle w:val="TableText"/>
            </w:pPr>
            <w:r>
              <w:t xml:space="preserve">Triggers</w:t>
            </w:r>
          </w:p>
        </w:tc>
        <w:tc>
          <w:tcPr>
            <w:tcW w:w="4680" w:type="dxa"/>
          </w:tcPr>
          <w:p>
            <w:pPr>
              <w:pStyle w:val="TableText"/>
            </w:pPr>
            <w:r>
              <w:t xml:space="preserve">45 disabled and re-enabled</w:t>
            </w:r>
          </w:p>
        </w:tc>
      </w:tr>
      <w:tr>
        <w:tc>
          <w:tcPr>
            <w:tcW w:w="4680" w:type="dxa"/>
          </w:tcPr>
          <w:p>
            <w:pPr>
              <w:pStyle w:val="TableText"/>
            </w:pPr>
            <w:r>
              <w:t xml:space="preserve">Verification</w:t>
            </w:r>
          </w:p>
        </w:tc>
        <w:tc>
          <w:tcPr>
            <w:tcW w:w="4680" w:type="dxa"/>
          </w:tcPr>
          <w:p>
            <w:pPr>
              <w:pStyle w:val="TableText"/>
            </w:pPr>
            <w:r>
              <w:t xml:space="preserve">432 passed, 0 failed</w:t>
            </w:r>
          </w:p>
        </w:tc>
      </w:tr>
      <w:tr>
        <w:tc>
          <w:tcPr>
            <w:tcW w:w="4680" w:type="dxa"/>
          </w:tcPr>
          <w:p>
            <w:pPr>
              <w:pStyle w:val="TableText"/>
            </w:pPr>
            <w:r>
              <w:t xml:space="preserve">Restartability</w:t>
            </w:r>
          </w:p>
        </w:tc>
        <w:tc>
          <w:tcPr>
            <w:tcW w:w="4680" w:type="dxa"/>
          </w:tcPr>
          <w:p>
            <w:pPr>
              <w:pStyle w:val="TableText"/>
            </w:pPr>
            <w:r>
              <w:t xml:space="preserve">Proven — the dry run predicted exactly one change and the execute made exactly that one change</w:t>
            </w:r>
          </w:p>
        </w:tc>
      </w:tr>
    </w:tbl>
    <w:p>
      <w:pPr>
        <w:spacing w:after="0" w:line="120" w:lineRule="exact"/>
      </w:pP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Technical Guide</dc:title>
  <dc:subject>KTP Payment Factory - OP schema anonymization</dc:subject>
  <dcterms:created xsi:type="dcterms:W3CDTF">2026-10-20T14:25:56Z</dcterms:created>
</cp:coreProperties>
</file>