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C46A38" w:sz="2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6"/>
      </w:tblGrid>
      <w:tr>
        <w:tc>
          <w:tcPr>
            <w:tcW w:type="dxa" w:w="10906"/>
            <w:shd w:fill="08131F" w:val="clear"/>
            <w:tcMar>
              <w:top w:type="dxa" w:w="220"/>
              <w:left w:type="dxa" w:w="320"/>
              <w:bottom w:type="dxa" w:w="260"/>
              <w:right w:type="dxa" w:w="320"/>
            </w:tcMar>
          </w:tcPr>
          <w:p>
            <w:pPr>
              <w:pBdr>
                <w:bottom w:val="single" w:color="8FA2B4" w:sz="4"/>
              </w:pBdr>
              <w:tabs>
                <w:tab w:val="right" w:pos="10406"/>
              </w:tabs>
              <w:spacing w:after="60"/>
            </w:pPr>
            <w:r>
              <w:rPr>
                <w:rFonts w:ascii="IBM Plex Mono" w:cs="IBM Plex Mono" w:eastAsia="IBM Plex Mono" w:hAnsi="IBM Plex Mono"/>
                <w:b/>
                <w:bCs/>
                <w:color w:val="EDF0F2"/>
                <w:spacing w:val="20"/>
                <w:sz w:val="17"/>
                <w:szCs w:val="17"/>
              </w:rPr>
              <w:t xml:space="preserve">FT2E</w:t>
            </w:r>
            <w:r>
              <w:t xml:space="preserve">	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2"/>
                <w:szCs w:val="12"/>
              </w:rPr>
              <w:t xml:space="preserve">INGÉNIERIE FLUIDE · THERMIQUE · ÉNERGIE · ÉLECTRICITÉ</w:t>
            </w:r>
          </w:p>
          <w:p>
            <w:pPr>
              <w:spacing w:after="100" w:before="140"/>
            </w:pPr>
            <w:r>
              <w:rPr>
                <w:rFonts w:ascii="IBM Plex Mono" w:cs="IBM Plex Mono" w:eastAsia="IBM Plex Mono" w:hAnsi="IBM Plex Mono"/>
                <w:b/>
                <w:bCs/>
                <w:color w:val="C46A38"/>
                <w:spacing w:val="20"/>
                <w:sz w:val="13"/>
                <w:szCs w:val="13"/>
              </w:rPr>
              <w:t xml:space="preserve">CURRICULUM VITÆ — ÉQUIPE FT2E, LA ROCHELLE</w:t>
            </w:r>
          </w:p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EDF0F2"/>
                <w:spacing w:val="-6"/>
                <w:sz w:val="50"/>
                <w:szCs w:val="50"/>
              </w:rPr>
              <w:t xml:space="preserve">GÉRALDINE MICHAUD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b/>
                <w:bCs/>
                <w:color w:val="EDF0F2"/>
                <w:sz w:val="21"/>
                <w:szCs w:val="21"/>
              </w:rPr>
              <w:t xml:space="preserve">INGÉNIEUR THERMIQUE &amp; ÉNERGIES RENOUVELABLES</w:t>
            </w:r>
          </w:p>
          <w:p>
            <w:pPr>
              <w:spacing w:after="90"/>
            </w:pPr>
            <w:r>
              <w:rPr>
                <w:rFonts w:ascii="IBM Plex Mono" w:cs="IBM Plex Mono" w:eastAsia="IBM Plex Mono" w:hAnsi="IBM Plex Mono"/>
                <w:color w:val="8FA2B4"/>
                <w:sz w:val="15"/>
                <w:szCs w:val="15"/>
              </w:rPr>
              <w:t xml:space="preserve">Calculs réglementaires, faisabilité, audit thermique, STD · Chargée d’études CVC et fluides</w:t>
            </w:r>
          </w:p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3"/>
                <w:szCs w:val="13"/>
              </w:rPr>
              <w:t xml:space="preserve">17 ANS D’EXPÉRIENCE EN BET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/>
                <w:bCs/>
                <w:color w:val="E08A50"/>
                <w:spacing w:val="20"/>
                <w:sz w:val="13"/>
                <w:szCs w:val="13"/>
              </w:rPr>
              <w:t xml:space="preserve">[ CO-GÉRANTE DE FT2E DEPUIS LE 1ᵉʳ JANVIER 2026 ]</w:t>
            </w:r>
          </w:p>
        </w:tc>
      </w:tr>
    </w:tbl>
    <w:p>
      <w:pPr>
        <w:spacing w:after="120"/>
      </w:pPr>
    </w:p>
    <w:tbl>
      <w:tblPr>
        <w:tblW w:type="dxa" w:w="10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06"/>
      </w:tblGrid>
      <w:tr>
        <w:tc>
          <w:tcPr>
            <w:tcW w:type="dxa" w:w="3400"/>
            <w:tcBorders>
              <w:top w:val="single" w:color="4A6076" w:sz="6"/>
              <w:left w:val="single" w:color="4A6076" w:sz="6"/>
              <w:bottom w:val="single" w:color="4A6076" w:sz="6"/>
              <w:right w:val="single" w:color="4A6076" w:sz="6"/>
            </w:tcBorders>
            <w:shd w:fill="F7F9FA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CONTACT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TÉLÉPHONE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05 46 27 85 93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EMAIL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g.michaud@ft2e.fr</w:t>
            </w:r>
          </w:p>
          <w:p>
            <w:pPr>
              <w:pBdr>
                <w:top w:val="single" w:color="9AA9B8" w:sz="4"/>
              </w:pBdr>
              <w:spacing w:after="0" w:before="6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FORMATION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2008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Master 1 et 2 Matériaux pour les énergies renouvelables et l’environnement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Poitiers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2020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Simulation thermique dynamique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Logiciels Perrenoud — 1 jour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2021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RE2020 + ACV, logements et tertiaire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Logiciels Perrenoud — 4 jours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2021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Mise en application de la RE2020, des règles Th-BCE 2020 et du calcul ACV dynamique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Audit énergétique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Tertiaire, logements collectifs — 3 jours</w:t>
            </w:r>
          </w:p>
          <w:p>
            <w:pPr>
              <w:pBdr>
                <w:top w:val="single" w:color="9AA9B8" w:sz="4"/>
              </w:pBdr>
              <w:spacing w:after="0" w:before="4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LOGICIELS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PERRENOUD (RE2020, RT2012, DÉPERDITIONS, STD, APPORTS)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AUTOCAD LT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OPTIMA SYDEV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FINALCAD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BAO ÉVOLUTION</w:t>
            </w:r>
          </w:p>
        </w:tc>
        <w:tc>
          <w:tcPr>
            <w:tcW w:type="dxa" w:w="7506"/>
            <w:tcMar>
              <w:top w:type="dxa" w:w="0"/>
              <w:left w:type="dxa" w:w="260"/>
              <w:bottom w:type="dxa" w:w="0"/>
              <w:right w:type="dxa" w:w="0"/>
            </w:tcMar>
          </w:tcPr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RÉALISATIONS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RÉFÉRENCES RÉCENTES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2024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ÉCOLE PRIMAIRE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Flotte-en-Ré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Audit énergétique format ADEME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CONSTRUCTION DE 20 LOGEMENTS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Saint-Rogatien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Calcul réglementaire RE2020 — label NF Habitat HQE · conception chauffage / ventilation / plomberie / sanitaire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2022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VOLTAERO — BÂTIMENT INDUSTRIEL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Saint-Agnant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Calcul réglementaire RT2012 — Cep −40 %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2021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AURORA — CONSTRUCTION DE 150 LOGEMENTS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Calcul réglementaire RT2012 −20 %</w:t>
            </w:r>
          </w:p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EXPÉRIENCES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PARCOURS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DEPUIS SEPTEMBRE 2008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TECHNICIENNE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Réglementation thermique : maisons individuelles, logements collectifs, tertiaire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Audits énergétiques, études de faisabilité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Simulation thermique dynamique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SEPTEMBRE 2007 – JUIN 2008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TECHNICIENNE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TH2i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Application de la réglementation thermique 2005 : maisons individuelles, logements collectifs, tertiaire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MARS – JUIN 2007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STAGE DE FIN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TH2i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Suivi de projets intégrant des énergies renouvelables, sous le contrôle du chargé d’affaires</w:t>
            </w:r>
          </w:p>
          <w:p>
            <w:pPr>
              <w:spacing w:after="70"/>
            </w:pPr>
          </w:p>
        </w:tc>
      </w:tr>
    </w:tbl>
    <w:p>
      <w:pPr>
        <w:pBdr>
          <w:top w:val="single" w:color="9AA9B8" w:sz="4"/>
        </w:pBdr>
        <w:tabs>
          <w:tab w:val="right" w:pos="10906"/>
        </w:tabs>
        <w:spacing w:before="160"/>
      </w:pP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FT2E — BUREAU D’ÉTUDES TECHNIQUES · LA ROCHELLE</w:t>
      </w:r>
      <w:r>
        <w:t xml:space="preserve">	</w:t>
      </w: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ÉDITION AOÛT 2026</w:t>
      </w:r>
    </w:p>
    <w:sectPr>
      <w:pgSz w:w="11906" w:h="16838" w:orient="portrait"/>
      <w:pgMar w:top="34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60"/>
      </w:pPr>
      <w:rPr>
        <w:rFonts w:ascii="IBM Plex Mono" w:cs="IBM Plex Mono" w:eastAsia="IBM Plex Mono" w:hAnsi="IBM Plex Mono"/>
        <w:color w:val="A04E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4A6076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2026-08-05T16:11:25.604Z</dcterms:created>
  <dcterms:modified xsi:type="dcterms:W3CDTF">2026-08-05T16:11:25.604Z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