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C46A38" w:sz="2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6"/>
      </w:tblGrid>
      <w:tr>
        <w:tc>
          <w:tcPr>
            <w:tcW w:type="dxa" w:w="10906"/>
            <w:shd w:fill="08131F" w:val="clear"/>
            <w:tcMar>
              <w:top w:type="dxa" w:w="220"/>
              <w:left w:type="dxa" w:w="320"/>
              <w:bottom w:type="dxa" w:w="260"/>
              <w:right w:type="dxa" w:w="320"/>
            </w:tcMar>
          </w:tcPr>
          <w:p>
            <w:pPr>
              <w:pBdr>
                <w:bottom w:val="single" w:color="8FA2B4" w:sz="4"/>
              </w:pBdr>
              <w:tabs>
                <w:tab w:val="right" w:pos="10406"/>
              </w:tabs>
              <w:spacing w:after="60"/>
            </w:pPr>
            <w:r>
              <w:rPr>
                <w:rFonts w:ascii="IBM Plex Mono" w:cs="IBM Plex Mono" w:eastAsia="IBM Plex Mono" w:hAnsi="IBM Plex Mono"/>
                <w:b/>
                <w:bCs/>
                <w:color w:val="EDF0F2"/>
                <w:spacing w:val="20"/>
                <w:sz w:val="17"/>
                <w:szCs w:val="17"/>
              </w:rPr>
              <w:t xml:space="preserve">FT2E</w:t>
            </w:r>
            <w:r>
              <w:t xml:space="preserve">	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2"/>
                <w:szCs w:val="12"/>
              </w:rPr>
              <w:t xml:space="preserve">INGÉNIERIE FLUIDE · THERMIQUE · ÉNERGIE · ÉLECTRICITÉ</w:t>
            </w:r>
          </w:p>
          <w:p>
            <w:pPr>
              <w:spacing w:after="100" w:before="140"/>
            </w:pPr>
            <w:r>
              <w:rPr>
                <w:rFonts w:ascii="IBM Plex Mono" w:cs="IBM Plex Mono" w:eastAsia="IBM Plex Mono" w:hAnsi="IBM Plex Mono"/>
                <w:b/>
                <w:bCs/>
                <w:color w:val="C46A38"/>
                <w:spacing w:val="20"/>
                <w:sz w:val="13"/>
                <w:szCs w:val="13"/>
              </w:rPr>
              <w:t xml:space="preserve">CURRICULUM VITÆ — ÉQUIPE FT2E, LA ROCHELLE</w:t>
            </w:r>
          </w:p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EDF0F2"/>
                <w:spacing w:val="-6"/>
                <w:sz w:val="50"/>
                <w:szCs w:val="50"/>
              </w:rPr>
              <w:t xml:space="preserve">SANDRINE RAMEAU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b/>
                <w:bCs/>
                <w:color w:val="EDF0F2"/>
                <w:sz w:val="21"/>
                <w:szCs w:val="21"/>
              </w:rPr>
              <w:t xml:space="preserve">INGÉNIEUR EFFICACITÉ ÉNERGÉTIQUE &amp; ÉNERGIES RENOUVELABLES</w:t>
            </w:r>
          </w:p>
          <w:p>
            <w:pPr>
              <w:spacing w:after="90"/>
            </w:pPr>
            <w:r>
              <w:rPr>
                <w:rFonts w:ascii="IBM Plex Mono" w:cs="IBM Plex Mono" w:eastAsia="IBM Plex Mono" w:hAnsi="IBM Plex Mono"/>
                <w:color w:val="8FA2B4"/>
                <w:sz w:val="15"/>
                <w:szCs w:val="15"/>
              </w:rPr>
              <w:t xml:space="preserve">Calculs réglementaires RE2020, simulation thermique dynamique · Chargée d’études CVC et fluides</w:t>
            </w:r>
          </w:p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3"/>
                <w:szCs w:val="13"/>
              </w:rPr>
              <w:t xml:space="preserve">18 ANS D’EXPÉRIENCE DONT 9 EN BET</w:t>
            </w:r>
          </w:p>
        </w:tc>
      </w:tr>
    </w:tbl>
    <w:p>
      <w:pPr>
        <w:spacing w:after="120"/>
      </w:pPr>
    </w:p>
    <w:tbl>
      <w:tblPr>
        <w:tblW w:type="dxa" w:w="10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06"/>
      </w:tblGrid>
      <w:tr>
        <w:tc>
          <w:tcPr>
            <w:tcW w:type="dxa" w:w="3400"/>
            <w:tcBorders>
              <w:top w:val="single" w:color="4A6076" w:sz="6"/>
              <w:left w:val="single" w:color="4A6076" w:sz="6"/>
              <w:bottom w:val="single" w:color="4A6076" w:sz="6"/>
              <w:right w:val="single" w:color="4A6076" w:sz="6"/>
            </w:tcBorders>
            <w:shd w:fill="F7F9FA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CONTACT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TÉLÉPHONE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05 46 27 85 93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EMAIL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s.rameau@ft2e.fr</w:t>
            </w:r>
          </w:p>
          <w:p>
            <w:pPr>
              <w:pBdr>
                <w:top w:val="single" w:color="9AA9B8" w:sz="4"/>
              </w:pBdr>
              <w:spacing w:after="0" w:before="6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FORMATION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2003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Ingénieur Génie de l’environnement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2005 – 2006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Master Sciences et technologies, spécialité I3ER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2021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Mise en application de la RE2020, des règles Th-BCE 2020 et du calcul ACV dynamique</w:t>
            </w:r>
          </w:p>
          <w:p>
            <w:pPr>
              <w:pBdr>
                <w:top w:val="single" w:color="9AA9B8" w:sz="4"/>
              </w:pBdr>
              <w:spacing w:after="0" w:before="4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LOGICIELS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PERRENOUD (RE2020, RT2012, DÉPERDITIONS, STD, APPORTS)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FINALCAD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REVIT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BAO ÉVOLUTION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AUTOCAD LT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OPTIMA SYDEV</w:t>
            </w:r>
          </w:p>
        </w:tc>
        <w:tc>
          <w:tcPr>
            <w:tcW w:type="dxa" w:w="7506"/>
            <w:tcMar>
              <w:top w:type="dxa" w:w="0"/>
              <w:left w:type="dxa" w:w="260"/>
              <w:bottom w:type="dxa" w:w="0"/>
              <w:right w:type="dxa" w:w="0"/>
            </w:tcMar>
          </w:tcPr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RÉALISATIONS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RÉFÉRENCES RÉCENTES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2024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CONSTRUCTION DE 10 LOGEMENTS SOCIAUX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Le Bois-Plage-en-Ré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Calcul réglementaire RE2020 −10 % · conception chauffage / ventilation / plomberie / sanitaire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RÉSIDENCE INTERGÉNÉRATIONNELLE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Saint-Agnant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Calcul réglementaire RE2020 −10 % · conception ventilation / plomberie / sanitaire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NEREA — 48 LOGEMENTS SOCIAUX COLLECTIFS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Aytré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Calcul réglementaire RT2012 −20 % — label NF Habitat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CHAMBRE DES MÉTIERS ET DE L’ARTISANAT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Audit énergétique — décret tertiaire</w:t>
            </w:r>
          </w:p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EXPÉRIENCES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PARCOURS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DEPUIS SEPTEMBRE 2015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TECHNICIENNE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des installations CVC et électricité courants forts et faibles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Réglementation thermique : maisons individuelles, logements collectifs, tertiaire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Audits énergétiques, études de faisabilité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NOVEMBRE 2006 – OCTOBRE 2015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CHARGÉE D’AFFAIRES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Groupe INTIS-DIBAO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Ingénierie thermique et installations solaires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Dimensionnement de systèmes mettant en œuvre des énergies renouvelables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Spécialités : aérothermie, géothermie, aquathermie, solaire thermique et photovoltaïque, bois énergie</w:t>
            </w:r>
          </w:p>
          <w:p>
            <w:pPr>
              <w:spacing w:after="70"/>
            </w:pPr>
          </w:p>
        </w:tc>
      </w:tr>
    </w:tbl>
    <w:p>
      <w:pPr>
        <w:pBdr>
          <w:top w:val="single" w:color="9AA9B8" w:sz="4"/>
        </w:pBdr>
        <w:tabs>
          <w:tab w:val="right" w:pos="10906"/>
        </w:tabs>
        <w:spacing w:before="160"/>
      </w:pP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FT2E — BUREAU D’ÉTUDES TECHNIQUES · LA ROCHELLE</w:t>
      </w:r>
      <w:r>
        <w:t xml:space="preserve">	</w:t>
      </w: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ÉDITION AOÛT 2026</w:t>
      </w:r>
    </w:p>
    <w:sectPr>
      <w:pgSz w:w="11906" w:h="16838" w:orient="portrait"/>
      <w:pgMar w:top="34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60"/>
      </w:pPr>
      <w:rPr>
        <w:rFonts w:ascii="IBM Plex Mono" w:cs="IBM Plex Mono" w:eastAsia="IBM Plex Mono" w:hAnsi="IBM Plex Mono"/>
        <w:color w:val="A04E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4A6076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2026-08-05T16:11:25.622Z</dcterms:created>
  <dcterms:modified xsi:type="dcterms:W3CDTF">2026-08-05T16:11:25.622Z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