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3A5C"/>
          <w:sz w:val="20"/>
          <w:szCs w:val="20"/>
        </w:rPr>
        <w:t xml:space="preserve">DARK DRAGONS ASTRONOMY</w:t>
      </w:r>
    </w:p>
    <w:p>
      <w:pPr>
        <w:spacing w:after="80"/>
      </w:pPr>
      <w:r>
        <w:rPr>
          <w:rFonts w:ascii="Arial" w:cs="Arial" w:eastAsia="Arial" w:hAnsi="Arial"/>
          <w:color w:val="444444"/>
          <w:sz w:val="20"/>
          <w:szCs w:val="20"/>
        </w:rPr>
        <w:t xml:space="preserve">DragonCDS / @Mosphere</w:t>
      </w:r>
    </w:p>
    <w:p>
      <w:pPr>
        <w:pBdr>
          <w:bottom w:val="single" w:color="1A3A5C" w:sz="6" w:space="1"/>
        </w:pBdr>
      </w:pPr>
      <w:r>
        <w:t xml:space="preserve"/>
      </w:r>
    </w:p>
    <w:p>
      <w:r>
        <w:t xml:space="preserve"/>
      </w:r>
    </w:p>
    <w:p>
      <w:pPr>
        <w:spacing w:after="160"/>
      </w:pPr>
      <w:r>
        <w:rPr>
          <w:rFonts w:ascii="Arial" w:cs="Arial" w:eastAsia="Arial" w:hAnsi="Arial"/>
          <w:b/>
          <w:bCs/>
          <w:color w:val="1A3A5C"/>
          <w:sz w:val="36"/>
          <w:szCs w:val="36"/>
        </w:rPr>
        <w:t xml:space="preserve">CLARITAS LAYER TRANSITION SPECIFICATION</w:t>
      </w:r>
    </w:p>
    <w:p>
      <w:pPr>
        <w:spacing w:after="80"/>
      </w:pPr>
      <w:r>
        <w:rPr>
          <w:rFonts w:ascii="Arial" w:cs="Arial" w:eastAsia="Arial" w:hAnsi="Arial"/>
          <w:i/>
          <w:iCs/>
          <w:color w:val="444444"/>
          <w:sz w:val="24"/>
          <w:szCs w:val="24"/>
        </w:rPr>
        <w:t xml:space="preserve">Card Zoom Physics — The Eyepiece Sub-Feature — Tap &amp; Pinch Transition Model</w:t>
      </w:r>
    </w:p>
    <w:p>
      <w:pPr>
        <w:spacing w:after="240"/>
      </w:pPr>
      <w:r>
        <w:rPr>
          <w:rFonts w:ascii="Arial" w:cs="Arial" w:eastAsia="Arial" w:hAnsi="Arial"/>
          <w:color w:val="666666"/>
          <w:sz w:val="22"/>
          <w:szCs w:val="22"/>
        </w:rPr>
        <w:t xml:space="preserve">Dark Dragons Astronomy LLC — February 2026</w:t>
      </w:r>
    </w:p>
    <w:p>
      <w:pPr>
        <w:pBdr>
          <w:left w:val="single" w:color="2E6A9E" w:sz="12" w:space="12"/>
        </w:pBdr>
        <w:spacing w:after="240"/>
        <w:ind w:left="360"/>
      </w:pPr>
      <w:r>
        <w:rPr>
          <w:rFonts w:ascii="Arial" w:cs="Arial" w:eastAsia="Arial" w:hAnsi="Arial"/>
          <w:i/>
          <w:iCs/>
          <w:color w:val="333333"/>
          <w:sz w:val="22"/>
          <w:szCs w:val="22"/>
        </w:rPr>
        <w:t xml:space="preserve">This document specifies the visual transition behavior for layer navigation in the Claritas paradigm as implemented in @Mosphere. It covers the card zoom physics model, the tap transition timeline, the pinch gesture threshold system, and the Eyepiece sub-feature. This specification governs mobile implementation first; the same model applies to cds.dda.com web and future Draco Cloud remote telescope control.</w:t>
      </w:r>
    </w:p>
    <w:p>
      <w:pPr>
        <w:pBdr>
          <w:bottom w:val="single" w:color="1A3A5C" w:sz="6" w:space="1"/>
        </w:pBdr>
      </w:pPr>
      <w:r>
        <w:t xml:space="preserve"/>
      </w:r>
    </w:p>
    <w:p>
      <w:r>
        <w:t xml:space="preserve"/>
      </w:r>
    </w:p>
    <w:p>
      <w:pPr>
        <w:pStyle w:val="Heading1"/>
      </w:pPr>
      <w:r>
        <w:rPr>
          <w:rFonts w:ascii="Arial" w:cs="Arial" w:eastAsia="Arial" w:hAnsi="Arial"/>
          <w:b/>
          <w:bCs/>
          <w:sz w:val="32"/>
          <w:szCs w:val="32"/>
        </w:rPr>
        <w:t xml:space="preserve">1. Card Visual Identity</w:t>
      </w:r>
    </w:p>
    <w:p>
      <w:pPr>
        <w:spacing w:after="160"/>
      </w:pPr>
      <w:r>
        <w:rPr>
          <w:rFonts w:ascii="Arial" w:cs="Arial" w:eastAsia="Arial" w:hAnsi="Arial"/>
          <w:sz w:val="24"/>
          <w:szCs w:val="24"/>
        </w:rPr>
        <w:t xml:space="preserve">Every Claritas layer is presented as a card. The card is square with Apple-standard liquid rounded corners. The card occupies the primary viewport at its layer. At rest, the card is fully opaque and renders at its natural full size. All transition animations originate from and return to this resting state.</w:t>
      </w:r>
    </w:p>
    <w:p>
      <w:pPr>
        <w:spacing w:after="160"/>
      </w:pPr>
      <w:r>
        <w:rPr>
          <w:rFonts w:ascii="Arial" w:cs="Arial" w:eastAsia="Arial" w:hAnsi="Arial"/>
          <w:sz w:val="24"/>
          <w:szCs w:val="24"/>
        </w:rPr>
        <w:t xml:space="preserve">The physical metaphor governs all visual decisions: the user is moving through atmosphere. Descending feels like moving toward something. Ascending feels like pulling back. The card’s visual behavior must reinforce this spatial reality at every moment of every transition.</w:t>
      </w:r>
    </w:p>
    <w:p>
      <w:r>
        <w:t xml:space="preserve"/>
      </w:r>
    </w:p>
    <w:p>
      <w:pPr>
        <w:pBdr>
          <w:bottom w:val="single" w:color="1A3A5C" w:sz="6" w:space="1"/>
        </w:pBdr>
      </w:pPr>
      <w:r>
        <w:t xml:space="preserve"/>
      </w:r>
    </w:p>
    <w:p>
      <w:r>
        <w:t xml:space="preserve"/>
      </w:r>
    </w:p>
    <w:p>
      <w:pPr>
        <w:pStyle w:val="Heading1"/>
      </w:pPr>
      <w:r>
        <w:rPr>
          <w:rFonts w:ascii="Arial" w:cs="Arial" w:eastAsia="Arial" w:hAnsi="Arial"/>
          <w:b/>
          <w:bCs/>
          <w:sz w:val="32"/>
          <w:szCs w:val="32"/>
        </w:rPr>
        <w:t xml:space="preserve">2. Tap Transition — Fixed Duration Model</w:t>
      </w:r>
    </w:p>
    <w:p>
      <w:pPr>
        <w:pStyle w:val="Heading2"/>
      </w:pPr>
      <w:r>
        <w:rPr>
          <w:rFonts w:ascii="Arial" w:cs="Arial" w:eastAsia="Arial" w:hAnsi="Arial"/>
          <w:b/>
          <w:bCs/>
          <w:sz w:val="28"/>
          <w:szCs w:val="28"/>
        </w:rPr>
        <w:t xml:space="preserve">2.1 Overview</w:t>
      </w:r>
    </w:p>
    <w:p>
      <w:pPr>
        <w:spacing w:after="160"/>
      </w:pPr>
      <w:r>
        <w:rPr>
          <w:rFonts w:ascii="Arial" w:cs="Arial" w:eastAsia="Arial" w:hAnsi="Arial"/>
          <w:sz w:val="24"/>
          <w:szCs w:val="24"/>
        </w:rPr>
        <w:t xml:space="preserve">A single tap anywhere on the current layer card initiates a fixed-duration descent to the next layer. A double-tap initiates ascent. The animation duration is system-defined and not user-controlled. The physics model is identical for tap and pinch — only the timing control differs.</w:t>
      </w:r>
    </w:p>
    <w:p>
      <w:pPr>
        <w:pStyle w:val="Heading2"/>
      </w:pPr>
      <w:r>
        <w:rPr>
          <w:rFonts w:ascii="Arial" w:cs="Arial" w:eastAsia="Arial" w:hAnsi="Arial"/>
          <w:b/>
          <w:bCs/>
          <w:sz w:val="28"/>
          <w:szCs w:val="28"/>
        </w:rPr>
        <w:t xml:space="preserve">2.2 Descent Animation Timeline</w:t>
      </w:r>
    </w:p>
    <w:p>
      <w:pPr>
        <w:spacing w:after="160"/>
      </w:pPr>
      <w:r>
        <w:rPr>
          <w:rFonts w:ascii="Arial" w:cs="Arial" w:eastAsia="Arial" w:hAnsi="Arial"/>
          <w:sz w:val="24"/>
          <w:szCs w:val="24"/>
        </w:rPr>
        <w:t xml:space="preserve">The transition is divided into three phases across 100% of the animation duration: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Behavior</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Duration</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Phase 1 — Zoom onset</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Card begins scaling up from center. Fully opaque. The user feels forward movement toward the card.</w:t>
            </w:r>
          </w:p>
        </w:tc>
        <w:tc>
          <w:tcPr>
            <w:tcW w:type="dxa" w:w="2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0% – 25%</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Phase 2 — Crossover</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Card becomes translucent. The layer below is visible through it, already at the same scale as the current card. Both layers are spatially registered — no jump, no pop. Outgoing card fades toward zero opacity while incoming layer fades in.</w:t>
            </w:r>
          </w:p>
        </w:tc>
        <w:tc>
          <w:tcPr>
            <w:tcW w:type="dxa" w:w="2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25% – 50%</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Phase 3 — Settle</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Outgoing card is gone. Incoming layer resolves to natural full-screen size with a controlled overshoot of 3–5% beyond resting size, then releases back. Not a bounce — pressure normalizing. Organic. Physical.</w:t>
            </w:r>
          </w:p>
        </w:tc>
        <w:tc>
          <w:tcPr>
            <w:tcW w:type="dxa" w:w="2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50% – 100%</w:t>
            </w:r>
          </w:p>
        </w:tc>
      </w:tr>
    </w:tbl>
    <w:p>
      <w:r>
        <w:t xml:space="preserve"/>
      </w:r>
    </w:p>
    <w:p>
      <w:pPr>
        <w:pStyle w:val="Heading2"/>
      </w:pPr>
      <w:r>
        <w:rPr>
          <w:rFonts w:ascii="Arial" w:cs="Arial" w:eastAsia="Arial" w:hAnsi="Arial"/>
          <w:b/>
          <w:bCs/>
          <w:sz w:val="28"/>
          <w:szCs w:val="28"/>
        </w:rPr>
        <w:t xml:space="preserve">2.3 The Balloon Overshoot</w:t>
      </w:r>
    </w:p>
    <w:p>
      <w:pPr>
        <w:spacing w:after="160"/>
      </w:pPr>
      <w:r>
        <w:rPr>
          <w:rFonts w:ascii="Arial" w:cs="Arial" w:eastAsia="Arial" w:hAnsi="Arial"/>
          <w:sz w:val="24"/>
          <w:szCs w:val="24"/>
        </w:rPr>
        <w:t xml:space="preserve">At the 50% mark the incoming layer takes over at full opacity. It expands slightly past its natural resting size — 3 to 5 percent overshoot — as if the momentum of descent carried it one beat too far. It then settles back to its resting state as pressure normalizes.</w:t>
      </w:r>
    </w:p>
    <w:p>
      <w:pPr>
        <w:spacing w:after="160"/>
      </w:pPr>
      <w:r>
        <w:rPr>
          <w:rFonts w:ascii="Arial" w:cs="Arial" w:eastAsia="Arial" w:hAnsi="Arial"/>
          <w:sz w:val="24"/>
          <w:szCs w:val="24"/>
        </w:rPr>
        <w:t xml:space="preserve">The overshoot must read as organic and physical, not playful or bouncy. The analogy: filling an already-full balloon with slightly more pressure, then releasing. The balloon does not bounce. It settles.</w:t>
      </w:r>
    </w:p>
    <w:p>
      <w:pPr>
        <w:spacing w:after="160"/>
      </w:pPr>
      <w:r>
        <w:rPr>
          <w:rFonts w:ascii="Arial" w:cs="Arial" w:eastAsia="Arial" w:hAnsi="Arial"/>
          <w:sz w:val="24"/>
          <w:szCs w:val="24"/>
        </w:rPr>
        <w:t xml:space="preserve">Implementation note: a single easing curve handles the overshoot and settle within Phase 3. Do not implement as a separate bounce animation. The motion must feel like one continuous physical event.</w:t>
      </w:r>
    </w:p>
    <w:p>
      <w:pPr>
        <w:pStyle w:val="Heading2"/>
      </w:pPr>
      <w:r>
        <w:rPr>
          <w:rFonts w:ascii="Arial" w:cs="Arial" w:eastAsia="Arial" w:hAnsi="Arial"/>
          <w:b/>
          <w:bCs/>
          <w:sz w:val="28"/>
          <w:szCs w:val="28"/>
        </w:rPr>
        <w:t xml:space="preserve">2.4 Ascent Animation — Symmetric Model</w:t>
      </w:r>
    </w:p>
    <w:p>
      <w:pPr>
        <w:spacing w:after="160"/>
      </w:pPr>
      <w:r>
        <w:rPr>
          <w:rFonts w:ascii="Arial" w:cs="Arial" w:eastAsia="Arial" w:hAnsi="Arial"/>
          <w:sz w:val="24"/>
          <w:szCs w:val="24"/>
        </w:rPr>
        <w:t xml:space="preserve">Double-tap ascent is the exact reverse of descent. The incoming layer above resolves with a slight deflation — the card settles to its natural size from slightly smaller, like pressure releasing. The metaphor shifts from balloon filling to balloon deflating: the user has surfaced, the atmosphere above has expanded around them.</w:t>
      </w:r>
    </w:p>
    <w:p>
      <w:pPr>
        <w:spacing w:after="160"/>
      </w:pPr>
      <w:r>
        <w:rPr>
          <w:rFonts w:ascii="Arial" w:cs="Arial" w:eastAsia="Arial" w:hAnsi="Arial"/>
          <w:sz w:val="24"/>
          <w:szCs w:val="24"/>
        </w:rPr>
        <w:t xml:space="preserve">The 25% and 50% thresholds apply in reverse. The crossover window, translucency behavior, and spatial registration are identical to descent.</w:t>
      </w:r>
    </w:p>
    <w:p>
      <w:r>
        <w:t xml:space="preserve"/>
      </w:r>
    </w:p>
    <w:p>
      <w:pPr>
        <w:pBdr>
          <w:bottom w:val="single" w:color="1A3A5C" w:sz="6" w:space="1"/>
        </w:pBdr>
      </w:pPr>
      <w:r>
        <w:t xml:space="preserve"/>
      </w:r>
    </w:p>
    <w:p>
      <w:r>
        <w:t xml:space="preserve"/>
      </w:r>
    </w:p>
    <w:p>
      <w:pPr>
        <w:pStyle w:val="Heading1"/>
      </w:pPr>
      <w:r>
        <w:rPr>
          <w:rFonts w:ascii="Arial" w:cs="Arial" w:eastAsia="Arial" w:hAnsi="Arial"/>
          <w:b/>
          <w:bCs/>
          <w:sz w:val="32"/>
          <w:szCs w:val="32"/>
        </w:rPr>
        <w:t xml:space="preserve">3. Pinch Gesture — Finger-Controlled Timeline</w:t>
      </w:r>
    </w:p>
    <w:p>
      <w:pPr>
        <w:pStyle w:val="Heading2"/>
      </w:pPr>
      <w:r>
        <w:rPr>
          <w:rFonts w:ascii="Arial" w:cs="Arial" w:eastAsia="Arial" w:hAnsi="Arial"/>
          <w:b/>
          <w:bCs/>
          <w:sz w:val="28"/>
          <w:szCs w:val="28"/>
        </w:rPr>
        <w:t xml:space="preserve">3.1 Overview</w:t>
      </w:r>
    </w:p>
    <w:p>
      <w:pPr>
        <w:spacing w:after="160"/>
      </w:pPr>
      <w:r>
        <w:rPr>
          <w:rFonts w:ascii="Arial" w:cs="Arial" w:eastAsia="Arial" w:hAnsi="Arial"/>
          <w:sz w:val="24"/>
          <w:szCs w:val="24"/>
        </w:rPr>
        <w:t xml:space="preserve">Pinch out descends. Pinch in ascends. The same 25% and 50% thresholds apply, but the animation timeline is directly coupled to finger spread rather than a fixed duration. The user controls the speed and can reverse at any point before the commit threshold.</w:t>
      </w:r>
    </w:p>
    <w:p>
      <w:pPr>
        <w:spacing w:after="160"/>
      </w:pPr>
      <w:r>
        <w:rPr>
          <w:rFonts w:ascii="Arial" w:cs="Arial" w:eastAsia="Arial" w:hAnsi="Arial"/>
          <w:sz w:val="24"/>
          <w:szCs w:val="24"/>
        </w:rPr>
        <w:t xml:space="preserve">The pinch model gives power users direct physical control over the transition. The card responds in real time to finger position. The physics model is identical to tap — the user is controlling the same animation timeline with their fingers instead of triggering it with a tap.</w:t>
      </w:r>
    </w:p>
    <w:p>
      <w:pPr>
        <w:pStyle w:val="Heading2"/>
      </w:pPr>
      <w:r>
        <w:rPr>
          <w:rFonts w:ascii="Arial" w:cs="Arial" w:eastAsia="Arial" w:hAnsi="Arial"/>
          <w:b/>
          <w:bCs/>
          <w:sz w:val="28"/>
          <w:szCs w:val="28"/>
        </w:rPr>
        <w:t xml:space="preserve">3.2 Threshold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Behavior</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Below 50%</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Rubber band. User can zoom to any point below threshold, see through the card to the layer below, and release. Card springs back to current layer.</w:t>
            </w:r>
          </w:p>
        </w:tc>
        <w:tc>
          <w:tcPr>
            <w:tcW w:type="dxa" w:w="2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Exploratory. The user is peeking, not committing.</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At or past 50%</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Threshold crossed. Releasing fingers triggers natural completion — balloon overshoot and settle into the new layer. User does not need to pinch to 100%.</w:t>
            </w:r>
          </w:p>
        </w:tc>
        <w:tc>
          <w:tcPr>
            <w:tcW w:type="dxa" w:w="2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Commit point. Release triggers auto-completion.</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Spring-back</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Release below threshold triggers a short spring return to resting size. Same physics family as the overshoot — a slight recoil before settling.</w:t>
            </w:r>
          </w:p>
        </w:tc>
        <w:tc>
          <w:tcPr>
            <w:tcW w:type="dxa" w:w="2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Not instant snap. Organic return.</w:t>
            </w:r>
          </w:p>
        </w:tc>
      </w:tr>
    </w:tbl>
    <w:p>
      <w:r>
        <w:t xml:space="preserve"/>
      </w:r>
    </w:p>
    <w:p>
      <w:pPr>
        <w:pStyle w:val="Heading2"/>
      </w:pPr>
      <w:r>
        <w:rPr>
          <w:rFonts w:ascii="Arial" w:cs="Arial" w:eastAsia="Arial" w:hAnsi="Arial"/>
          <w:b/>
          <w:bCs/>
          <w:sz w:val="28"/>
          <w:szCs w:val="28"/>
        </w:rPr>
        <w:t xml:space="preserve">3.3 Ascending Pinch — Symmetric</w:t>
      </w:r>
    </w:p>
    <w:p>
      <w:pPr>
        <w:spacing w:after="160"/>
      </w:pPr>
      <w:r>
        <w:rPr>
          <w:rFonts w:ascii="Arial" w:cs="Arial" w:eastAsia="Arial" w:hAnsi="Arial"/>
          <w:sz w:val="24"/>
          <w:szCs w:val="24"/>
        </w:rPr>
        <w:t xml:space="preserve">Pinch in to ascend. Same threshold model in reverse. Cross 50% and release — the layer above catches and settles with the deflation feel. Stay below 50% and it springs back down to the current layer. The system is fully symmetric.</w:t>
      </w:r>
    </w:p>
    <w:p>
      <w:r>
        <w:t xml:space="preserve"/>
      </w:r>
    </w:p>
    <w:p>
      <w:pPr>
        <w:pBdr>
          <w:bottom w:val="single" w:color="1A3A5C" w:sz="6" w:space="1"/>
        </w:pBdr>
      </w:pPr>
      <w:r>
        <w:t xml:space="preserve"/>
      </w:r>
    </w:p>
    <w:p>
      <w:r>
        <w:t xml:space="preserve"/>
      </w:r>
    </w:p>
    <w:p>
      <w:pPr>
        <w:pStyle w:val="Heading1"/>
      </w:pPr>
      <w:r>
        <w:rPr>
          <w:rFonts w:ascii="Arial" w:cs="Arial" w:eastAsia="Arial" w:hAnsi="Arial"/>
          <w:b/>
          <w:bCs/>
          <w:sz w:val="32"/>
          <w:szCs w:val="32"/>
        </w:rPr>
        <w:t xml:space="preserve">4. The Eyepiece — Zoom-Hold-Peek Sub-Feature</w:t>
      </w:r>
    </w:p>
    <w:p>
      <w:pPr>
        <w:pBdr>
          <w:left w:val="single" w:color="1A3A5C" w:sz="18" w:space="12"/>
        </w:pBdr>
        <w:spacing w:after="240"/>
        <w:ind w:left="360"/>
      </w:pPr>
      <w:r>
        <w:rPr>
          <w:rFonts w:ascii="Arial" w:cs="Arial" w:eastAsia="Arial" w:hAnsi="Arial"/>
          <w:i/>
          <w:iCs/>
          <w:sz w:val="24"/>
          <w:szCs w:val="24"/>
        </w:rPr>
        <w:t xml:space="preserve">The Eyepiece is a distinct interaction mode within the pinch gesture system. It is not a transition. It is a window. The user can hold at any point below the 50% threshold and read the layer below without committing to go there. A micro-push while holding momentarily evaporates the translucency for full clarity. This is named for the instinctive act of leaning in to look through a telescope eyepiece.</w:t>
      </w:r>
    </w:p>
    <w:p>
      <w:pPr>
        <w:pStyle w:val="Heading2"/>
      </w:pPr>
      <w:r>
        <w:rPr>
          <w:rFonts w:ascii="Arial" w:cs="Arial" w:eastAsia="Arial" w:hAnsi="Arial"/>
          <w:b/>
          <w:bCs/>
          <w:sz w:val="28"/>
          <w:szCs w:val="28"/>
        </w:rPr>
        <w:t xml:space="preserve">4.1 Zoom and Hold</w:t>
      </w:r>
    </w:p>
    <w:p>
      <w:pPr>
        <w:spacing w:after="160"/>
      </w:pPr>
      <w:r>
        <w:rPr>
          <w:rFonts w:ascii="Arial" w:cs="Arial" w:eastAsia="Arial" w:hAnsi="Arial"/>
          <w:sz w:val="24"/>
          <w:szCs w:val="24"/>
        </w:rPr>
        <w:t xml:space="preserve">Pinch out to any point below the 50% commit threshold and hold. The card locks at that zoom level. Translucency is fixed at the level corresponding to the pinch position. The layer below is readable through the card. The user is simultaneously in two layers.</w:t>
      </w:r>
    </w:p>
    <w:p>
      <w:pPr>
        <w:spacing w:after="160"/>
      </w:pPr>
      <w:r>
        <w:rPr>
          <w:rFonts w:ascii="Arial" w:cs="Arial" w:eastAsia="Arial" w:hAnsi="Arial"/>
          <w:sz w:val="24"/>
          <w:szCs w:val="24"/>
        </w:rPr>
        <w:t xml:space="preserve">This is not a transition state. The user is in a stable hold. They can read the data below for as long as they hold. Release at any time below 50% and the card springs back to the current layer with the standard spring return physics.</w:t>
      </w:r>
    </w:p>
    <w:p>
      <w:pPr>
        <w:spacing w:after="160"/>
      </w:pPr>
      <w:r>
        <w:rPr>
          <w:rFonts w:ascii="Arial" w:cs="Arial" w:eastAsia="Arial" w:hAnsi="Arial"/>
          <w:sz w:val="24"/>
          <w:szCs w:val="24"/>
        </w:rPr>
        <w:t xml:space="preserve">The hold state has no timeout. The app does not auto-complete the transition. The user is in control at all times.</w:t>
      </w:r>
    </w:p>
    <w:p>
      <w:pPr>
        <w:pStyle w:val="Heading2"/>
      </w:pPr>
      <w:r>
        <w:rPr>
          <w:rFonts w:ascii="Arial" w:cs="Arial" w:eastAsia="Arial" w:hAnsi="Arial"/>
          <w:b/>
          <w:bCs/>
          <w:sz w:val="28"/>
          <w:szCs w:val="28"/>
        </w:rPr>
        <w:t xml:space="preserve">4.2 Micro-Push — Full Clarity</w:t>
      </w:r>
    </w:p>
    <w:p>
      <w:pPr>
        <w:spacing w:after="160"/>
      </w:pPr>
      <w:r>
        <w:rPr>
          <w:rFonts w:ascii="Arial" w:cs="Arial" w:eastAsia="Arial" w:hAnsi="Arial"/>
          <w:sz w:val="24"/>
          <w:szCs w:val="24"/>
        </w:rPr>
        <w:t xml:space="preserve">While holding at any point below the 50% threshold, a small additional outward pressure — not enough to cross the commit threshold — causes the translucency to fully evaporate. The layer below snaps to full opacity and full clarity for as long as the micro-push is maintained.</w:t>
      </w:r>
    </w:p>
    <w:p>
      <w:pPr>
        <w:spacing w:after="160"/>
      </w:pPr>
      <w:r>
        <w:rPr>
          <w:rFonts w:ascii="Arial" w:cs="Arial" w:eastAsia="Arial" w:hAnsi="Arial"/>
          <w:sz w:val="24"/>
          <w:szCs w:val="24"/>
        </w:rPr>
        <w:t xml:space="preserve">Release the micro-push and translucency returns to the level corresponding to the hold position. Release the hold entirely and the card springs back to the current layer.</w:t>
      </w:r>
    </w:p>
    <w:p>
      <w:pPr>
        <w:spacing w:after="160"/>
      </w:pPr>
      <w:r>
        <w:rPr>
          <w:rFonts w:ascii="Arial" w:cs="Arial" w:eastAsia="Arial" w:hAnsi="Arial"/>
          <w:sz w:val="24"/>
          <w:szCs w:val="24"/>
        </w:rPr>
        <w:t xml:space="preserve">The micro-push must be sensitive enough to feel intentional but not so sensitive that it triggers accidentally. Implementation must tune this threshold carefully for one-handed and gloved operation.</w:t>
      </w:r>
    </w:p>
    <w:p>
      <w:pPr>
        <w:pStyle w:val="Heading2"/>
      </w:pPr>
      <w:r>
        <w:rPr>
          <w:rFonts w:ascii="Arial" w:cs="Arial" w:eastAsia="Arial" w:hAnsi="Arial"/>
          <w:b/>
          <w:bCs/>
          <w:sz w:val="28"/>
          <w:szCs w:val="28"/>
        </w:rPr>
        <w:t xml:space="preserve">4.3 Physical Analogy</w:t>
      </w:r>
    </w:p>
    <w:p>
      <w:pPr>
        <w:spacing w:after="160"/>
      </w:pPr>
      <w:r>
        <w:rPr>
          <w:rFonts w:ascii="Arial" w:cs="Arial" w:eastAsia="Arial" w:hAnsi="Arial"/>
          <w:sz w:val="24"/>
          <w:szCs w:val="24"/>
        </w:rPr>
        <w:t xml:space="preserve">Zoom and hold is pressing your face toward a frosted glass window. You can see shapes and movement through it. Micro-push is pressing your nose against the glass — the frost evaporates at the contact point and you see clearly. Pull back slightly and the frost returns.</w:t>
      </w:r>
    </w:p>
    <w:p>
      <w:pPr>
        <w:spacing w:after="160"/>
        <w:ind w:left="720"/>
      </w:pPr>
      <w:r>
        <w:rPr>
          <w:rFonts w:ascii="Arial" w:cs="Arial" w:eastAsia="Arial" w:hAnsi="Arial"/>
          <w:i/>
          <w:iCs/>
          <w:color w:val="444444"/>
          <w:sz w:val="22"/>
          <w:szCs w:val="22"/>
        </w:rPr>
        <w:t xml:space="preserve">The Eyepiece. You lean in, you see clearly, you pull back.</w:t>
      </w:r>
    </w:p>
    <w:p>
      <w:pPr>
        <w:spacing w:after="160"/>
      </w:pPr>
      <w:r>
        <w:rPr>
          <w:rFonts w:ascii="Arial" w:cs="Arial" w:eastAsia="Arial" w:hAnsi="Arial"/>
          <w:sz w:val="24"/>
          <w:szCs w:val="24"/>
        </w:rPr>
        <w:t xml:space="preserve">This analogy is intentional. The astronomy audience knows exactly what the eyepiece gesture means. The muscle memory of leaning in to focus is already in their hands.</w:t>
      </w:r>
    </w:p>
    <w:p>
      <w:pPr>
        <w:pStyle w:val="Heading2"/>
      </w:pPr>
      <w:r>
        <w:rPr>
          <w:rFonts w:ascii="Arial" w:cs="Arial" w:eastAsia="Arial" w:hAnsi="Arial"/>
          <w:b/>
          <w:bCs/>
          <w:sz w:val="28"/>
          <w:szCs w:val="28"/>
        </w:rPr>
        <w:t xml:space="preserve">4.4 Interaction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Gesture</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Effect</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Commits to next layer?</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Pinch out, release before 50%</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Spring back to current layer</w:t>
            </w:r>
          </w:p>
        </w:tc>
        <w:tc>
          <w:tcPr>
            <w:tcW w:type="dxa" w:w="2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No</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Pinch out past 50%, release</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Auto-complete descent, balloon settle</w:t>
            </w:r>
          </w:p>
        </w:tc>
        <w:tc>
          <w:tcPr>
            <w:tcW w:type="dxa" w:w="2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Yes</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Pinch out below 50%, hold</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Card locked at zoom level. Lower layer readable through translucency.</w:t>
            </w:r>
          </w:p>
        </w:tc>
        <w:tc>
          <w:tcPr>
            <w:tcW w:type="dxa" w:w="2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No</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Pinch out below 50%, hold, micro-push</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Translucency evaporates. Lower layer fully visible. Release micro-push restores translucency. Release hold springs back.</w:t>
            </w:r>
          </w:p>
        </w:tc>
        <w:tc>
          <w:tcPr>
            <w:tcW w:type="dxa" w:w="2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No</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Pinch in below 50% (ascending), hold</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Same behavior in reverse. Layer above readable through translucency.</w:t>
            </w:r>
          </w:p>
        </w:tc>
        <w:tc>
          <w:tcPr>
            <w:tcW w:type="dxa" w:w="2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No</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Pinch in past 50%, release</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Auto-complete ascent, deflation settle</w:t>
            </w:r>
          </w:p>
        </w:tc>
        <w:tc>
          <w:tcPr>
            <w:tcW w:type="dxa" w:w="2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Yes</w:t>
            </w:r>
          </w:p>
        </w:tc>
      </w:tr>
    </w:tbl>
    <w:p>
      <w:r>
        <w:t xml:space="preserve"/>
      </w:r>
    </w:p>
    <w:p>
      <w:pPr>
        <w:pStyle w:val="Heading2"/>
      </w:pPr>
      <w:r>
        <w:rPr>
          <w:rFonts w:ascii="Arial" w:cs="Arial" w:eastAsia="Arial" w:hAnsi="Arial"/>
          <w:b/>
          <w:bCs/>
          <w:sz w:val="28"/>
          <w:szCs w:val="28"/>
        </w:rPr>
        <w:t xml:space="preserve">4.5 Design Rationale</w:t>
      </w:r>
    </w:p>
    <w:p>
      <w:pPr>
        <w:spacing w:after="160"/>
      </w:pPr>
      <w:r>
        <w:rPr>
          <w:rFonts w:ascii="Arial" w:cs="Arial" w:eastAsia="Arial" w:hAnsi="Arial"/>
          <w:sz w:val="24"/>
          <w:szCs w:val="24"/>
        </w:rPr>
        <w:t xml:space="preserve">The Eyepiece solves a real user problem. An astronomer mid-session may want to check what’s in Layer 3 — a specific seeing trend, a dew convergence time — without losing their place in Layer 2. The Eyepiece lets them peek, read, and return without a navigation event.</w:t>
      </w:r>
    </w:p>
    <w:p>
      <w:pPr>
        <w:spacing w:after="160"/>
      </w:pPr>
      <w:r>
        <w:rPr>
          <w:rFonts w:ascii="Arial" w:cs="Arial" w:eastAsia="Arial" w:hAnsi="Arial"/>
          <w:sz w:val="24"/>
          <w:szCs w:val="24"/>
        </w:rPr>
        <w:t xml:space="preserve">This is particularly valuable for gloved one-handed operation in the dark. The hold state requires no precision. Any sustained pinch below threshold activates it. The micro-push requires a small deliberate addition of pressure, which is achievable even with gloves.</w:t>
      </w:r>
    </w:p>
    <w:p>
      <w:pPr>
        <w:spacing w:after="160"/>
      </w:pPr>
      <w:r>
        <w:rPr>
          <w:rFonts w:ascii="Arial" w:cs="Arial" w:eastAsia="Arial" w:hAnsi="Arial"/>
          <w:sz w:val="24"/>
          <w:szCs w:val="24"/>
        </w:rPr>
        <w:t xml:space="preserve">The Eyepiece is a free feature — it emerges naturally from the threshold-based pinch model without additional engineering complexity. It must not be engineered away as an edge case. It is a first-class interaction mode.</w:t>
      </w:r>
    </w:p>
    <w:p>
      <w:r>
        <w:t xml:space="preserve"/>
      </w:r>
    </w:p>
    <w:p>
      <w:pPr>
        <w:pBdr>
          <w:bottom w:val="single" w:color="1A3A5C" w:sz="6" w:space="1"/>
        </w:pBdr>
      </w:pPr>
      <w:r>
        <w:t xml:space="preserve"/>
      </w:r>
    </w:p>
    <w:p>
      <w:r>
        <w:t xml:space="preserve"/>
      </w:r>
    </w:p>
    <w:p>
      <w:pPr>
        <w:pStyle w:val="Heading1"/>
      </w:pPr>
      <w:r>
        <w:rPr>
          <w:rFonts w:ascii="Arial" w:cs="Arial" w:eastAsia="Arial" w:hAnsi="Arial"/>
          <w:b/>
          <w:bCs/>
          <w:sz w:val="32"/>
          <w:szCs w:val="32"/>
        </w:rPr>
        <w:t xml:space="preserve">5. Platform Applicability</w:t>
      </w:r>
    </w:p>
    <w:p>
      <w:pPr>
        <w:spacing w:after="160"/>
      </w:pPr>
      <w:r>
        <w:rPr>
          <w:rFonts w:ascii="Arial" w:cs="Arial" w:eastAsia="Arial" w:hAnsi="Arial"/>
          <w:sz w:val="24"/>
          <w:szCs w:val="24"/>
        </w:rPr>
        <w:t xml:space="preserve">This transition model is specified for mobile first. The same paradigm applies across platforms with input-appropriate adaptations: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Primary Input</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Eyepiece Equivalent</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Mobile (@Mosphere)</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Pinch / tap</w:t>
            </w:r>
          </w:p>
        </w:tc>
        <w:tc>
          <w:tcPr>
            <w:tcW w:type="dxa" w:w="2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Zoom-hold-micro-push as specified</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Web (cds.dda.com)</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Scroll wheel / trackpad pinch</w:t>
            </w:r>
          </w:p>
        </w:tc>
        <w:tc>
          <w:tcPr>
            <w:tcW w:type="dxa" w:w="2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Scroll to threshold, hold cursor, subtle additional scroll for full clarity</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Draco Cloud (remote telescope control)</w:t>
            </w:r>
          </w:p>
        </w:tc>
        <w:tc>
          <w:tcPr>
            <w:tcW w:type="dxa" w:w="3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Mouse / trackpad</w:t>
            </w:r>
          </w:p>
        </w:tc>
        <w:tc>
          <w:tcPr>
            <w:tcW w:type="dxa" w:w="2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000000"/>
                <w:sz w:val="22"/>
                <w:szCs w:val="22"/>
              </w:rPr>
              <w:t xml:space="preserve">Same scroll wheel model. Hold at threshold reveals telescope data layer below. Micro-push is additional scroll tick while holding.</w:t>
            </w:r>
          </w:p>
        </w:tc>
      </w:tr>
    </w:tbl>
    <w:p>
      <w:r>
        <w:t xml:space="preserve"/>
      </w:r>
    </w:p>
    <w:p>
      <w:pPr>
        <w:spacing w:after="160"/>
      </w:pPr>
      <w:r>
        <w:rPr>
          <w:rFonts w:ascii="Arial" w:cs="Arial" w:eastAsia="Arial" w:hAnsi="Arial"/>
          <w:sz w:val="24"/>
          <w:szCs w:val="24"/>
        </w:rPr>
        <w:t xml:space="preserve">The physics model — 25% translucency onset, 50% commit threshold, balloon overshoot on descent, deflation on ascent, spring return below threshold — is platform-invariant. Only the input mechanism changes.</w:t>
      </w:r>
    </w:p>
    <w:p>
      <w:r>
        <w:t xml:space="preserve"/>
      </w:r>
    </w:p>
    <w:p>
      <w:pPr>
        <w:pBdr>
          <w:bottom w:val="single" w:color="1A3A5C" w:sz="6" w:space="1"/>
        </w:pBdr>
      </w:pPr>
      <w:r>
        <w:t xml:space="preserve"/>
      </w:r>
    </w:p>
    <w:p>
      <w:r>
        <w:t xml:space="preserve"/>
      </w:r>
    </w:p>
    <w:p>
      <w:pPr>
        <w:spacing w:after="80"/>
      </w:pPr>
      <w:r>
        <w:rPr>
          <w:rFonts w:ascii="Arial" w:cs="Arial" w:eastAsia="Arial" w:hAnsi="Arial"/>
          <w:i/>
          <w:iCs/>
          <w:color w:val="888888"/>
          <w:sz w:val="18"/>
          <w:szCs w:val="18"/>
        </w:rPr>
        <w:t xml:space="preserve">CONFIDENTIAL — Internal Specification</w:t>
      </w:r>
    </w:p>
    <w:p>
      <w:r>
        <w:rPr>
          <w:rFonts w:ascii="Arial" w:cs="Arial" w:eastAsia="Arial" w:hAnsi="Arial"/>
          <w:i/>
          <w:iCs/>
          <w:color w:val="888888"/>
          <w:sz w:val="18"/>
          <w:szCs w:val="18"/>
        </w:rPr>
        <w:t xml:space="preserve">Dark Dragons Astronomy LLC — February 2026 — Origination date on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6A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2026-02-27T14:08:36.418Z</dcterms:created>
  <dcterms:modified xsi:type="dcterms:W3CDTF">2026-02-27T14:08:36.419Z</dcterms:modified>
</cp:coreProperties>
</file>

<file path=docProps/custom.xml><?xml version="1.0" encoding="utf-8"?>
<Properties xmlns="http://schemas.openxmlformats.org/officeDocument/2006/custom-properties" xmlns:vt="http://schemas.openxmlformats.org/officeDocument/2006/docPropsVTypes"/>
</file>