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ADC50" w14:textId="77777777" w:rsidR="00BC470F" w:rsidRPr="00BC470F" w:rsidRDefault="00BC470F" w:rsidP="00BC470F">
      <w:pPr>
        <w:rPr>
          <w:b/>
          <w:bCs/>
        </w:rPr>
      </w:pPr>
      <w:r w:rsidRPr="00BC470F">
        <w:rPr>
          <w:b/>
          <w:bCs/>
        </w:rPr>
        <w:t>Home IoT DNS Analysis — Project Summary</w:t>
      </w:r>
    </w:p>
    <w:p w14:paraId="7C32B63C" w14:textId="77777777" w:rsidR="00BC470F" w:rsidRPr="00BC470F" w:rsidRDefault="00BC470F" w:rsidP="00BC470F">
      <w:r w:rsidRPr="00BC470F">
        <w:rPr>
          <w:b/>
          <w:bCs/>
        </w:rPr>
        <w:t>Data Analytics Bootcamp Capstone</w:t>
      </w:r>
      <w:r w:rsidRPr="00BC470F">
        <w:t xml:space="preserve"> | March–April 2026</w:t>
      </w:r>
    </w:p>
    <w:p w14:paraId="40861F72" w14:textId="77777777" w:rsidR="00BC470F" w:rsidRPr="00BC470F" w:rsidRDefault="00BC470F" w:rsidP="00BC470F">
      <w:r w:rsidRPr="00BC470F">
        <w:pict w14:anchorId="153F5ACB">
          <v:rect id="_x0000_i1031" style="width:0;height:1.5pt" o:hralign="center" o:hrstd="t" o:hr="t" fillcolor="#a0a0a0" stroked="f"/>
        </w:pict>
      </w:r>
    </w:p>
    <w:p w14:paraId="747137CB" w14:textId="77777777" w:rsidR="00BC470F" w:rsidRPr="00BC470F" w:rsidRDefault="00BC470F" w:rsidP="00BC470F">
      <w:pPr>
        <w:rPr>
          <w:b/>
          <w:bCs/>
        </w:rPr>
      </w:pPr>
      <w:r w:rsidRPr="00BC470F">
        <w:rPr>
          <w:b/>
          <w:bCs/>
        </w:rPr>
        <w:t>Overview</w:t>
      </w:r>
    </w:p>
    <w:p w14:paraId="36766FB7" w14:textId="77777777" w:rsidR="00BC470F" w:rsidRPr="00BC470F" w:rsidRDefault="00BC470F" w:rsidP="00BC470F">
      <w:r w:rsidRPr="00BC470F">
        <w:t>This capstone project analyzes DNS query logs from 21 IoT devices on a home network across an 8-week period (March 1 – April 26, 2026). The project covers the full data pipeline — from self-hosted infrastructure and automated log ingestion through statistical analysis and interactive visualization — demonstrating that passive DNS monitoring can surface device behaviors invisible to conventional network tools.</w:t>
      </w:r>
    </w:p>
    <w:p w14:paraId="78A89AD1" w14:textId="77777777" w:rsidR="00BC470F" w:rsidRPr="00BC470F" w:rsidRDefault="00BC470F" w:rsidP="00BC470F">
      <w:pPr>
        <w:rPr>
          <w:b/>
          <w:bCs/>
        </w:rPr>
      </w:pPr>
      <w:r w:rsidRPr="00BC470F">
        <w:rPr>
          <w:b/>
          <w:bCs/>
        </w:rPr>
        <w:t>Infrastructure</w:t>
      </w:r>
    </w:p>
    <w:p w14:paraId="77482DDF" w14:textId="77777777" w:rsidR="00BC470F" w:rsidRPr="00BC470F" w:rsidRDefault="00BC470F" w:rsidP="00BC470F">
      <w:r w:rsidRPr="00BC470F">
        <w:t xml:space="preserve">All data collection was built and managed from scratch on self-hosted hardware. A Pi-hole DNS/DHCP server was configured to forward query logs to a PostgreSQL database on an hourly, gap-tolerant schedule via a custom bash script. A </w:t>
      </w:r>
      <w:proofErr w:type="spellStart"/>
      <w:r w:rsidRPr="00BC470F">
        <w:t>Proxmox</w:t>
      </w:r>
      <w:proofErr w:type="spellEnd"/>
      <w:r w:rsidRPr="00BC470F">
        <w:t xml:space="preserve"> host running containerized </w:t>
      </w:r>
      <w:proofErr w:type="gramStart"/>
      <w:r w:rsidRPr="00BC470F">
        <w:t>services</w:t>
      </w:r>
      <w:proofErr w:type="gramEnd"/>
      <w:r w:rsidRPr="00BC470F">
        <w:t xml:space="preserve"> supported the full stack. All 21 IoT devices were manually identified and labeled through network investigation. The analytical layer used Python (Pandas, Seaborn, Plotly, Folium, SciPy) and SQL, with </w:t>
      </w:r>
      <w:proofErr w:type="spellStart"/>
      <w:r w:rsidRPr="00BC470F">
        <w:t>MaxMind</w:t>
      </w:r>
      <w:proofErr w:type="spellEnd"/>
      <w:r w:rsidRPr="00BC470F">
        <w:t xml:space="preserve"> GeoLite2 for IP geolocation and Tableau for an interactive dashboard.</w:t>
      </w:r>
    </w:p>
    <w:p w14:paraId="2714BE39" w14:textId="77777777" w:rsidR="00BC470F" w:rsidRPr="00BC470F" w:rsidRDefault="00BC470F" w:rsidP="00BC470F">
      <w:pPr>
        <w:rPr>
          <w:b/>
          <w:bCs/>
        </w:rPr>
      </w:pPr>
      <w:r w:rsidRPr="00BC470F">
        <w:rPr>
          <w:b/>
          <w:bCs/>
        </w:rPr>
        <w:t>Methodology</w:t>
      </w:r>
    </w:p>
    <w:p w14:paraId="61D24E12" w14:textId="77777777" w:rsidR="00BC470F" w:rsidRPr="00BC470F" w:rsidRDefault="00BC470F" w:rsidP="00BC470F">
      <w:r w:rsidRPr="00BC470F">
        <w:t>Device query behavior was aggregated by hour in PostgreSQL and exported to Python for z-score analysis, flagging hourly records where activity deviated three or more standard deviations from each device's individual baseline. SQL session analysis was used to reconstruct retry behavior from raw timestamps. IP geolocation mapped traffic destinations globally. A chi-square test on 3D printer query data confirmed that identified spikes represented statistically significant anomalies rather than random variation (χ² = 52,863, p &lt; 0.001).</w:t>
      </w:r>
    </w:p>
    <w:p w14:paraId="5C09FFAC" w14:textId="77777777" w:rsidR="00BC470F" w:rsidRPr="00BC470F" w:rsidRDefault="00BC470F" w:rsidP="00BC470F">
      <w:pPr>
        <w:rPr>
          <w:b/>
          <w:bCs/>
        </w:rPr>
      </w:pPr>
      <w:r w:rsidRPr="00BC470F">
        <w:rPr>
          <w:b/>
          <w:bCs/>
        </w:rPr>
        <w:t>Key Findings</w:t>
      </w:r>
    </w:p>
    <w:p w14:paraId="06A26259" w14:textId="122DEB64" w:rsidR="00BC470F" w:rsidRPr="00BC470F" w:rsidRDefault="00BC470F" w:rsidP="00BC470F">
      <w:r w:rsidRPr="00BC470F">
        <w:rPr>
          <w:b/>
          <w:bCs/>
        </w:rPr>
        <w:t>3D Printer — Most Significant Anomaly.</w:t>
      </w:r>
      <w:r w:rsidRPr="00BC470F">
        <w:t xml:space="preserve"> On April 6th, the printer issued 1,942 queries to api.voxelshare.com (</w:t>
      </w:r>
      <w:r>
        <w:t xml:space="preserve">one of </w:t>
      </w:r>
      <w:proofErr w:type="spellStart"/>
      <w:r w:rsidRPr="00BC470F">
        <w:t>Flashforge's</w:t>
      </w:r>
      <w:proofErr w:type="spellEnd"/>
      <w:r w:rsidRPr="00BC470F">
        <w:t xml:space="preserve"> cloud platform</w:t>
      </w:r>
      <w:r>
        <w:t xml:space="preserve"> sites</w:t>
      </w:r>
      <w:r w:rsidRPr="00BC470F">
        <w:t xml:space="preserve">) with no user-initiated activity. SQL session analysis revealed a clear behavioral progression: an initial 19-query burst, a 26-minute silence, a brief </w:t>
      </w:r>
      <w:proofErr w:type="gramStart"/>
      <w:r w:rsidRPr="00BC470F">
        <w:t>retry</w:t>
      </w:r>
      <w:proofErr w:type="gramEnd"/>
      <w:r w:rsidRPr="00BC470F">
        <w:t xml:space="preserve">, a 105-minute backoff, escalating frequency, and finally a full aggressive retry loop sustaining roughly one query every 8–11 seconds for over three hours before ceasing entirely. The printer's routine traffic also exposed undisclosed </w:t>
      </w:r>
      <w:r w:rsidRPr="00BC470F">
        <w:lastRenderedPageBreak/>
        <w:t xml:space="preserve">communication with Chinese cloud services (Alibaba, NetEase, Tencent, </w:t>
      </w:r>
      <w:proofErr w:type="spellStart"/>
      <w:r w:rsidRPr="00BC470F">
        <w:t>Qiniu</w:t>
      </w:r>
      <w:proofErr w:type="spellEnd"/>
      <w:r w:rsidRPr="00BC470F">
        <w:t>) — information buried in fine print and invisible without DNS visibility.</w:t>
      </w:r>
    </w:p>
    <w:p w14:paraId="1EA3A349" w14:textId="77777777" w:rsidR="00BC470F" w:rsidRPr="00BC470F" w:rsidRDefault="00BC470F" w:rsidP="00BC470F">
      <w:r w:rsidRPr="00BC470F">
        <w:rPr>
          <w:b/>
          <w:bCs/>
        </w:rPr>
        <w:t>Smart Plug — Defunct Cloud Service Loop.</w:t>
      </w:r>
      <w:r w:rsidRPr="00BC470F">
        <w:t xml:space="preserve"> After being reconnected on April 23rd, a Belkin </w:t>
      </w:r>
      <w:proofErr w:type="spellStart"/>
      <w:r w:rsidRPr="00BC470F">
        <w:t>Wemo</w:t>
      </w:r>
      <w:proofErr w:type="spellEnd"/>
      <w:r w:rsidRPr="00BC470F">
        <w:t xml:space="preserve"> smart plug began issuing approximately 718 queries per hour (~17,232/day), up from a prior baseline of 2–10 queries per day. The root cause was identified externally: Belkin discontinued </w:t>
      </w:r>
      <w:proofErr w:type="spellStart"/>
      <w:r w:rsidRPr="00BC470F">
        <w:t>Wemo</w:t>
      </w:r>
      <w:proofErr w:type="spellEnd"/>
      <w:r w:rsidRPr="00BC470F">
        <w:t xml:space="preserve"> cloud services on January 31, 2026. The device was otherwise fully functional and controllable via the Alexa app — nothing indicated a problem without DNS monitoring. The target domain was blocked at the DNS server level as a mitigation.</w:t>
      </w:r>
    </w:p>
    <w:p w14:paraId="06BBEEC8" w14:textId="77777777" w:rsidR="00BC470F" w:rsidRPr="00BC470F" w:rsidRDefault="00BC470F" w:rsidP="00BC470F">
      <w:r w:rsidRPr="00BC470F">
        <w:rPr>
          <w:b/>
          <w:bCs/>
        </w:rPr>
        <w:t>Digital Photo Frame — Baseline Sensitivity Artifact.</w:t>
      </w:r>
      <w:r w:rsidRPr="00BC470F">
        <w:t xml:space="preserve"> The photo frame ranked highest in flagged anomaly hours due to its extremely tight baseline (~20 queries/hour), where modest spikes to ~35 triggered z-scores above the threshold. Adjusting the sensitivity threshold reduced flagged hours from 119 to 17, illustrating the importance of device-level context in anomaly detection and the need for tunable thresholds in a production detection system.</w:t>
      </w:r>
    </w:p>
    <w:p w14:paraId="72C4182A" w14:textId="77777777" w:rsidR="00BC470F" w:rsidRPr="00BC470F" w:rsidRDefault="00BC470F" w:rsidP="00BC470F">
      <w:pPr>
        <w:rPr>
          <w:b/>
          <w:bCs/>
        </w:rPr>
      </w:pPr>
      <w:r w:rsidRPr="00BC470F">
        <w:rPr>
          <w:b/>
          <w:bCs/>
        </w:rPr>
        <w:t>Conclusions</w:t>
      </w:r>
    </w:p>
    <w:p w14:paraId="67DFF539" w14:textId="77777777" w:rsidR="00BC470F" w:rsidRPr="00BC470F" w:rsidRDefault="00BC470F" w:rsidP="00BC470F">
      <w:r w:rsidRPr="00BC470F">
        <w:t>Passive DNS log analysis surfaced behavioral anomalies — including a probable cloud service failure, undisclosed foreign data transmission, and a defunct-endpoint retry loop — that were entirely invisible through normal device interfaces. The project validates the hypothesis that residential DNS logs can serve as a lightweight, resource-efficient foundation for IoT behavioral monitoring, and demonstrates the value of self-hosted infrastructure in enabling that visibility.</w:t>
      </w:r>
    </w:p>
    <w:p w14:paraId="1BB86CA7" w14:textId="77777777" w:rsidR="00CC4140" w:rsidRDefault="00CC4140"/>
    <w:sectPr w:rsidR="00CC4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70F"/>
    <w:rsid w:val="003A438A"/>
    <w:rsid w:val="00B2533C"/>
    <w:rsid w:val="00BC470F"/>
    <w:rsid w:val="00CC4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A5E24"/>
  <w15:chartTrackingRefBased/>
  <w15:docId w15:val="{94E67F86-F0EC-49FF-BBE5-79F94908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70F"/>
    <w:rPr>
      <w:rFonts w:eastAsiaTheme="majorEastAsia" w:cstheme="majorBidi"/>
      <w:color w:val="272727" w:themeColor="text1" w:themeTint="D8"/>
    </w:rPr>
  </w:style>
  <w:style w:type="paragraph" w:styleId="Title">
    <w:name w:val="Title"/>
    <w:basedOn w:val="Normal"/>
    <w:next w:val="Normal"/>
    <w:link w:val="TitleChar"/>
    <w:uiPriority w:val="10"/>
    <w:qFormat/>
    <w:rsid w:val="00BC4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70F"/>
    <w:pPr>
      <w:spacing w:before="160"/>
      <w:jc w:val="center"/>
    </w:pPr>
    <w:rPr>
      <w:i/>
      <w:iCs/>
      <w:color w:val="404040" w:themeColor="text1" w:themeTint="BF"/>
    </w:rPr>
  </w:style>
  <w:style w:type="character" w:customStyle="1" w:styleId="QuoteChar">
    <w:name w:val="Quote Char"/>
    <w:basedOn w:val="DefaultParagraphFont"/>
    <w:link w:val="Quote"/>
    <w:uiPriority w:val="29"/>
    <w:rsid w:val="00BC470F"/>
    <w:rPr>
      <w:i/>
      <w:iCs/>
      <w:color w:val="404040" w:themeColor="text1" w:themeTint="BF"/>
    </w:rPr>
  </w:style>
  <w:style w:type="paragraph" w:styleId="ListParagraph">
    <w:name w:val="List Paragraph"/>
    <w:basedOn w:val="Normal"/>
    <w:uiPriority w:val="34"/>
    <w:qFormat/>
    <w:rsid w:val="00BC470F"/>
    <w:pPr>
      <w:ind w:left="720"/>
      <w:contextualSpacing/>
    </w:pPr>
  </w:style>
  <w:style w:type="character" w:styleId="IntenseEmphasis">
    <w:name w:val="Intense Emphasis"/>
    <w:basedOn w:val="DefaultParagraphFont"/>
    <w:uiPriority w:val="21"/>
    <w:qFormat/>
    <w:rsid w:val="00BC470F"/>
    <w:rPr>
      <w:i/>
      <w:iCs/>
      <w:color w:val="0F4761" w:themeColor="accent1" w:themeShade="BF"/>
    </w:rPr>
  </w:style>
  <w:style w:type="paragraph" w:styleId="IntenseQuote">
    <w:name w:val="Intense Quote"/>
    <w:basedOn w:val="Normal"/>
    <w:next w:val="Normal"/>
    <w:link w:val="IntenseQuoteChar"/>
    <w:uiPriority w:val="30"/>
    <w:qFormat/>
    <w:rsid w:val="00BC4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70F"/>
    <w:rPr>
      <w:i/>
      <w:iCs/>
      <w:color w:val="0F4761" w:themeColor="accent1" w:themeShade="BF"/>
    </w:rPr>
  </w:style>
  <w:style w:type="character" w:styleId="IntenseReference">
    <w:name w:val="Intense Reference"/>
    <w:basedOn w:val="DefaultParagraphFont"/>
    <w:uiPriority w:val="32"/>
    <w:qFormat/>
    <w:rsid w:val="00BC4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540</Words>
  <Characters>3266</Characters>
  <Application>Microsoft Office Word</Application>
  <DocSecurity>0</DocSecurity>
  <Lines>53</Lines>
  <Paragraphs>16</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Kimbrel</dc:creator>
  <cp:keywords/>
  <dc:description/>
  <cp:lastModifiedBy>Jeff Kimbrel</cp:lastModifiedBy>
  <cp:revision>1</cp:revision>
  <dcterms:created xsi:type="dcterms:W3CDTF">2026-05-27T17:48:00Z</dcterms:created>
  <dcterms:modified xsi:type="dcterms:W3CDTF">2026-05-27T17:53:00Z</dcterms:modified>
</cp:coreProperties>
</file>