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Compliance checklist</w:t>
      </w:r>
    </w:p>
    <w:p>
      <w:pPr>
        <w:spacing w:before="0" w:after="0" w:line="276"/>
        <w:ind w:right="0" w:left="0" w:firstLine="0"/>
        <w:jc w:val="left"/>
        <w:rPr>
          <w:rFonts w:ascii="Google Sans" w:hAnsi="Google Sans" w:cs="Google Sans" w:eastAsia="Google Sans"/>
          <w:color w:val="auto"/>
          <w:spacing w:val="0"/>
          <w:position w:val="0"/>
          <w:sz w:val="24"/>
          <w:shd w:fill="auto" w:val="clear"/>
        </w:rPr>
      </w:pPr>
    </w:p>
    <w:p>
      <w:pPr>
        <w:spacing w:before="0" w:after="0" w:line="276"/>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_____ The Federal Energy Regulatory Commission - North American Electric </w:t>
      </w:r>
    </w:p>
    <w:p>
      <w:pPr>
        <w:spacing w:before="0" w:after="0" w:line="24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            Reliability Corporation (FERC-NERC)</w:t>
      </w:r>
    </w:p>
    <w:p>
      <w:pPr>
        <w:spacing w:before="0" w:after="0" w:line="240"/>
        <w:ind w:right="0" w:left="0" w:firstLine="0"/>
        <w:jc w:val="left"/>
        <w:rPr>
          <w:rFonts w:ascii="Google Sans" w:hAnsi="Google Sans" w:cs="Google Sans" w:eastAsia="Google Sans"/>
          <w:b/>
          <w:color w:val="auto"/>
          <w:spacing w:val="0"/>
          <w:position w:val="0"/>
          <w:sz w:val="24"/>
          <w:shd w:fill="auto" w:val="clear"/>
        </w:rPr>
      </w:pP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w:t>
      </w:r>
      <w:r>
        <w:rPr>
          <w:rFonts w:ascii="Google Sans" w:hAnsi="Google Sans" w:cs="Google Sans" w:eastAsia="Google Sans"/>
          <w:color w:val="auto"/>
          <w:spacing w:val="0"/>
          <w:position w:val="0"/>
          <w:sz w:val="24"/>
          <w:shd w:fill="auto" w:val="clear"/>
        </w:rPr>
        <w:t xml:space="preserve"> </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w:t>
      </w:r>
      <w:r>
        <w:rPr>
          <w:rFonts w:ascii="Google Sans" w:hAnsi="Google Sans" w:cs="Google Sans" w:eastAsia="Google Sans"/>
          <w:b/>
          <w:color w:val="auto"/>
          <w:spacing w:val="0"/>
          <w:position w:val="0"/>
          <w:sz w:val="24"/>
          <w:u w:val="single"/>
          <w:shd w:fill="auto" w:val="clear"/>
        </w:rPr>
        <w:t xml:space="preserve">x</w:t>
      </w:r>
      <w:r>
        <w:rPr>
          <w:rFonts w:ascii="Google Sans" w:hAnsi="Google Sans" w:cs="Google Sans" w:eastAsia="Google Sans"/>
          <w:b/>
          <w:color w:val="auto"/>
          <w:spacing w:val="0"/>
          <w:position w:val="0"/>
          <w:sz w:val="24"/>
          <w:shd w:fill="auto" w:val="clear"/>
        </w:rPr>
        <w:t xml:space="preserve">___ General Data Protection Regulation (GDPR)</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w:t>
      </w:r>
      <w:r>
        <w:rPr>
          <w:rFonts w:ascii="Google Sans" w:hAnsi="Google Sans" w:cs="Google Sans" w:eastAsia="Google Sans"/>
          <w:color w:val="auto"/>
          <w:spacing w:val="0"/>
          <w:position w:val="0"/>
          <w:sz w:val="24"/>
          <w:shd w:fill="auto" w:val="clear"/>
        </w:rPr>
        <w:t xml:space="preserve">Botium Toys Needs to follow GDPR guidelines because they do buisiness in the E.U.</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w:t>
      </w:r>
      <w:r>
        <w:rPr>
          <w:rFonts w:ascii="Google Sans" w:hAnsi="Google Sans" w:cs="Google Sans" w:eastAsia="Google Sans"/>
          <w:b/>
          <w:color w:val="auto"/>
          <w:spacing w:val="0"/>
          <w:position w:val="0"/>
          <w:sz w:val="24"/>
          <w:u w:val="single"/>
          <w:shd w:fill="auto" w:val="clear"/>
        </w:rPr>
        <w:t xml:space="preserve">x</w:t>
      </w:r>
      <w:r>
        <w:rPr>
          <w:rFonts w:ascii="Google Sans" w:hAnsi="Google Sans" w:cs="Google Sans" w:eastAsia="Google Sans"/>
          <w:b/>
          <w:color w:val="auto"/>
          <w:spacing w:val="0"/>
          <w:position w:val="0"/>
          <w:sz w:val="24"/>
          <w:shd w:fill="auto" w:val="clear"/>
        </w:rPr>
        <w:t xml:space="preserve">___ Payment Card Industry Data Security Standard (PCI DSS)</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PCI DSS is an international security standard meant to ensure that organizations storing, accepting, processing, and transmitting credit card information do so in a secure environment. </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w:t>
      </w:r>
      <w:r>
        <w:rPr>
          <w:rFonts w:ascii="Google Sans" w:hAnsi="Google Sans" w:cs="Google Sans" w:eastAsia="Google Sans"/>
          <w:color w:val="auto"/>
          <w:spacing w:val="0"/>
          <w:position w:val="0"/>
          <w:sz w:val="24"/>
          <w:shd w:fill="auto" w:val="clear"/>
        </w:rPr>
        <w:t xml:space="preserve">Botium Toys does sales transactions with credit and debit cards</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_____ The Health Insurance Portability and Accountability Act (HIPAA)</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HIPAA is a federal law established in 1996 to protect U.S. patients' health information. This law prohibits patient information from being shared without their consent. Organizations have a legal obligation to inform patients of a breach. </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w:t>
      </w:r>
      <w:r>
        <w:rPr>
          <w:rFonts w:ascii="Google Sans" w:hAnsi="Google Sans" w:cs="Google Sans" w:eastAsia="Google Sans"/>
          <w:b/>
          <w:color w:val="auto"/>
          <w:spacing w:val="0"/>
          <w:position w:val="0"/>
          <w:sz w:val="24"/>
          <w:u w:val="single"/>
          <w:shd w:fill="auto" w:val="clear"/>
        </w:rPr>
        <w:t xml:space="preserve">x</w:t>
      </w:r>
      <w:r>
        <w:rPr>
          <w:rFonts w:ascii="Google Sans" w:hAnsi="Google Sans" w:cs="Google Sans" w:eastAsia="Google Sans"/>
          <w:b/>
          <w:color w:val="auto"/>
          <w:spacing w:val="0"/>
          <w:position w:val="0"/>
          <w:sz w:val="24"/>
          <w:shd w:fill="auto" w:val="clear"/>
        </w:rPr>
        <w:t xml:space="preserve">___ System and Organizations Controls (SOC type 1, SOC type 2)</w:t>
      </w:r>
    </w:p>
    <w:p>
      <w:pPr>
        <w:spacing w:before="0" w:after="200" w:line="360"/>
        <w:ind w:right="0" w:left="72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w:t>
      </w:r>
      <w:r>
        <w:rPr>
          <w:rFonts w:ascii="Google Sans" w:hAnsi="Google Sans" w:cs="Google Sans" w:eastAsia="Google Sans"/>
          <w:color w:val="auto"/>
          <w:spacing w:val="0"/>
          <w:position w:val="0"/>
          <w:sz w:val="24"/>
          <w:shd w:fill="auto" w:val="clear"/>
        </w:rPr>
        <w:t xml:space="preserve">Botium Toys needs to enforce appropriate user access for internal and external (vendors) personnel to mitigate risk and ensure data saftey.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