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20" w:after="0" w:line="240"/>
        <w:ind w:right="0" w:left="0" w:firstLine="0"/>
        <w:jc w:val="left"/>
        <w:rPr>
          <w:rFonts w:ascii="Proxima Nova" w:hAnsi="Proxima Nova" w:cs="Proxima Nova" w:eastAsia="Proxima Nova"/>
          <w:b/>
          <w:color w:val="4A86E8"/>
          <w:spacing w:val="0"/>
          <w:position w:val="0"/>
          <w:sz w:val="58"/>
          <w:shd w:fill="auto" w:val="clear"/>
        </w:rPr>
      </w:pPr>
      <w:r>
        <w:rPr>
          <w:rFonts w:ascii="Google Sans" w:hAnsi="Google Sans" w:cs="Google Sans" w:eastAsia="Google Sans"/>
          <w:b/>
          <w:color w:val="4A86E8"/>
          <w:spacing w:val="0"/>
          <w:position w:val="0"/>
          <w:sz w:val="58"/>
          <w:shd w:fill="auto" w:val="clear"/>
        </w:rPr>
        <w:t xml:space="preserve">Vulnerability Assessment Report</w:t>
      </w:r>
    </w:p>
    <w:p>
      <w:pPr>
        <w:spacing w:before="0" w:after="0" w:line="240"/>
        <w:ind w:right="0" w:left="0" w:firstLine="0"/>
        <w:jc w:val="left"/>
        <w:rPr>
          <w:rFonts w:ascii="Google Sans" w:hAnsi="Google Sans" w:cs="Google Sans" w:eastAsia="Google Sans"/>
          <w:b/>
          <w:color w:val="666666"/>
          <w:spacing w:val="0"/>
          <w:position w:val="0"/>
          <w:sz w:val="28"/>
          <w:shd w:fill="auto" w:val="clear"/>
        </w:rPr>
      </w:pPr>
      <w:r>
        <w:rPr>
          <w:rFonts w:ascii="Google Sans" w:hAnsi="Google Sans" w:cs="Google Sans" w:eastAsia="Google Sans"/>
          <w:b/>
          <w:color w:val="666666"/>
          <w:spacing w:val="0"/>
          <w:position w:val="0"/>
          <w:sz w:val="28"/>
          <w:shd w:fill="auto" w:val="clear"/>
        </w:rPr>
        <w:t xml:space="preserve">21</w:t>
      </w:r>
      <w:r>
        <w:rPr>
          <w:rFonts w:ascii="Google Sans" w:hAnsi="Google Sans" w:cs="Google Sans" w:eastAsia="Google Sans"/>
          <w:b/>
          <w:color w:val="666666"/>
          <w:spacing w:val="0"/>
          <w:position w:val="0"/>
          <w:sz w:val="28"/>
          <w:shd w:fill="auto" w:val="clear"/>
          <w:vertAlign w:val="superscript"/>
        </w:rPr>
        <w:t xml:space="preserve">st</w:t>
      </w:r>
      <w:r>
        <w:rPr>
          <w:rFonts w:ascii="Google Sans" w:hAnsi="Google Sans" w:cs="Google Sans" w:eastAsia="Google Sans"/>
          <w:b/>
          <w:color w:val="666666"/>
          <w:spacing w:val="0"/>
          <w:position w:val="0"/>
          <w:sz w:val="28"/>
          <w:shd w:fill="auto" w:val="clear"/>
        </w:rPr>
        <w:t xml:space="preserve"> September 2023</w:t>
      </w:r>
    </w:p>
    <w:p>
      <w:pPr>
        <w:spacing w:before="0" w:after="0" w:line="240"/>
        <w:ind w:right="0" w:left="0" w:firstLine="0"/>
        <w:jc w:val="left"/>
        <w:rPr>
          <w:rFonts w:ascii="Google Sans" w:hAnsi="Google Sans" w:cs="Google Sans" w:eastAsia="Google Sans"/>
          <w:b/>
          <w:color w:val="666666"/>
          <w:spacing w:val="0"/>
          <w:position w:val="0"/>
          <w:sz w:val="28"/>
          <w:shd w:fill="auto" w:val="clear"/>
        </w:rPr>
      </w:pP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System Description</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Scope</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The scope of this vulnerability assessment relates to the current access controls of the system. The assessment will cover a period of three months, from June 2023 to August 2023. </w:t>
      </w:r>
      <w:hyperlink xmlns:r="http://schemas.openxmlformats.org/officeDocument/2006/relationships" r:id="docRId0">
        <w:r>
          <w:rPr>
            <w:rFonts w:ascii="Google Sans" w:hAnsi="Google Sans" w:cs="Google Sans" w:eastAsia="Google Sans"/>
            <w:color w:val="1155CC"/>
            <w:spacing w:val="0"/>
            <w:position w:val="0"/>
            <w:sz w:val="22"/>
            <w:u w:val="single"/>
            <w:shd w:fill="auto" w:val="clear"/>
          </w:rPr>
          <w:t xml:space="preserve">NIST SP 800-30 Rev. 1</w:t>
        </w:r>
      </w:hyperlink>
      <w:r>
        <w:rPr>
          <w:rFonts w:ascii="Google Sans" w:hAnsi="Google Sans" w:cs="Google Sans" w:eastAsia="Google Sans"/>
          <w:color w:val="353744"/>
          <w:spacing w:val="0"/>
          <w:position w:val="0"/>
          <w:sz w:val="22"/>
          <w:shd w:fill="auto" w:val="clear"/>
        </w:rPr>
        <w:t xml:space="preserve"> is used to guide the risk analysis of the information system.</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Purpose</w:t>
      </w:r>
    </w:p>
    <w:p>
      <w:pPr>
        <w:spacing w:before="200" w:after="0" w:line="276"/>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The database server is one of our most valuable assets. The server stores all information regarding past, current, and future customers, including Personally Identifiable Information (PII), which our employees regularly request data from. This server has been open to the public ever since the company's launch three years ago. If a data breach occurs as we are now, at the very least we will be found non-compliant with at least the Payment Card Industry Data Security Standard (PCI DSS) and risk heavy fines.</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Risk Assessment</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p>
    <w:tbl>
      <w:tblPr/>
      <w:tblGrid>
        <w:gridCol w:w="1860"/>
        <w:gridCol w:w="3615"/>
        <w:gridCol w:w="1395"/>
        <w:gridCol w:w="1320"/>
        <w:gridCol w:w="1110"/>
      </w:tblGrid>
      <w:tr>
        <w:trPr>
          <w:trHeight w:val="1" w:hRule="atLeast"/>
          <w:jc w:val="left"/>
        </w:trPr>
        <w:tc>
          <w:tcPr>
            <w:tcW w:w="186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rPr>
            </w:pPr>
            <w:r>
              <w:rPr>
                <w:rFonts w:ascii="Google Sans" w:hAnsi="Google Sans" w:cs="Google Sans" w:eastAsia="Google Sans"/>
                <w:b/>
                <w:color w:val="353744"/>
                <w:spacing w:val="0"/>
                <w:position w:val="0"/>
                <w:sz w:val="22"/>
                <w:shd w:fill="auto" w:val="clear"/>
              </w:rPr>
              <w:t xml:space="preserve">Threat source</w:t>
            </w:r>
          </w:p>
        </w:tc>
        <w:tc>
          <w:tcPr>
            <w:tcW w:w="3615"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rPr>
            </w:pPr>
            <w:r>
              <w:rPr>
                <w:rFonts w:ascii="Google Sans" w:hAnsi="Google Sans" w:cs="Google Sans" w:eastAsia="Google Sans"/>
                <w:b/>
                <w:color w:val="353744"/>
                <w:spacing w:val="0"/>
                <w:position w:val="0"/>
                <w:sz w:val="22"/>
                <w:shd w:fill="auto" w:val="clear"/>
              </w:rPr>
              <w:t xml:space="preserve">Threat event</w:t>
            </w:r>
          </w:p>
        </w:tc>
        <w:tc>
          <w:tcPr>
            <w:tcW w:w="1395"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rPr>
            </w:pPr>
            <w:r>
              <w:rPr>
                <w:rFonts w:ascii="Google Sans" w:hAnsi="Google Sans" w:cs="Google Sans" w:eastAsia="Google Sans"/>
                <w:b/>
                <w:color w:val="353744"/>
                <w:spacing w:val="0"/>
                <w:position w:val="0"/>
                <w:sz w:val="22"/>
                <w:shd w:fill="auto" w:val="clear"/>
              </w:rPr>
              <w:t xml:space="preserve">Likelihood</w:t>
            </w:r>
          </w:p>
        </w:tc>
        <w:tc>
          <w:tcPr>
            <w:tcW w:w="132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rPr>
            </w:pPr>
            <w:r>
              <w:rPr>
                <w:rFonts w:ascii="Google Sans" w:hAnsi="Google Sans" w:cs="Google Sans" w:eastAsia="Google Sans"/>
                <w:b/>
                <w:color w:val="353744"/>
                <w:spacing w:val="0"/>
                <w:position w:val="0"/>
                <w:sz w:val="22"/>
                <w:shd w:fill="auto" w:val="clear"/>
              </w:rPr>
              <w:t xml:space="preserve">Severity</w:t>
            </w:r>
          </w:p>
        </w:tc>
        <w:tc>
          <w:tcPr>
            <w:tcW w:w="111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rPr>
            </w:pPr>
            <w:r>
              <w:rPr>
                <w:rFonts w:ascii="Google Sans" w:hAnsi="Google Sans" w:cs="Google Sans" w:eastAsia="Google Sans"/>
                <w:b/>
                <w:color w:val="353744"/>
                <w:spacing w:val="0"/>
                <w:position w:val="0"/>
                <w:sz w:val="22"/>
                <w:shd w:fill="auto" w:val="clear"/>
              </w:rPr>
              <w:t xml:space="preserve">Risk</w:t>
            </w:r>
          </w:p>
        </w:tc>
      </w:tr>
      <w:tr>
        <w:trPr>
          <w:trHeight w:val="300" w:hRule="auto"/>
          <w:jc w:val="left"/>
        </w:trPr>
        <w:tc>
          <w:tcPr>
            <w:tcW w:w="18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Customer</w:t>
            </w:r>
          </w:p>
        </w:tc>
        <w:tc>
          <w:tcPr>
            <w:tcW w:w="36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Alter/Delete critical information</w:t>
            </w:r>
          </w:p>
        </w:tc>
        <w:tc>
          <w:tcPr>
            <w:tcW w:w="1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3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1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18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Hacker</w:t>
            </w:r>
          </w:p>
        </w:tc>
        <w:tc>
          <w:tcPr>
            <w:tcW w:w="36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Obtain Sensitive information via exfiltration</w:t>
            </w:r>
          </w:p>
        </w:tc>
        <w:tc>
          <w:tcPr>
            <w:tcW w:w="1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3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1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w:t>
            </w:r>
          </w:p>
        </w:tc>
      </w:tr>
      <w:tr>
        <w:trPr>
          <w:trHeight w:val="1" w:hRule="atLeast"/>
          <w:jc w:val="left"/>
        </w:trPr>
        <w:tc>
          <w:tcPr>
            <w:tcW w:w="18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Advanced Persistent Threat (APT)</w:t>
            </w:r>
          </w:p>
        </w:tc>
        <w:tc>
          <w:tcPr>
            <w:tcW w:w="36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Disrupt mission-critical operations</w:t>
            </w:r>
          </w:p>
        </w:tc>
        <w:tc>
          <w:tcPr>
            <w:tcW w:w="1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3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1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r>
    </w:tbl>
    <w:p>
      <w:pPr>
        <w:spacing w:before="200" w:after="0" w:line="312"/>
        <w:ind w:right="0" w:left="0" w:firstLine="0"/>
        <w:jc w:val="left"/>
        <w:rPr>
          <w:rFonts w:ascii="Google Sans" w:hAnsi="Google Sans" w:cs="Google Sans" w:eastAsia="Google Sans"/>
          <w:color w:val="353744"/>
          <w:spacing w:val="0"/>
          <w:position w:val="0"/>
          <w:sz w:val="22"/>
          <w:shd w:fill="auto" w:val="clear"/>
        </w:rPr>
      </w:pPr>
    </w:p>
    <w:p>
      <w:pPr>
        <w:spacing w:before="480" w:after="0" w:line="240"/>
        <w:ind w:right="0" w:left="0" w:firstLine="0"/>
        <w:jc w:val="left"/>
        <w:rPr>
          <w:rFonts w:ascii="Google Sans" w:hAnsi="Google Sans" w:cs="Google Sans" w:eastAsia="Google Sans"/>
          <w:color w:val="353744"/>
          <w:spacing w:val="0"/>
          <w:position w:val="0"/>
          <w:sz w:val="22"/>
          <w:shd w:fill="auto" w:val="clear"/>
        </w:rPr>
      </w:pPr>
      <w:r>
        <w:rPr>
          <w:rFonts w:ascii="Proxima Nova" w:hAnsi="Proxima Nova" w:cs="Proxima Nova" w:eastAsia="Proxima Nova"/>
          <w:b/>
          <w:color w:val="353744"/>
          <w:spacing w:val="0"/>
          <w:position w:val="0"/>
          <w:sz w:val="28"/>
          <w:shd w:fill="auto" w:val="clear"/>
        </w:rPr>
        <w:t xml:space="preserve">Approach</w:t>
        <w:br/>
        <w:br/>
      </w:r>
      <w:r>
        <w:rPr>
          <w:rFonts w:ascii="Google Sans" w:hAnsi="Google Sans" w:cs="Google Sans" w:eastAsia="Google Sans"/>
          <w:color w:val="353744"/>
          <w:spacing w:val="0"/>
          <w:position w:val="0"/>
          <w:sz w:val="22"/>
          <w:shd w:fill="auto" w:val="clear"/>
        </w:rPr>
        <w:t xml:space="preserve">Considering the state of our server, there are three threat sources and multiple events that would impact our business. The first threat source is our customers. They would be able to cause our business to be paralized by altering or deleting critical information needed for day-to-day business operations. The second threat source is the Advanced Persistent Threat (APT). They would be able to compromise the integrity of information in a way that prevents the business from carrying out critical operations. Finally, the third threat source is the hacker. They would be able to obtain sensitive information via exfiltration by installing malicious software on organizational systems to locate and aquire sensitive information.</w:t>
      </w:r>
    </w:p>
    <w:p>
      <w:pPr>
        <w:spacing w:before="480" w:after="0" w:line="240"/>
        <w:ind w:right="0" w:left="0" w:firstLine="0"/>
        <w:jc w:val="left"/>
        <w:rPr>
          <w:rFonts w:ascii="Google Sans" w:hAnsi="Google Sans" w:cs="Google Sans" w:eastAsia="Google Sans"/>
          <w:color w:val="353744"/>
          <w:spacing w:val="0"/>
          <w:position w:val="0"/>
          <w:sz w:val="22"/>
          <w:shd w:fill="auto" w:val="clear"/>
        </w:rPr>
      </w:pPr>
      <w:r>
        <w:rPr>
          <w:rFonts w:ascii="Proxima Nova" w:hAnsi="Proxima Nova" w:cs="Proxima Nova" w:eastAsia="Proxima Nova"/>
          <w:b/>
          <w:color w:val="353744"/>
          <w:spacing w:val="0"/>
          <w:position w:val="0"/>
          <w:sz w:val="28"/>
          <w:shd w:fill="auto" w:val="clear"/>
        </w:rPr>
        <w:t xml:space="preserve">Remediation Strategy</w:t>
        <w:br/>
        <w:br/>
      </w:r>
      <w:r>
        <w:rPr>
          <w:rFonts w:ascii="Google Sans" w:hAnsi="Google Sans" w:cs="Google Sans" w:eastAsia="Google Sans"/>
          <w:color w:val="353744"/>
          <w:spacing w:val="0"/>
          <w:position w:val="0"/>
          <w:sz w:val="22"/>
          <w:shd w:fill="auto" w:val="clear"/>
        </w:rPr>
        <w:t xml:space="preserve">Using the Authentication, Authorization, and Accounting (AAA) framework, ensure that the right user is granted access to the right resources at the right time for the right reasons. Adopting the principle of least privilege will help defend against hackers and customers by not having any one user or employee access to more than is needed. To defend against exfiltration, impliment a public key infrastructure (PKI) with asymmetric encription and digital certificates. Finally, It is highly recommended to ensure secure login credentials by using a hashing algorithm (ideally SHA-256) with salting.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oogle.com/document/d/1pRpdpQMEWskxSkwqEMv8W7A7x8GXQlcn0hEcDzWet3Y/template/preview?usp=sharing&amp;resourcekey=0-3GRRWAd8HryVgof-Jc33y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