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rFonts w:ascii="Calibri" w:cs="Calibri" w:eastAsia="Calibri" w:hAnsi="Calibri"/>
          <w:b/>
          <w:bCs/>
          <w:color w:val="1F4E79"/>
          <w:sz w:val="52"/>
          <w:szCs w:val="52"/>
        </w:rPr>
        <w:t xml:space="preserve">4PREP.AI</w:t>
      </w:r>
    </w:p>
    <w:p>
      <w:pPr>
        <w:spacing w:after="240"/>
        <w:jc w:val="center"/>
      </w:pPr>
      <w:r>
        <w:rPr>
          <w:rFonts w:ascii="Calibri" w:cs="Calibri" w:eastAsia="Calibri" w:hAnsi="Calibri"/>
          <w:color w:val="4A5A6A"/>
          <w:sz w:val="30"/>
          <w:szCs w:val="30"/>
        </w:rPr>
        <w:t xml:space="preserve">Project Proposal &amp; Implementation Plan</w:t>
      </w:r>
    </w:p>
    <w:p>
      <w:pPr>
        <w:spacing w:after="100"/>
        <w:jc w:val="center"/>
      </w:pPr>
      <w:r>
        <w:rPr>
          <w:rFonts w:ascii="Calibri" w:cs="Calibri" w:eastAsia="Calibri" w:hAnsi="Calibri"/>
          <w:b/>
          <w:bCs/>
          <w:color w:val="1F7A3D"/>
          <w:sz w:val="40"/>
          <w:szCs w:val="40"/>
        </w:rPr>
        <w:t xml:space="preserve">GROUND TRUTH</w:t>
      </w:r>
    </w:p>
    <w:p>
      <w:pPr>
        <w:spacing w:after="400"/>
        <w:jc w:val="center"/>
      </w:pPr>
      <w:r>
        <w:rPr>
          <w:rFonts w:ascii="Calibri" w:cs="Calibri" w:eastAsia="Calibri" w:hAnsi="Calibri"/>
          <w:i/>
          <w:iCs/>
          <w:color w:val="4A5A6A"/>
          <w:sz w:val="24"/>
          <w:szCs w:val="24"/>
        </w:rPr>
        <w:t xml:space="preserve">The Verified Data Engine &amp; Grounding Gateway</w:t>
      </w:r>
    </w:p>
    <w:p>
      <w:pPr>
        <w:spacing w:after="60"/>
        <w:jc w:val="center"/>
      </w:pPr>
      <w:r>
        <w:rPr>
          <w:rFonts w:ascii="Calibri" w:cs="Calibri" w:eastAsia="Calibri" w:hAnsi="Calibri"/>
          <w:sz w:val="20"/>
          <w:szCs w:val="20"/>
        </w:rPr>
        <w:t xml:space="preserve">Prepared for: Abdiaziz Abdishukurov, Founder &amp; CEO — 4Prep Academy / 4Prep.ai</w:t>
      </w:r>
    </w:p>
    <w:p>
      <w:pPr>
        <w:spacing w:after="60"/>
        <w:jc w:val="center"/>
      </w:pPr>
      <w:r>
        <w:rPr>
          <w:rFonts w:ascii="Calibri" w:cs="Calibri" w:eastAsia="Calibri" w:hAnsi="Calibri"/>
          <w:color w:val="666666"/>
          <w:sz w:val="20"/>
          <w:szCs w:val="20"/>
        </w:rPr>
        <w:t xml:space="preserve">Source document: 4Prep_AI_Roadmap_Brief.docx (v1.0, July 2026)</w:t>
      </w:r>
    </w:p>
    <w:p>
      <w:pPr>
        <w:spacing w:after="500"/>
        <w:jc w:val="center"/>
      </w:pPr>
      <w:r>
        <w:rPr>
          <w:rFonts w:ascii="Calibri" w:cs="Calibri" w:eastAsia="Calibri" w:hAnsi="Calibri"/>
          <w:color w:val="666666"/>
          <w:sz w:val="20"/>
          <w:szCs w:val="20"/>
        </w:rPr>
        <w:t xml:space="preserve">Date: 22 July 2026</w:t>
      </w:r>
    </w:p>
    <w:tbl>
      <w:tblPr>
        <w:tblW w:type="dxa" w:w="9360"/>
        <w:tblBorders>
          <w:top w:val="single" w:color="E0A800" w:sz="6"/>
          <w:left w:val="single" w:color="E0A800" w:sz="6"/>
          <w:bottom w:val="single" w:color="E0A800" w:sz="6"/>
          <w:right w:val="single" w:color="E0A800" w:sz="6"/>
          <w:insideH w:val="none"/>
          <w:insideV w:val="none"/>
        </w:tblBorders>
      </w:tblPr>
      <w:tblGrid>
        <w:gridCol w:w="9360"/>
      </w:tblGrid>
      <w:tr>
        <w:tc>
          <w:tcPr>
            <w:tcW w:type="dxa" w:w="9360"/>
            <w:shd w:fill="EEF4FB" w:color="auto" w:val="clear"/>
            <w:tcMar>
              <w:top w:type="dxa" w:w="120"/>
              <w:left w:type="dxa" w:w="160"/>
              <w:bottom w:type="dxa" w:w="120"/>
              <w:right w:type="dxa" w:w="160"/>
            </w:tcMar>
          </w:tcPr>
          <w:p>
            <w:pPr>
              <w:spacing w:after="60"/>
            </w:pPr>
            <w:r>
              <w:rPr>
                <w:rFonts w:ascii="Calibri" w:cs="Calibri" w:eastAsia="Calibri" w:hAnsi="Calibri"/>
                <w:b/>
                <w:bCs/>
                <w:sz w:val="20"/>
                <w:szCs w:val="20"/>
              </w:rPr>
              <w:t xml:space="preserve">Scope note</w:t>
            </w:r>
          </w:p>
          <w:p>
            <w:pPr>
              <w:spacing w:after="50" w:line="260"/>
            </w:pPr>
            <w:r>
              <w:rPr>
                <w:rFonts w:ascii="Calibri" w:cs="Calibri" w:eastAsia="Calibri" w:hAnsi="Calibri"/>
                <w:sz w:val="19"/>
                <w:szCs w:val="19"/>
              </w:rPr>
              <w:t xml:space="preserve">Per instruction, Section 4 of the source brief ("What Already Exists") has been excluded from this analysis. Nothing in this document summarises, references, compares against, or draws on that section. Where an existing asset would ordinarily be assumed, this document instead states a requirement and labels it as such.</w:t>
            </w:r>
          </w:p>
          <w:p>
            <w:pPr>
              <w:spacing w:after="50" w:line="260"/>
            </w:pPr>
            <w:r>
              <w:rPr>
                <w:rFonts w:ascii="Calibri" w:cs="Calibri" w:eastAsia="Calibri" w:hAnsi="Calibri"/>
                <w:sz w:val="19"/>
                <w:szCs w:val="19"/>
              </w:rPr>
              <w:t xml:space="preserve">Throughout: items marked FACT are drawn directly from the brief. Items marked ASSUMPTION are the author's inference and require confirmation before they are used for planning.</w:t>
            </w:r>
          </w:p>
        </w:tc>
      </w:tr>
    </w:tbl>
    <w:p>
      <w:r>
        <w:br w:type="page"/>
      </w:r>
    </w:p>
    <w:p>
      <w:pPr>
        <w:pStyle w:val="Heading1"/>
        <w:spacing w:after="160" w:before="360"/>
      </w:pPr>
      <w:r>
        <w:rPr>
          <w:rFonts w:ascii="Calibri" w:cs="Calibri" w:eastAsia="Calibri" w:hAnsi="Calibri"/>
          <w:b/>
          <w:bCs/>
          <w:color w:val="1F4E79"/>
          <w:sz w:val="30"/>
          <w:szCs w:val="30"/>
        </w:rPr>
        <w:t xml:space="preserve">Contents</w:t>
      </w:r>
    </w:p>
    <w:p>
      <w:pPr>
        <w:spacing w:after="100" w:line="260"/>
        <w:ind w:left="200"/>
      </w:pPr>
      <w:r>
        <w:rPr>
          <w:rFonts w:ascii="Calibri" w:cs="Calibri" w:eastAsia="Calibri" w:hAnsi="Calibri"/>
          <w:b/>
          <w:bCs/>
          <w:sz w:val="21"/>
          <w:szCs w:val="21"/>
        </w:rPr>
        <w:t xml:space="preserve">1. Document Analysis  —  </w:t>
      </w:r>
      <w:r>
        <w:rPr>
          <w:rFonts w:ascii="Calibri" w:cs="Calibri" w:eastAsia="Calibri" w:hAnsi="Calibri"/>
          <w:color w:val="555555"/>
          <w:sz w:val="20"/>
          <w:szCs w:val="20"/>
        </w:rPr>
        <w:t xml:space="preserve">Problem, users, goals, pain points, technical requirements, resources, constraints and gaps</w:t>
      </w:r>
    </w:p>
    <w:p>
      <w:pPr>
        <w:spacing w:after="100" w:line="260"/>
        <w:ind w:left="200"/>
      </w:pPr>
      <w:r>
        <w:rPr>
          <w:rFonts w:ascii="Calibri" w:cs="Calibri" w:eastAsia="Calibri" w:hAnsi="Calibri"/>
          <w:b/>
          <w:bCs/>
          <w:sz w:val="21"/>
          <w:szCs w:val="21"/>
        </w:rPr>
        <w:t xml:space="preserve">2. Project Idea  —  </w:t>
      </w:r>
      <w:r>
        <w:rPr>
          <w:rFonts w:ascii="Calibri" w:cs="Calibri" w:eastAsia="Calibri" w:hAnsi="Calibri"/>
          <w:color w:val="555555"/>
          <w:sz w:val="20"/>
          <w:szCs w:val="20"/>
        </w:rPr>
        <w:t xml:space="preserve">Ground Truth — concept, value, rationale, expected impact</w:t>
      </w:r>
    </w:p>
    <w:p>
      <w:pPr>
        <w:spacing w:after="100" w:line="260"/>
        <w:ind w:left="200"/>
      </w:pPr>
      <w:r>
        <w:rPr>
          <w:rFonts w:ascii="Calibri" w:cs="Calibri" w:eastAsia="Calibri" w:hAnsi="Calibri"/>
          <w:b/>
          <w:bCs/>
          <w:sz w:val="21"/>
          <w:szCs w:val="21"/>
        </w:rPr>
        <w:t xml:space="preserve">3. Core Features  —  </w:t>
      </w:r>
      <w:r>
        <w:rPr>
          <w:rFonts w:ascii="Calibri" w:cs="Calibri" w:eastAsia="Calibri" w:hAnsi="Calibri"/>
          <w:color w:val="555555"/>
          <w:sz w:val="20"/>
          <w:szCs w:val="20"/>
        </w:rPr>
        <w:t xml:space="preserve">MVP, secondary and future features</w:t>
      </w:r>
    </w:p>
    <w:p>
      <w:pPr>
        <w:spacing w:after="100" w:line="260"/>
        <w:ind w:left="200"/>
      </w:pPr>
      <w:r>
        <w:rPr>
          <w:rFonts w:ascii="Calibri" w:cs="Calibri" w:eastAsia="Calibri" w:hAnsi="Calibri"/>
          <w:b/>
          <w:bCs/>
          <w:sz w:val="21"/>
          <w:szCs w:val="21"/>
        </w:rPr>
        <w:t xml:space="preserve">4. User Workflow  —  </w:t>
      </w:r>
      <w:r>
        <w:rPr>
          <w:rFonts w:ascii="Calibri" w:cs="Calibri" w:eastAsia="Calibri" w:hAnsi="Calibri"/>
          <w:color w:val="555555"/>
          <w:sz w:val="20"/>
          <w:szCs w:val="20"/>
        </w:rPr>
        <w:t xml:space="preserve">Access, journeys, inputs and outputs, admin workflow, worked example</w:t>
      </w:r>
    </w:p>
    <w:p>
      <w:pPr>
        <w:spacing w:after="100" w:line="260"/>
        <w:ind w:left="200"/>
      </w:pPr>
      <w:r>
        <w:rPr>
          <w:rFonts w:ascii="Calibri" w:cs="Calibri" w:eastAsia="Calibri" w:hAnsi="Calibri"/>
          <w:b/>
          <w:bCs/>
          <w:sz w:val="21"/>
          <w:szCs w:val="21"/>
        </w:rPr>
        <w:t xml:space="preserve">5. Technical Plan  —  </w:t>
      </w:r>
      <w:r>
        <w:rPr>
          <w:rFonts w:ascii="Calibri" w:cs="Calibri" w:eastAsia="Calibri" w:hAnsi="Calibri"/>
          <w:color w:val="555555"/>
          <w:sz w:val="20"/>
          <w:szCs w:val="20"/>
        </w:rPr>
        <w:t xml:space="preserve">Recommended stack and architecture diagram</w:t>
      </w:r>
    </w:p>
    <w:p>
      <w:pPr>
        <w:spacing w:after="100" w:line="260"/>
        <w:ind w:left="200"/>
      </w:pPr>
      <w:r>
        <w:rPr>
          <w:rFonts w:ascii="Calibri" w:cs="Calibri" w:eastAsia="Calibri" w:hAnsi="Calibri"/>
          <w:b/>
          <w:bCs/>
          <w:sz w:val="21"/>
          <w:szCs w:val="21"/>
        </w:rPr>
        <w:t xml:space="preserve">6. Data and AI  —  </w:t>
      </w:r>
      <w:r>
        <w:rPr>
          <w:rFonts w:ascii="Calibri" w:cs="Calibri" w:eastAsia="Calibri" w:hAnsi="Calibri"/>
          <w:color w:val="555555"/>
          <w:sz w:val="20"/>
          <w:szCs w:val="20"/>
        </w:rPr>
        <w:t xml:space="preserve">Entities, relationships, and where AI is (and is not) used</w:t>
      </w:r>
    </w:p>
    <w:p>
      <w:pPr>
        <w:spacing w:after="100" w:line="260"/>
        <w:ind w:left="200"/>
      </w:pPr>
      <w:r>
        <w:rPr>
          <w:rFonts w:ascii="Calibri" w:cs="Calibri" w:eastAsia="Calibri" w:hAnsi="Calibri"/>
          <w:b/>
          <w:bCs/>
          <w:sz w:val="21"/>
          <w:szCs w:val="21"/>
        </w:rPr>
        <w:t xml:space="preserve">7. Project Phases  —  </w:t>
      </w:r>
      <w:r>
        <w:rPr>
          <w:rFonts w:ascii="Calibri" w:cs="Calibri" w:eastAsia="Calibri" w:hAnsi="Calibri"/>
          <w:color w:val="555555"/>
          <w:sz w:val="20"/>
          <w:szCs w:val="20"/>
        </w:rPr>
        <w:t xml:space="preserve">Seven-phase roadmap with deliverables, team, duration and risks</w:t>
      </w:r>
    </w:p>
    <w:p>
      <w:pPr>
        <w:spacing w:after="100" w:line="260"/>
        <w:ind w:left="200"/>
      </w:pPr>
      <w:r>
        <w:rPr>
          <w:rFonts w:ascii="Calibri" w:cs="Calibri" w:eastAsia="Calibri" w:hAnsi="Calibri"/>
          <w:b/>
          <w:bCs/>
          <w:sz w:val="21"/>
          <w:szCs w:val="21"/>
        </w:rPr>
        <w:t xml:space="preserve">8. MVP Scope  —  </w:t>
      </w:r>
      <w:r>
        <w:rPr>
          <w:rFonts w:ascii="Calibri" w:cs="Calibri" w:eastAsia="Calibri" w:hAnsi="Calibri"/>
          <w:color w:val="555555"/>
          <w:sz w:val="20"/>
          <w:szCs w:val="20"/>
        </w:rPr>
        <w:t xml:space="preserve">Inclusions, exclusions, roles, integrations, testing, launch conditions</w:t>
      </w:r>
    </w:p>
    <w:p>
      <w:pPr>
        <w:spacing w:after="100" w:line="260"/>
        <w:ind w:left="200"/>
      </w:pPr>
      <w:r>
        <w:rPr>
          <w:rFonts w:ascii="Calibri" w:cs="Calibri" w:eastAsia="Calibri" w:hAnsi="Calibri"/>
          <w:b/>
          <w:bCs/>
          <w:sz w:val="21"/>
          <w:szCs w:val="21"/>
        </w:rPr>
        <w:t xml:space="preserve">9. Team, Budget, and Risks  —  </w:t>
      </w:r>
      <w:r>
        <w:rPr>
          <w:rFonts w:ascii="Calibri" w:cs="Calibri" w:eastAsia="Calibri" w:hAnsi="Calibri"/>
          <w:color w:val="555555"/>
          <w:sz w:val="20"/>
          <w:szCs w:val="20"/>
        </w:rPr>
        <w:t xml:space="preserve">Roles, relative cost bands, and the risk register</w:t>
      </w:r>
    </w:p>
    <w:p>
      <w:pPr>
        <w:spacing w:after="100" w:line="260"/>
        <w:ind w:left="200"/>
      </w:pPr>
      <w:r>
        <w:rPr>
          <w:rFonts w:ascii="Calibri" w:cs="Calibri" w:eastAsia="Calibri" w:hAnsi="Calibri"/>
          <w:b/>
          <w:bCs/>
          <w:sz w:val="21"/>
          <w:szCs w:val="21"/>
        </w:rPr>
        <w:t xml:space="preserve">10. Success and Validation  —  </w:t>
      </w:r>
      <w:r>
        <w:rPr>
          <w:rFonts w:ascii="Calibri" w:cs="Calibri" w:eastAsia="Calibri" w:hAnsi="Calibri"/>
          <w:color w:val="555555"/>
          <w:sz w:val="20"/>
          <w:szCs w:val="20"/>
        </w:rPr>
        <w:t xml:space="preserve">Success indicators and validation methods</w:t>
      </w:r>
    </w:p>
    <w:p>
      <w:pPr>
        <w:spacing w:after="100" w:line="260"/>
        <w:ind w:left="200"/>
      </w:pPr>
      <w:r>
        <w:rPr>
          <w:rFonts w:ascii="Calibri" w:cs="Calibri" w:eastAsia="Calibri" w:hAnsi="Calibri"/>
          <w:b/>
          <w:bCs/>
          <w:sz w:val="21"/>
          <w:szCs w:val="21"/>
        </w:rPr>
        <w:t xml:space="preserve">11. Final Recommendation  —  </w:t>
      </w:r>
      <w:r>
        <w:rPr>
          <w:rFonts w:ascii="Calibri" w:cs="Calibri" w:eastAsia="Calibri" w:hAnsi="Calibri"/>
          <w:color w:val="555555"/>
          <w:sz w:val="20"/>
          <w:szCs w:val="20"/>
        </w:rPr>
        <w:t xml:space="preserve">Verdict, first five actions, and key uncertainties</w:t>
      </w:r>
    </w:p>
    <w:p>
      <w:r>
        <w:br w:type="page"/>
      </w:r>
    </w:p>
    <w:p>
      <w:pPr>
        <w:pStyle w:val="Heading1"/>
        <w:spacing w:after="160" w:before="360"/>
      </w:pPr>
      <w:r>
        <w:rPr>
          <w:rFonts w:ascii="Calibri" w:cs="Calibri" w:eastAsia="Calibri" w:hAnsi="Calibri"/>
          <w:b/>
          <w:bCs/>
          <w:color w:val="1F4E79"/>
          <w:sz w:val="30"/>
          <w:szCs w:val="30"/>
        </w:rPr>
        <w:t xml:space="preserve">1. Document Analysis</w:t>
      </w:r>
    </w:p>
    <w:p>
      <w:pPr>
        <w:spacing w:after="120" w:before="0" w:line="276"/>
      </w:pPr>
      <w:r>
        <w:rPr>
          <w:rFonts w:ascii="Calibri" w:cs="Calibri" w:eastAsia="Calibri" w:hAnsi="Calibri"/>
          <w:i/>
          <w:iCs/>
          <w:color w:val="555555"/>
          <w:sz w:val="21"/>
          <w:szCs w:val="21"/>
        </w:rPr>
        <w:t xml:space="preserve">This section reconstructs the brief's substance in planning terms. Facts are attributed to the brief; everything else is flagged as an assumption to be confirmed.</w:t>
      </w:r>
    </w:p>
    <w:p>
      <w:pPr>
        <w:pStyle w:val="Heading2"/>
        <w:spacing w:after="120" w:before="260"/>
      </w:pPr>
      <w:r>
        <w:rPr>
          <w:rFonts w:ascii="Calibri" w:cs="Calibri" w:eastAsia="Calibri" w:hAnsi="Calibri"/>
          <w:b/>
          <w:bCs/>
          <w:color w:val="1F4E79"/>
          <w:sz w:val="25"/>
          <w:szCs w:val="25"/>
        </w:rPr>
        <w:t xml:space="preserve">1.1 Main Problem and Opportunity</w:t>
      </w:r>
    </w:p>
    <w:p>
      <w:pPr>
        <w:spacing w:after="120" w:before="0" w:line="276"/>
      </w:pPr>
      <w:r>
        <w:rPr>
          <w:rFonts w:ascii="Calibri" w:cs="Calibri" w:eastAsia="Calibri" w:hAnsi="Calibri"/>
          <w:b/>
          <w:bCs/>
          <w:color w:val="1F7A3D"/>
          <w:sz w:val="21"/>
          <w:szCs w:val="21"/>
        </w:rPr>
        <w:t xml:space="preserve">FACT — </w:t>
      </w:r>
      <w:r>
        <w:rPr>
          <w:rFonts w:ascii="Calibri" w:cs="Calibri" w:eastAsia="Calibri" w:hAnsi="Calibri"/>
          <w:sz w:val="21"/>
          <w:szCs w:val="21"/>
        </w:rPr>
        <w:t xml:space="preserve">4Prep Academy has spent six years placing Central Asian students into US and European universities through hands-on consulting, generating thousands of real student cases, admission outcomes, scholarship results and visa pathways — data the brief states nobody else in this market has.</w:t>
      </w:r>
    </w:p>
    <w:p>
      <w:pPr>
        <w:spacing w:after="120" w:before="0" w:line="276"/>
      </w:pPr>
      <w:r>
        <w:rPr>
          <w:rFonts w:ascii="Calibri" w:cs="Calibri" w:eastAsia="Calibri" w:hAnsi="Calibri"/>
          <w:b/>
          <w:bCs/>
          <w:color w:val="1F7A3D"/>
          <w:sz w:val="21"/>
          <w:szCs w:val="21"/>
        </w:rPr>
        <w:t xml:space="preserve">FACT — </w:t>
      </w:r>
      <w:r>
        <w:rPr>
          <w:rFonts w:ascii="Calibri" w:cs="Calibri" w:eastAsia="Calibri" w:hAnsi="Calibri"/>
          <w:sz w:val="21"/>
          <w:szCs w:val="21"/>
        </w:rPr>
        <w:t xml:space="preserve">4Prep.ai is the product that converts that operator knowledge into software: an AI-powered university admissions platform positioned as "Niche.com for Central Asian students, with an AI counselor built in."</w:t>
      </w:r>
    </w:p>
    <w:p>
      <w:pPr>
        <w:spacing w:after="120" w:before="0" w:line="276"/>
      </w:pPr>
      <w:r>
        <w:rPr>
          <w:rFonts w:ascii="Calibri" w:cs="Calibri" w:eastAsia="Calibri" w:hAnsi="Calibri"/>
          <w:b/>
          <w:bCs/>
          <w:color w:val="1F7A3D"/>
          <w:sz w:val="21"/>
          <w:szCs w:val="21"/>
        </w:rPr>
        <w:t xml:space="preserve">FACT — </w:t>
      </w:r>
      <w:r>
        <w:rPr>
          <w:rFonts w:ascii="Calibri" w:cs="Calibri" w:eastAsia="Calibri" w:hAnsi="Calibri"/>
          <w:sz w:val="21"/>
          <w:szCs w:val="21"/>
        </w:rPr>
        <w:t xml:space="preserve">The product in one sentence, per the brief: "A database of universities with a transparent scoring methodology, wrapped in an AI counselor that turns a student's profile into a personalized, ranked pathway."</w:t>
      </w:r>
    </w:p>
    <w:p>
      <w:pPr>
        <w:spacing w:after="120" w:before="0" w:line="276"/>
      </w:pPr>
      <w:r>
        <w:rPr>
          <w:rFonts w:ascii="Calibri" w:cs="Calibri" w:eastAsia="Calibri" w:hAnsi="Calibri"/>
          <w:b/>
          <w:bCs/>
          <w:color w:val="1F7A3D"/>
          <w:sz w:val="21"/>
          <w:szCs w:val="21"/>
        </w:rPr>
        <w:t xml:space="preserve">FACT — </w:t>
      </w:r>
      <w:r>
        <w:rPr>
          <w:rFonts w:ascii="Calibri" w:cs="Calibri" w:eastAsia="Calibri" w:hAnsi="Calibri"/>
          <w:sz w:val="21"/>
          <w:szCs w:val="21"/>
        </w:rPr>
        <w:t xml:space="preserve">The brief names a specific structural risk as the core problem: Layer 1 (the data) is the foundation, and "if this layer is thin, the AI hallucinates and the whole product feels fake." It further states the diagnostic shortcut that "most problems are Layer 1 (not enough real data) or Layer 4 (prompts not structured well)."</w:t>
      </w:r>
    </w:p>
    <w:p>
      <w:pPr>
        <w:spacing w:after="80"/>
      </w:pPr>
      <w:r>
        <w:rPr>
          <w:sz w:val="4"/>
          <w:szCs w:val="4"/>
        </w:rPr>
        <w:t xml:space="preserve"/>
      </w:r>
    </w:p>
    <w:p>
      <w:pPr>
        <w:spacing w:after="120" w:before="0" w:line="276"/>
      </w:pPr>
      <w:r>
        <w:rPr>
          <w:rFonts w:ascii="Calibri" w:cs="Calibri" w:eastAsia="Calibri" w:hAnsi="Calibri"/>
          <w:b/>
          <w:bCs/>
          <w:sz w:val="21"/>
          <w:szCs w:val="21"/>
        </w:rPr>
        <w:t xml:space="preserve">The opportunity, stated plainly: </w:t>
      </w:r>
      <w:r>
        <w:rPr>
          <w:rFonts w:ascii="Calibri" w:cs="Calibri" w:eastAsia="Calibri" w:hAnsi="Calibri"/>
          <w:sz w:val="21"/>
          <w:szCs w:val="21"/>
        </w:rPr>
        <w:t xml:space="preserve">the moat is not the interface and not the model — it is a defensible, sourced, outcome-calibrated dataset for a market segment (Central Asian applicants) that global platforms cover thinly. The brief bounds this deliberately: "We do not need 10,000 universities. We need roughly 300 universities that actually matter to Central Asian students — covered with a depth (scholarships, real admission difficulty, visa outcomes, costs) that nobody else offers this audience."</w:t>
      </w:r>
    </w:p>
    <w:p>
      <w:pPr>
        <w:pStyle w:val="Heading2"/>
        <w:spacing w:after="120" w:before="260"/>
      </w:pPr>
      <w:r>
        <w:rPr>
          <w:rFonts w:ascii="Calibri" w:cs="Calibri" w:eastAsia="Calibri" w:hAnsi="Calibri"/>
          <w:b/>
          <w:bCs/>
          <w:color w:val="1F4E79"/>
          <w:sz w:val="25"/>
          <w:szCs w:val="25"/>
        </w:rPr>
        <w:t xml:space="preserve">1.2 Target Users and Stakeholders</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1900"/>
        <w:gridCol w:w="2600"/>
        <w:gridCol w:w="4860"/>
      </w:tblGrid>
      <w:tr>
        <w:trPr>
          <w:tblHeader/>
        </w:trPr>
        <w:tc>
          <w:tcPr>
            <w:tcW w:type="dxa" w:w="19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Group</w:t>
            </w:r>
          </w:p>
        </w:tc>
        <w:tc>
          <w:tcPr>
            <w:tcW w:type="dxa" w:w="26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Type</w:t>
            </w:r>
          </w:p>
        </w:tc>
        <w:tc>
          <w:tcPr>
            <w:tcW w:type="dxa" w:w="48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What the brief says about them</w:t>
            </w:r>
          </w:p>
        </w:tc>
      </w:tr>
      <w:tr>
        <w:tc>
          <w:tcPr>
            <w:tcW w:type="dxa" w:w="19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Prospective students in Central Asia</w:t>
            </w:r>
          </w:p>
        </w:tc>
        <w:tc>
          <w:tcPr>
            <w:tcW w:type="dxa" w:w="26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Primary end user (FACT)</w:t>
            </w:r>
          </w:p>
        </w:tc>
        <w:tc>
          <w:tcPr>
            <w:tcW w:type="dxa" w:w="48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Section 7 success scene is "a student from Tashkent opens app.4prep.ai on her phone" and enters grades, budget and IELTS score. Mobile-first, self-serve, public — the brief stresses 4Prep.ai is "the PUBLIC product for anyone."</w:t>
            </w:r>
          </w:p>
        </w:tc>
      </w:tr>
      <w:tr>
        <w:tc>
          <w:tcPr>
            <w:tcW w:type="dxa" w:w="1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Existing 4Prep leads and students</w:t>
            </w:r>
          </w:p>
        </w:tc>
        <w:tc>
          <w:tcPr>
            <w:tcW w:type="dxa" w:w="26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Pilot cohort (FACT)</w:t>
            </w:r>
          </w:p>
        </w:tc>
        <w:tc>
          <w:tcPr>
            <w:tcW w:type="dxa" w:w="48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Phase 4 specifies "soft launch to a controlled group (existing 4Prep leads/students). Collect real usage data."</w:t>
            </w:r>
          </w:p>
        </w:tc>
      </w:tr>
      <w:tr>
        <w:tc>
          <w:tcPr>
            <w:tcW w:type="dxa" w:w="19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Abdiaziz Abdishukurov (Founder/CEO)</w:t>
            </w:r>
          </w:p>
        </w:tc>
        <w:tc>
          <w:tcPr>
            <w:tcW w:type="dxa" w:w="26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Owner &amp; decision-maker (FACT)</w:t>
            </w:r>
          </w:p>
        </w:tc>
        <w:tc>
          <w:tcPr>
            <w:tcW w:type="dxa" w:w="48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"Decisions on product direction go to Abdiaziz; execution details are yours." He is also the author of the EPIF paper and owner of the public narrative.</w:t>
            </w:r>
          </w:p>
        </w:tc>
      </w:tr>
      <w:tr>
        <w:tc>
          <w:tcPr>
            <w:tcW w:type="dxa" w:w="1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Build team (engineering / prompt / data)</w:t>
            </w:r>
          </w:p>
        </w:tc>
        <w:tc>
          <w:tcPr>
            <w:tcW w:type="dxa" w:w="26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Internal (FACT)</w:t>
            </w:r>
          </w:p>
        </w:tc>
        <w:tc>
          <w:tcPr>
            <w:tcW w:type="dxa" w:w="48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brief is written to a builder: daily or every-other-day check-ins on what is live, blocked and next; documentation kept as they build.</w:t>
            </w:r>
          </w:p>
        </w:tc>
      </w:tr>
      <w:tr>
        <w:tc>
          <w:tcPr>
            <w:tcW w:type="dxa" w:w="19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4Prep consultants / counselors</w:t>
            </w:r>
          </w:p>
        </w:tc>
        <w:tc>
          <w:tcPr>
            <w:tcW w:type="dxa" w:w="26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Knowledge source (ASSUMPTION)</w:t>
            </w:r>
          </w:p>
        </w:tc>
        <w:tc>
          <w:tcPr>
            <w:tcW w:type="dxa" w:w="48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brief names six years of operator case knowledge as the unfair advantage but does not say who holds it or how it is extracted. Assumed to sit with founder and consulting staff.</w:t>
            </w:r>
          </w:p>
        </w:tc>
      </w:tr>
      <w:tr>
        <w:tc>
          <w:tcPr>
            <w:tcW w:type="dxa" w:w="1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Parents / payers</w:t>
            </w:r>
          </w:p>
        </w:tc>
        <w:tc>
          <w:tcPr>
            <w:tcW w:type="dxa" w:w="26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Influencer (ASSUMPTION)</w:t>
            </w:r>
          </w:p>
        </w:tc>
        <w:tc>
          <w:tcPr>
            <w:tcW w:type="dxa" w:w="48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Not named in the brief. In this market budget decisions are typically family-level, which affects tone, language and shareability of output.</w:t>
            </w:r>
          </w:p>
        </w:tc>
      </w:tr>
      <w:tr>
        <w:tc>
          <w:tcPr>
            <w:tcW w:type="dxa" w:w="19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External evaluators (media, academic reviewers, immigration adjudicators)</w:t>
            </w:r>
          </w:p>
        </w:tc>
        <w:tc>
          <w:tcPr>
            <w:tcW w:type="dxa" w:w="26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Scrutiny stakeholder (FACT)</w:t>
            </w:r>
          </w:p>
        </w:tc>
        <w:tc>
          <w:tcPr>
            <w:tcW w:type="dxa" w:w="48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Section 1 states the product is referenced in published articles, an academic paper (EPIF), and an EB-1A extraordinary-ability petition — therefore "the product must be REAL, functional, and demonstrable."</w:t>
            </w:r>
          </w:p>
        </w:tc>
      </w:tr>
    </w:tbl>
    <w:p>
      <w:pPr>
        <w:pStyle w:val="Heading2"/>
        <w:spacing w:after="120" w:before="260"/>
      </w:pPr>
      <w:r>
        <w:rPr>
          <w:rFonts w:ascii="Calibri" w:cs="Calibri" w:eastAsia="Calibri" w:hAnsi="Calibri"/>
          <w:b/>
          <w:bCs/>
          <w:color w:val="1F4E79"/>
          <w:sz w:val="25"/>
          <w:szCs w:val="25"/>
        </w:rPr>
        <w:t xml:space="preserve">1.3 Goals and Expected Outcomes</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3400"/>
        <w:gridCol w:w="5960"/>
      </w:tblGrid>
      <w:tr>
        <w:trPr>
          <w:tblHeader/>
        </w:trPr>
        <w:tc>
          <w:tcPr>
            <w:tcW w:type="dxa" w:w="34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Goal (all FACT unless noted)</w:t>
            </w:r>
          </w:p>
        </w:tc>
        <w:tc>
          <w:tcPr>
            <w:tcW w:type="dxa" w:w="59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Expected outcome / "done when"</w:t>
            </w:r>
          </w:p>
        </w:tc>
      </w:tr>
      <w:tr>
        <w:tc>
          <w:tcPr>
            <w:tcW w:type="dxa" w:w="3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Credible foundation (Phase 1)</w:t>
            </w:r>
          </w:p>
        </w:tc>
        <w:tc>
          <w:tcPr>
            <w:tcW w:type="dxa" w:w="59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Landing page looks credible on mobile and desktop; the database schema is live and documented.</w:t>
            </w:r>
          </w:p>
        </w:tc>
      </w:tr>
      <w:tr>
        <w:tc>
          <w:tcPr>
            <w:tcW w:type="dxa" w:w="3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Five AI systems (Phase 2)</w:t>
            </w:r>
          </w:p>
        </w:tc>
        <w:tc>
          <w:tcPr>
            <w:tcW w:type="dxa" w:w="59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Pathway Generator, Scholarship Finder, Skill Gap Analyzer, Country Fit, Career Projection — each works end-to-end with structured output, cites only universities/scholarships that exist in the database, and never invents data.</w:t>
            </w:r>
          </w:p>
        </w:tc>
      </w:tr>
      <w:tr>
        <w:tc>
          <w:tcPr>
            <w:tcW w:type="dxa" w:w="3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Accounts and return visits (Phase 3)</w:t>
            </w:r>
          </w:p>
        </w:tc>
        <w:tc>
          <w:tcPr>
            <w:tcW w:type="dxa" w:w="59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 real student can sign up, run a pathway, save it, log out, and find it again tomorrow.</w:t>
            </w:r>
          </w:p>
        </w:tc>
      </w:tr>
      <w:tr>
        <w:tc>
          <w:tcPr>
            <w:tcW w:type="dxa" w:w="3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Real data and soft launch (Phase 4)</w:t>
            </w:r>
          </w:p>
        </w:tc>
        <w:tc>
          <w:tcPr>
            <w:tcW w:type="dxa" w:w="59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~300 verified universities in the database, every record with a source; a first cohort of real users has generated pathways.</w:t>
            </w:r>
          </w:p>
        </w:tc>
      </w:tr>
      <w:tr>
        <w:tc>
          <w:tcPr>
            <w:tcW w:type="dxa" w:w="3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Provable public narrative (Section 1 + 7)</w:t>
            </w:r>
          </w:p>
        </w:tc>
        <w:tc>
          <w:tcPr>
            <w:tcW w:type="dxa" w:w="59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Every fact on the student's screen is "real, sourced, and defensible," and "everything written publicly about 4Prep.ai will be provably true."</w:t>
            </w:r>
          </w:p>
        </w:tc>
      </w:tr>
      <w:tr>
        <w:tc>
          <w:tcPr>
            <w:tcW w:type="dxa" w:w="3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Time horizon</w:t>
            </w:r>
          </w:p>
        </w:tc>
        <w:tc>
          <w:tcPr>
            <w:tcW w:type="dxa" w:w="59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Section 7 frames the target scene as "three months from now." (FACT that the phrase is used; ASSUMPTION that it is a committed deadline rather than illustrative framing.)</w:t>
            </w:r>
          </w:p>
        </w:tc>
      </w:tr>
    </w:tbl>
    <w:p>
      <w:pPr>
        <w:pStyle w:val="Heading2"/>
        <w:spacing w:after="120" w:before="260"/>
      </w:pPr>
      <w:r>
        <w:rPr>
          <w:rFonts w:ascii="Calibri" w:cs="Calibri" w:eastAsia="Calibri" w:hAnsi="Calibri"/>
          <w:b/>
          <w:bCs/>
          <w:color w:val="1F4E79"/>
          <w:sz w:val="25"/>
          <w:szCs w:val="25"/>
        </w:rPr>
        <w:t xml:space="preserve">1.4 User Needs and Pain Points</w:t>
      </w:r>
    </w:p>
    <w:p>
      <w:pPr>
        <w:pStyle w:val="Heading3"/>
        <w:spacing w:after="100" w:before="200"/>
      </w:pPr>
      <w:r>
        <w:rPr>
          <w:rFonts w:ascii="Calibri" w:cs="Calibri" w:eastAsia="Calibri" w:hAnsi="Calibri"/>
          <w:b/>
          <w:bCs/>
          <w:color w:val="2E2E2E"/>
          <w:sz w:val="22"/>
          <w:szCs w:val="22"/>
        </w:rPr>
        <w:t xml:space="preserve">Student-side (derived from the Section 7 success scene and product statement)</w:t>
      </w:r>
    </w:p>
    <w:p>
      <w:pPr>
        <w:pStyle w:val="ListParagraph"/>
        <w:numPr>
          <w:ilvl w:val="0"/>
          <w:numId w:val="2"/>
        </w:numPr>
        <w:spacing w:after="70" w:line="276"/>
      </w:pPr>
      <w:r>
        <w:rPr>
          <w:rFonts w:ascii="Calibri" w:cs="Calibri" w:eastAsia="Calibri" w:hAnsi="Calibri"/>
          <w:b/>
          <w:bCs/>
          <w:sz w:val="21"/>
          <w:szCs w:val="21"/>
        </w:rPr>
        <w:t xml:space="preserve">Fit, not lists. </w:t>
      </w:r>
      <w:r>
        <w:rPr>
          <w:rFonts w:ascii="Calibri" w:cs="Calibri" w:eastAsia="Calibri" w:hAnsi="Calibri"/>
          <w:sz w:val="21"/>
          <w:szCs w:val="21"/>
        </w:rPr>
        <w:t xml:space="preserve">The student needs five universities ranked by "a fit score she can understand" — not a search result set. (FACT)</w:t>
      </w:r>
    </w:p>
    <w:p>
      <w:pPr>
        <w:pStyle w:val="ListParagraph"/>
        <w:numPr>
          <w:ilvl w:val="0"/>
          <w:numId w:val="2"/>
        </w:numPr>
        <w:spacing w:after="70" w:line="276"/>
      </w:pPr>
      <w:r>
        <w:rPr>
          <w:rFonts w:ascii="Calibri" w:cs="Calibri" w:eastAsia="Calibri" w:hAnsi="Calibri"/>
          <w:b/>
          <w:bCs/>
          <w:sz w:val="21"/>
          <w:szCs w:val="21"/>
        </w:rPr>
        <w:t xml:space="preserve">Money first. </w:t>
      </w:r>
      <w:r>
        <w:rPr>
          <w:rFonts w:ascii="Calibri" w:cs="Calibri" w:eastAsia="Calibri" w:hAnsi="Calibri"/>
          <w:sz w:val="21"/>
          <w:szCs w:val="21"/>
        </w:rPr>
        <w:t xml:space="preserve">Financial Fit is one of the five EPIF components, and the scene puts "three scholarships she actually qualifies for" at the centre. Affordability is a filter, not a footnote. (FACT)</w:t>
      </w:r>
    </w:p>
    <w:p>
      <w:pPr>
        <w:pStyle w:val="ListParagraph"/>
        <w:numPr>
          <w:ilvl w:val="0"/>
          <w:numId w:val="2"/>
        </w:numPr>
        <w:spacing w:after="70" w:line="276"/>
      </w:pPr>
      <w:r>
        <w:rPr>
          <w:rFonts w:ascii="Calibri" w:cs="Calibri" w:eastAsia="Calibri" w:hAnsi="Calibri"/>
          <w:b/>
          <w:bCs/>
          <w:sz w:val="21"/>
          <w:szCs w:val="21"/>
        </w:rPr>
        <w:t xml:space="preserve">Sequencing. </w:t>
      </w:r>
      <w:r>
        <w:rPr>
          <w:rFonts w:ascii="Calibri" w:cs="Calibri" w:eastAsia="Calibri" w:hAnsi="Calibri"/>
          <w:sz w:val="21"/>
          <w:szCs w:val="21"/>
        </w:rPr>
        <w:t xml:space="preserve">She needs "a month-by-month plan from today to her first day on campus" — the pain is not knowing what to do next, in what order. (FACT)</w:t>
      </w:r>
    </w:p>
    <w:p>
      <w:pPr>
        <w:pStyle w:val="ListParagraph"/>
        <w:numPr>
          <w:ilvl w:val="0"/>
          <w:numId w:val="2"/>
        </w:numPr>
        <w:spacing w:after="70" w:line="276"/>
      </w:pPr>
      <w:r>
        <w:rPr>
          <w:rFonts w:ascii="Calibri" w:cs="Calibri" w:eastAsia="Calibri" w:hAnsi="Calibri"/>
          <w:b/>
          <w:bCs/>
          <w:sz w:val="21"/>
          <w:szCs w:val="21"/>
        </w:rPr>
        <w:t xml:space="preserve">Trust. </w:t>
      </w:r>
      <w:r>
        <w:rPr>
          <w:rFonts w:ascii="Calibri" w:cs="Calibri" w:eastAsia="Calibri" w:hAnsi="Calibri"/>
          <w:sz w:val="21"/>
          <w:szCs w:val="21"/>
        </w:rPr>
        <w:t xml:space="preserve">Every fact must be "real, sourced, and defensible." (FACT) The implied pain point is a market saturated with unverifiable agent claims. (ASSUMPTION)</w:t>
      </w:r>
    </w:p>
    <w:p>
      <w:pPr>
        <w:pStyle w:val="ListParagraph"/>
        <w:numPr>
          <w:ilvl w:val="0"/>
          <w:numId w:val="2"/>
        </w:numPr>
        <w:spacing w:after="70" w:line="276"/>
      </w:pPr>
      <w:r>
        <w:rPr>
          <w:rFonts w:ascii="Calibri" w:cs="Calibri" w:eastAsia="Calibri" w:hAnsi="Calibri"/>
          <w:b/>
          <w:bCs/>
          <w:sz w:val="21"/>
          <w:szCs w:val="21"/>
        </w:rPr>
        <w:t xml:space="preserve">Speed and mobile. </w:t>
      </w:r>
      <w:r>
        <w:rPr>
          <w:rFonts w:ascii="Calibri" w:cs="Calibri" w:eastAsia="Calibri" w:hAnsi="Calibri"/>
          <w:sz w:val="21"/>
          <w:szCs w:val="21"/>
        </w:rPr>
        <w:t xml:space="preserve">"In under a minute," "on her phone." (FACT)</w:t>
      </w:r>
    </w:p>
    <w:p>
      <w:pPr>
        <w:pStyle w:val="ListParagraph"/>
        <w:numPr>
          <w:ilvl w:val="0"/>
          <w:numId w:val="2"/>
        </w:numPr>
        <w:spacing w:after="70" w:line="276"/>
      </w:pPr>
      <w:r>
        <w:rPr>
          <w:rFonts w:ascii="Calibri" w:cs="Calibri" w:eastAsia="Calibri" w:hAnsi="Calibri"/>
          <w:b/>
          <w:bCs/>
          <w:sz w:val="21"/>
          <w:szCs w:val="21"/>
        </w:rPr>
        <w:t xml:space="preserve">Persistence. </w:t>
      </w:r>
      <w:r>
        <w:rPr>
          <w:rFonts w:ascii="Calibri" w:cs="Calibri" w:eastAsia="Calibri" w:hAnsi="Calibri"/>
          <w:sz w:val="21"/>
          <w:szCs w:val="21"/>
        </w:rPr>
        <w:t xml:space="preserve">She creates an account and saves the plan — decisions are made over months, not in one session. (FACT)</w:t>
      </w:r>
    </w:p>
    <w:p>
      <w:pPr>
        <w:spacing w:after="60"/>
      </w:pPr>
      <w:r>
        <w:rPr>
          <w:sz w:val="4"/>
          <w:szCs w:val="4"/>
        </w:rPr>
        <w:t xml:space="preserve"/>
      </w:r>
    </w:p>
    <w:p>
      <w:pPr>
        <w:pStyle w:val="Heading3"/>
        <w:spacing w:after="100" w:before="200"/>
      </w:pPr>
      <w:r>
        <w:rPr>
          <w:rFonts w:ascii="Calibri" w:cs="Calibri" w:eastAsia="Calibri" w:hAnsi="Calibri"/>
          <w:b/>
          <w:bCs/>
          <w:color w:val="2E2E2E"/>
          <w:sz w:val="22"/>
          <w:szCs w:val="22"/>
        </w:rPr>
        <w:t xml:space="preserve">Operator-side (the build team's pain, stated by the brief)</w:t>
      </w:r>
    </w:p>
    <w:p>
      <w:pPr>
        <w:pStyle w:val="ListParagraph"/>
        <w:numPr>
          <w:ilvl w:val="0"/>
          <w:numId w:val="2"/>
        </w:numPr>
        <w:spacing w:after="70" w:line="276"/>
      </w:pPr>
      <w:r>
        <w:rPr>
          <w:rFonts w:ascii="Calibri" w:cs="Calibri" w:eastAsia="Calibri" w:hAnsi="Calibri"/>
          <w:sz w:val="21"/>
          <w:szCs w:val="21"/>
        </w:rPr>
        <w:t xml:space="preserve">Thin data causes hallucination and makes the product "feel fake." (FACT)</w:t>
      </w:r>
    </w:p>
    <w:p>
      <w:pPr>
        <w:pStyle w:val="ListParagraph"/>
        <w:numPr>
          <w:ilvl w:val="0"/>
          <w:numId w:val="2"/>
        </w:numPr>
        <w:spacing w:after="70" w:line="276"/>
      </w:pPr>
      <w:r>
        <w:rPr>
          <w:rFonts w:ascii="Calibri" w:cs="Calibri" w:eastAsia="Calibri" w:hAnsi="Calibri"/>
          <w:sz w:val="21"/>
          <w:szCs w:val="21"/>
        </w:rPr>
        <w:t xml:space="preserve">AI answers must trace back to database records or the EPIF rubric; if the database cannot answer, the AI must say so and ask for more info — it must never guess a tuition figure. (FACT)</w:t>
      </w:r>
    </w:p>
    <w:p>
      <w:pPr>
        <w:pStyle w:val="ListParagraph"/>
        <w:numPr>
          <w:ilvl w:val="0"/>
          <w:numId w:val="2"/>
        </w:numPr>
        <w:spacing w:after="70" w:line="276"/>
      </w:pPr>
      <w:r>
        <w:rPr>
          <w:rFonts w:ascii="Calibri" w:cs="Calibri" w:eastAsia="Calibri" w:hAnsi="Calibri"/>
          <w:sz w:val="21"/>
          <w:szCs w:val="21"/>
        </w:rPr>
        <w:t xml:space="preserve">Every data record must carry a source. (FACT — Phase 4)</w:t>
      </w:r>
    </w:p>
    <w:p>
      <w:pPr>
        <w:pStyle w:val="ListParagraph"/>
        <w:numPr>
          <w:ilvl w:val="0"/>
          <w:numId w:val="2"/>
        </w:numPr>
        <w:spacing w:after="70" w:line="276"/>
      </w:pPr>
      <w:r>
        <w:rPr>
          <w:rFonts w:ascii="Calibri" w:cs="Calibri" w:eastAsia="Calibri" w:hAnsi="Calibri"/>
          <w:sz w:val="21"/>
          <w:szCs w:val="21"/>
        </w:rPr>
        <w:t xml:space="preserve">Documentation with screenshots and user counts is part of the deliverable, not an afterthought. (FACT)</w:t>
      </w:r>
    </w:p>
    <w:p>
      <w:pPr>
        <w:pStyle w:val="ListParagraph"/>
        <w:numPr>
          <w:ilvl w:val="0"/>
          <w:numId w:val="2"/>
        </w:numPr>
        <w:spacing w:after="70" w:line="276"/>
      </w:pPr>
      <w:r>
        <w:rPr>
          <w:rFonts w:ascii="Calibri" w:cs="Calibri" w:eastAsia="Calibri" w:hAnsi="Calibri"/>
          <w:sz w:val="21"/>
          <w:szCs w:val="21"/>
        </w:rPr>
        <w:t xml:space="preserve">There is no stated mechanism for enforcing any of the above. Rules exist as prose; nothing described converts them into a check a build can fail. (ASSUMPTION — this is the gap the proposal targets.)</w:t>
      </w:r>
    </w:p>
    <w:p>
      <w:pPr>
        <w:pStyle w:val="Heading2"/>
        <w:spacing w:after="120" w:before="260"/>
      </w:pPr>
      <w:r>
        <w:rPr>
          <w:rFonts w:ascii="Calibri" w:cs="Calibri" w:eastAsia="Calibri" w:hAnsi="Calibri"/>
          <w:b/>
          <w:bCs/>
          <w:color w:val="1F4E79"/>
          <w:sz w:val="25"/>
          <w:szCs w:val="25"/>
        </w:rPr>
        <w:t xml:space="preserve">1.5 Technical Requirements</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2000"/>
        <w:gridCol w:w="5100"/>
        <w:gridCol w:w="2260"/>
      </w:tblGrid>
      <w:tr>
        <w:trPr>
          <w:tblHeader/>
        </w:trPr>
        <w:tc>
          <w:tcPr>
            <w:tcW w:type="dxa" w:w="20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Requirement</w:t>
            </w:r>
          </w:p>
        </w:tc>
        <w:tc>
          <w:tcPr>
            <w:tcW w:type="dxa" w:w="51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Detail</w:t>
            </w:r>
          </w:p>
        </w:tc>
        <w:tc>
          <w:tcPr>
            <w:tcW w:type="dxa" w:w="22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Source</w:t>
            </w:r>
          </w:p>
        </w:tc>
      </w:tr>
      <w:tr>
        <w:tc>
          <w:tcPr>
            <w:tcW w:type="dxa" w:w="20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Four-layer architecture</w:t>
            </w:r>
          </w:p>
        </w:tc>
        <w:tc>
          <w:tcPr>
            <w:tcW w:type="dxa" w:w="51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L1 Data (Supabase): universities, programs, tuition, scholarships, admission requirements, deadlines, locations. L2 Methodology (EPIF Φ). L3 Search &amp; Browse UI (Niche-style search, filters, profile pages, comparison). L4 AI Orchestration (Claude API) returning structured pathway recommendations.</w:t>
            </w:r>
          </w:p>
        </w:tc>
        <w:tc>
          <w:tcPr>
            <w:tcW w:type="dxa" w:w="22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FACT — Section 3</w:t>
            </w:r>
          </w:p>
        </w:tc>
      </w:tr>
      <w:tr>
        <w:tc>
          <w:tcPr>
            <w:tcW w:type="dxa" w:w="2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EPIF Φ scoring model</w:t>
            </w:r>
          </w:p>
        </w:tc>
        <w:tc>
          <w:tcPr>
            <w:tcW w:type="dxa" w:w="51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Combines five components: Academic Fit, Financial Fit, Language Readiness, Career Alignment, Geographic Alignment. Fully specified with equations in the academic paper. Explicitly: do not invent a new scoring system.</w:t>
            </w:r>
          </w:p>
        </w:tc>
        <w:tc>
          <w:tcPr>
            <w:tcW w:type="dxa" w:w="22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FACT — Sections 1 &amp; 6</w:t>
            </w:r>
          </w:p>
        </w:tc>
      </w:tr>
      <w:tr>
        <w:tc>
          <w:tcPr>
            <w:tcW w:type="dxa" w:w="20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Grounding constraint</w:t>
            </w:r>
          </w:p>
        </w:tc>
        <w:tc>
          <w:tcPr>
            <w:tcW w:type="dxa" w:w="51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AI output must cite only universities/scholarships present in the database, and must never invent data.</w:t>
            </w:r>
          </w:p>
        </w:tc>
        <w:tc>
          <w:tcPr>
            <w:tcW w:type="dxa" w:w="22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FACT — Phase 2 "done when"</w:t>
            </w:r>
          </w:p>
        </w:tc>
      </w:tr>
      <w:tr>
        <w:tc>
          <w:tcPr>
            <w:tcW w:type="dxa" w:w="2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Provenance constraint</w:t>
            </w:r>
          </w:p>
        </w:tc>
        <w:tc>
          <w:tcPr>
            <w:tcW w:type="dxa" w:w="51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Every data record must have a source.</w:t>
            </w:r>
          </w:p>
        </w:tc>
        <w:tc>
          <w:tcPr>
            <w:tcW w:type="dxa" w:w="22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FACT — Phase 4</w:t>
            </w:r>
          </w:p>
        </w:tc>
      </w:tr>
      <w:tr>
        <w:tc>
          <w:tcPr>
            <w:tcW w:type="dxa" w:w="20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Five AI systems</w:t>
            </w:r>
          </w:p>
        </w:tc>
        <w:tc>
          <w:tcPr>
            <w:tcW w:type="dxa" w:w="51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Pathway Generator, Scholarship Finder, Skill Gap Analyzer, Country Fit, Career Projection — all grounded in database + EPIF rubric.</w:t>
            </w:r>
          </w:p>
        </w:tc>
        <w:tc>
          <w:tcPr>
            <w:tcW w:type="dxa" w:w="22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FACT — Phase 2</w:t>
            </w:r>
          </w:p>
        </w:tc>
      </w:tr>
      <w:tr>
        <w:tc>
          <w:tcPr>
            <w:tcW w:type="dxa" w:w="2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Accounts</w:t>
            </w:r>
          </w:p>
        </w:tc>
        <w:tc>
          <w:tcPr>
            <w:tcW w:type="dxa" w:w="51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Email login, user dashboard, saved plans, side-by-side pathway comparison.</w:t>
            </w:r>
          </w:p>
        </w:tc>
        <w:tc>
          <w:tcPr>
            <w:tcW w:type="dxa" w:w="22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FACT — Phase 3</w:t>
            </w:r>
          </w:p>
        </w:tc>
      </w:tr>
      <w:tr>
        <w:tc>
          <w:tcPr>
            <w:tcW w:type="dxa" w:w="20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Scale target</w:t>
            </w:r>
          </w:p>
        </w:tc>
        <w:tc>
          <w:tcPr>
            <w:tcW w:type="dxa" w:w="51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~300 universities, high depth per record. Not a breadth play.</w:t>
            </w:r>
          </w:p>
        </w:tc>
        <w:tc>
          <w:tcPr>
            <w:tcW w:type="dxa" w:w="22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FACT — Section 2</w:t>
            </w:r>
          </w:p>
        </w:tc>
      </w:tr>
      <w:tr>
        <w:tc>
          <w:tcPr>
            <w:tcW w:type="dxa" w:w="2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Structured output</w:t>
            </w:r>
          </w:p>
        </w:tc>
        <w:tc>
          <w:tcPr>
            <w:tcW w:type="dxa" w:w="51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AI returns structured (not free-text) pathway recommendations.</w:t>
            </w:r>
          </w:p>
        </w:tc>
        <w:tc>
          <w:tcPr>
            <w:tcW w:type="dxa" w:w="22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FACT — Section 3, L4</w:t>
            </w:r>
          </w:p>
        </w:tc>
      </w:tr>
      <w:tr>
        <w:tc>
          <w:tcPr>
            <w:tcW w:type="dxa" w:w="20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Mobile-first delivery</w:t>
            </w:r>
          </w:p>
        </w:tc>
        <w:tc>
          <w:tcPr>
            <w:tcW w:type="dxa" w:w="51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Success scene is a phone; landing must be credible on mobile and desktop.</w:t>
            </w:r>
          </w:p>
        </w:tc>
        <w:tc>
          <w:tcPr>
            <w:tcW w:type="dxa" w:w="22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FACT — Section 7 / Phase 1</w:t>
            </w:r>
          </w:p>
        </w:tc>
      </w:tr>
    </w:tbl>
    <w:p>
      <w:pPr>
        <w:pStyle w:val="Heading2"/>
        <w:spacing w:after="120" w:before="260"/>
      </w:pPr>
      <w:r>
        <w:rPr>
          <w:rFonts w:ascii="Calibri" w:cs="Calibri" w:eastAsia="Calibri" w:hAnsi="Calibri"/>
          <w:b/>
          <w:bCs/>
          <w:color w:val="1F4E79"/>
          <w:sz w:val="25"/>
          <w:szCs w:val="25"/>
        </w:rPr>
        <w:t xml:space="preserve">1.6 Available Resources</w:t>
      </w:r>
    </w:p>
    <w:p>
      <w:pPr>
        <w:spacing w:after="120" w:before="0" w:line="276"/>
      </w:pPr>
      <w:r>
        <w:rPr>
          <w:rFonts w:ascii="Calibri" w:cs="Calibri" w:eastAsia="Calibri" w:hAnsi="Calibri"/>
          <w:b/>
          <w:bCs/>
          <w:color w:val="1F7A3D"/>
          <w:sz w:val="21"/>
          <w:szCs w:val="21"/>
        </w:rPr>
        <w:t xml:space="preserve">FACT — </w:t>
      </w:r>
      <w:r>
        <w:rPr>
          <w:rFonts w:ascii="Calibri" w:cs="Calibri" w:eastAsia="Calibri" w:hAnsi="Calibri"/>
          <w:sz w:val="21"/>
          <w:szCs w:val="21"/>
        </w:rPr>
        <w:t xml:space="preserve">Six years of real 4Prep operator case knowledge: which universities admit which profiles, scholarship outcomes, visa pathways. The brief names this explicitly as "our unfair advantage."</w:t>
      </w:r>
    </w:p>
    <w:p>
      <w:pPr>
        <w:spacing w:after="120" w:before="0" w:line="276"/>
      </w:pPr>
      <w:r>
        <w:rPr>
          <w:rFonts w:ascii="Calibri" w:cs="Calibri" w:eastAsia="Calibri" w:hAnsi="Calibri"/>
          <w:b/>
          <w:bCs/>
          <w:color w:val="1F7A3D"/>
          <w:sz w:val="21"/>
          <w:szCs w:val="21"/>
        </w:rPr>
        <w:t xml:space="preserve">FACT — </w:t>
      </w:r>
      <w:r>
        <w:rPr>
          <w:rFonts w:ascii="Calibri" w:cs="Calibri" w:eastAsia="Calibri" w:hAnsi="Calibri"/>
          <w:sz w:val="21"/>
          <w:szCs w:val="21"/>
        </w:rPr>
        <w:t xml:space="preserve">The EPIF methodology, fully written with equations in a conference paper authored by the founder — available as a complete Layer 2 specification.</w:t>
      </w:r>
    </w:p>
    <w:p>
      <w:pPr>
        <w:spacing w:after="120" w:before="0" w:line="276"/>
      </w:pPr>
      <w:r>
        <w:rPr>
          <w:rFonts w:ascii="Calibri" w:cs="Calibri" w:eastAsia="Calibri" w:hAnsi="Calibri"/>
          <w:b/>
          <w:bCs/>
          <w:color w:val="1F7A3D"/>
          <w:sz w:val="21"/>
          <w:szCs w:val="21"/>
        </w:rPr>
        <w:t xml:space="preserve">FACT — </w:t>
      </w:r>
      <w:r>
        <w:rPr>
          <w:rFonts w:ascii="Calibri" w:cs="Calibri" w:eastAsia="Calibri" w:hAnsi="Calibri"/>
          <w:sz w:val="21"/>
          <w:szCs w:val="21"/>
        </w:rPr>
        <w:t xml:space="preserve">A defined technology direction: Supabase for data, Claude API for AI orchestration.</w:t>
      </w:r>
    </w:p>
    <w:p>
      <w:pPr>
        <w:spacing w:after="120" w:before="0" w:line="276"/>
      </w:pPr>
      <w:r>
        <w:rPr>
          <w:rFonts w:ascii="Calibri" w:cs="Calibri" w:eastAsia="Calibri" w:hAnsi="Calibri"/>
          <w:b/>
          <w:bCs/>
          <w:color w:val="1F7A3D"/>
          <w:sz w:val="21"/>
          <w:szCs w:val="21"/>
        </w:rPr>
        <w:t xml:space="preserve">FACT — </w:t>
      </w:r>
      <w:r>
        <w:rPr>
          <w:rFonts w:ascii="Calibri" w:cs="Calibri" w:eastAsia="Calibri" w:hAnsi="Calibri"/>
          <w:sz w:val="21"/>
          <w:szCs w:val="21"/>
        </w:rPr>
        <w:t xml:space="preserve">An existing audience: 4Prep leads and students, available as a controlled soft-launch cohort.</w:t>
      </w:r>
    </w:p>
    <w:p>
      <w:pPr>
        <w:spacing w:after="120" w:before="0" w:line="276"/>
      </w:pPr>
      <w:r>
        <w:rPr>
          <w:rFonts w:ascii="Calibri" w:cs="Calibri" w:eastAsia="Calibri" w:hAnsi="Calibri"/>
          <w:b/>
          <w:bCs/>
          <w:color w:val="1F7A3D"/>
          <w:sz w:val="21"/>
          <w:szCs w:val="21"/>
        </w:rPr>
        <w:t xml:space="preserve">FACT — </w:t>
      </w:r>
      <w:r>
        <w:rPr>
          <w:rFonts w:ascii="Calibri" w:cs="Calibri" w:eastAsia="Calibri" w:hAnsi="Calibri"/>
          <w:sz w:val="21"/>
          <w:szCs w:val="21"/>
        </w:rPr>
        <w:t xml:space="preserve">A public narrative already in market (articles, paper, professional record) that supplies both credibility and pressure.</w:t>
      </w:r>
    </w:p>
    <w:p>
      <w:pPr>
        <w:spacing w:after="120" w:before="0" w:line="276"/>
      </w:pPr>
      <w:r>
        <w:rPr>
          <w:rFonts w:ascii="Calibri" w:cs="Calibri" w:eastAsia="Calibri" w:hAnsi="Calibri"/>
          <w:b/>
          <w:bCs/>
          <w:color w:val="B35C00"/>
          <w:sz w:val="21"/>
          <w:szCs w:val="21"/>
        </w:rPr>
        <w:t xml:space="preserve">ASSUMPTION — </w:t>
      </w:r>
      <w:r>
        <w:rPr>
          <w:rFonts w:ascii="Calibri" w:cs="Calibri" w:eastAsia="Calibri" w:hAnsi="Calibri"/>
          <w:sz w:val="21"/>
          <w:szCs w:val="21"/>
        </w:rPr>
        <w:t xml:space="preserve">Founder time is available for product decisions and for encoding operator knowledge, but is not full-time on build. The brief's check-in cadence implies delegation to a small build team, size unstated.</w:t>
      </w:r>
    </w:p>
    <w:p>
      <w:pPr>
        <w:pStyle w:val="Heading2"/>
        <w:spacing w:after="120" w:before="260"/>
      </w:pPr>
      <w:r>
        <w:rPr>
          <w:rFonts w:ascii="Calibri" w:cs="Calibri" w:eastAsia="Calibri" w:hAnsi="Calibri"/>
          <w:b/>
          <w:bCs/>
          <w:color w:val="1F4E79"/>
          <w:sz w:val="25"/>
          <w:szCs w:val="25"/>
        </w:rPr>
        <w:t xml:space="preserve">1.7 Constraints, Risks, and Missing Information</w:t>
      </w:r>
    </w:p>
    <w:p>
      <w:pPr>
        <w:pStyle w:val="Heading3"/>
        <w:spacing w:after="100" w:before="200"/>
      </w:pPr>
      <w:r>
        <w:rPr>
          <w:rFonts w:ascii="Calibri" w:cs="Calibri" w:eastAsia="Calibri" w:hAnsi="Calibri"/>
          <w:b/>
          <w:bCs/>
          <w:color w:val="2E2E2E"/>
          <w:sz w:val="22"/>
          <w:szCs w:val="22"/>
        </w:rPr>
        <w:t xml:space="preserve">Hard constraints stated in the brief</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3000"/>
        <w:gridCol w:w="6360"/>
      </w:tblGrid>
      <w:tr>
        <w:trPr>
          <w:tblHeader/>
        </w:trPr>
        <w:tc>
          <w:tcPr>
            <w:tcW w:type="dxa" w:w="30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Constraint</w:t>
            </w:r>
          </w:p>
        </w:tc>
        <w:tc>
          <w:tcPr>
            <w:tcW w:type="dxa" w:w="63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Implication for any project built here</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"Never fabricate."</w:t>
            </w:r>
          </w:p>
        </w:tc>
        <w:tc>
          <w:tcPr>
            <w:tcW w:type="dxa" w:w="63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No fake universities, scholarships, stats or testimonials anywhere — product, marketing or data. "If we don't have a number, we don't show one." A blank field must be a supported product state.</w:t>
            </w:r>
          </w:p>
        </w:tc>
      </w:tr>
      <w:tr>
        <w:tc>
          <w:tcPr>
            <w:tcW w:type="dxa" w:w="3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"AI must be grounded."</w:t>
            </w:r>
          </w:p>
        </w:tc>
        <w:tc>
          <w:tcPr>
            <w:tcW w:type="dxa" w:w="63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Every AI answer traces to a database record or the EPIF rubric. Refusal is a required behaviour, not a failure mode.</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"Match the public narrative."</w:t>
            </w:r>
          </w:p>
        </w:tc>
        <w:tc>
          <w:tcPr>
            <w:tcW w:type="dxa" w:w="63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Feature naming and description must stay consistent with the articles and the EPIF paper; divergence is escalated to Abdiaziz, not decided unilaterally.</w:t>
            </w:r>
          </w:p>
        </w:tc>
      </w:tr>
      <w:tr>
        <w:tc>
          <w:tcPr>
            <w:tcW w:type="dxa" w:w="3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"Do not invent a new scoring system."</w:t>
            </w:r>
          </w:p>
        </w:tc>
        <w:tc>
          <w:tcPr>
            <w:tcW w:type="dxa" w:w="63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EPIF is the spec. Implementation may not silently substitute its own heuristics.</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"One source of truth per layer."</w:t>
            </w:r>
          </w:p>
        </w:tc>
        <w:tc>
          <w:tcPr>
            <w:tcW w:type="dxa" w:w="63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No parallel schema docs, no parallel scoring definitions. Any new tool must slot into the existing hierarchy rather than fork it.</w:t>
            </w:r>
          </w:p>
        </w:tc>
      </w:tr>
      <w:tr>
        <w:tc>
          <w:tcPr>
            <w:tcW w:type="dxa" w:w="3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Phase order is enforced.</w:t>
            </w:r>
          </w:p>
        </w:tc>
        <w:tc>
          <w:tcPr>
            <w:tcW w:type="dxa" w:w="63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"Do not jump to Phase 4 data entry before Phase 2 flows exist, and do not gold-plate Phase 1 visuals for weeks."</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Launch before it feels ready.</w:t>
            </w:r>
          </w:p>
        </w:tc>
        <w:tc>
          <w:tcPr>
            <w:tcW w:type="dxa" w:w="63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soft launch will feel premature — launch anyway. Real user data is worth more than another week of polish."</w:t>
            </w:r>
          </w:p>
        </w:tc>
      </w:tr>
      <w:tr>
        <w:tc>
          <w:tcPr>
            <w:tcW w:type="dxa" w:w="3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Document as you build.</w:t>
            </w:r>
          </w:p>
        </w:tc>
        <w:tc>
          <w:tcPr>
            <w:tcW w:type="dxa" w:w="63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 running log with screenshots is part of the deliverable.</w:t>
            </w:r>
          </w:p>
        </w:tc>
      </w:tr>
    </w:tbl>
    <w:p>
      <w:pPr>
        <w:spacing w:after="60"/>
      </w:pPr>
      <w:r>
        <w:rPr>
          <w:sz w:val="4"/>
          <w:szCs w:val="4"/>
        </w:rPr>
        <w:t xml:space="preserve"/>
      </w:r>
    </w:p>
    <w:p>
      <w:pPr>
        <w:pStyle w:val="Heading3"/>
        <w:spacing w:after="100" w:before="200"/>
      </w:pPr>
      <w:r>
        <w:rPr>
          <w:rFonts w:ascii="Calibri" w:cs="Calibri" w:eastAsia="Calibri" w:hAnsi="Calibri"/>
          <w:b/>
          <w:bCs/>
          <w:color w:val="2E2E2E"/>
          <w:sz w:val="22"/>
          <w:szCs w:val="22"/>
        </w:rPr>
        <w:t xml:space="preserve">Risks visible in the brief</w:t>
      </w:r>
    </w:p>
    <w:p>
      <w:pPr>
        <w:pStyle w:val="ListParagraph"/>
        <w:numPr>
          <w:ilvl w:val="0"/>
          <w:numId w:val="2"/>
        </w:numPr>
        <w:spacing w:after="70" w:line="276"/>
      </w:pPr>
      <w:r>
        <w:rPr>
          <w:rFonts w:ascii="Calibri" w:cs="Calibri" w:eastAsia="Calibri" w:hAnsi="Calibri"/>
          <w:sz w:val="21"/>
          <w:szCs w:val="21"/>
        </w:rPr>
        <w:t xml:space="preserve">Hallucination risk is named directly as the failure mode that makes the product "feel fake." (FACT)</w:t>
      </w:r>
    </w:p>
    <w:p>
      <w:pPr>
        <w:pStyle w:val="ListParagraph"/>
        <w:numPr>
          <w:ilvl w:val="0"/>
          <w:numId w:val="2"/>
        </w:numPr>
        <w:spacing w:after="70" w:line="276"/>
      </w:pPr>
      <w:r>
        <w:rPr>
          <w:rFonts w:ascii="Calibri" w:cs="Calibri" w:eastAsia="Calibri" w:hAnsi="Calibri"/>
          <w:sz w:val="21"/>
          <w:szCs w:val="21"/>
        </w:rPr>
        <w:t xml:space="preserve">Reputational and evidentiary exposure: the product underpins published claims and a professional immigration record, so a demonstrably wrong or non-functional feature carries cost well beyond product churn. (FACT)</w:t>
      </w:r>
    </w:p>
    <w:p>
      <w:pPr>
        <w:pStyle w:val="ListParagraph"/>
        <w:numPr>
          <w:ilvl w:val="0"/>
          <w:numId w:val="2"/>
        </w:numPr>
        <w:spacing w:after="70" w:line="276"/>
      </w:pPr>
      <w:r>
        <w:rPr>
          <w:rFonts w:ascii="Calibri" w:cs="Calibri" w:eastAsia="Calibri" w:hAnsi="Calibri"/>
          <w:sz w:val="21"/>
          <w:szCs w:val="21"/>
        </w:rPr>
        <w:t xml:space="preserve">Sequencing risk: the brief warns twice against working out of order — a sign this has been a real tendency. (FACT)</w:t>
      </w:r>
    </w:p>
    <w:p>
      <w:pPr>
        <w:spacing w:after="60"/>
      </w:pPr>
      <w:r>
        <w:rPr>
          <w:sz w:val="4"/>
          <w:szCs w:val="4"/>
        </w:rPr>
        <w:t xml:space="preserve"/>
      </w:r>
    </w:p>
    <w:p>
      <w:pPr>
        <w:pStyle w:val="Heading3"/>
        <w:spacing w:after="100" w:before="200"/>
      </w:pPr>
      <w:r>
        <w:rPr>
          <w:rFonts w:ascii="Calibri" w:cs="Calibri" w:eastAsia="Calibri" w:hAnsi="Calibri"/>
          <w:b/>
          <w:bCs/>
          <w:color w:val="2E2E2E"/>
          <w:sz w:val="22"/>
          <w:szCs w:val="22"/>
        </w:rPr>
        <w:t xml:space="preserve">Missing information — must be resolved before committing budget or dates</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3400"/>
        <w:gridCol w:w="5960"/>
      </w:tblGrid>
      <w:tr>
        <w:trPr>
          <w:tblHeader/>
        </w:trPr>
        <w:tc>
          <w:tcPr>
            <w:tcW w:type="dxa" w:w="34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Gap</w:t>
            </w:r>
          </w:p>
        </w:tc>
        <w:tc>
          <w:tcPr>
            <w:tcW w:type="dxa" w:w="59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Why it matters</w:t>
            </w:r>
          </w:p>
        </w:tc>
      </w:tr>
      <w:tr>
        <w:tc>
          <w:tcPr>
            <w:tcW w:type="dxa" w:w="3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Team size, roles and availability</w:t>
            </w:r>
          </w:p>
        </w:tc>
        <w:tc>
          <w:tcPr>
            <w:tcW w:type="dxa" w:w="59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brief addresses a builder but never states headcount, seniority or whether anyone is full-time. Every duration estimate in this document is contingent on this.</w:t>
            </w:r>
          </w:p>
        </w:tc>
      </w:tr>
      <w:tr>
        <w:tc>
          <w:tcPr>
            <w:tcW w:type="dxa" w:w="3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Budget</w:t>
            </w:r>
          </w:p>
        </w:tc>
        <w:tc>
          <w:tcPr>
            <w:tcW w:type="dxa" w:w="59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No figure, range or funding source is given. This document therefore uses relative Low/Medium/High cost bands only.</w:t>
            </w:r>
          </w:p>
        </w:tc>
      </w:tr>
      <w:tr>
        <w:tc>
          <w:tcPr>
            <w:tcW w:type="dxa" w:w="3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Monetization model</w:t>
            </w:r>
          </w:p>
        </w:tc>
        <w:tc>
          <w:tcPr>
            <w:tcW w:type="dxa" w:w="59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Not addressed anywhere. Affects whether data depth or user volume is the priority, and whether a free tier is sustainable.</w:t>
            </w:r>
          </w:p>
        </w:tc>
      </w:tr>
      <w:tr>
        <w:tc>
          <w:tcPr>
            <w:tcW w:type="dxa" w:w="3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Exact EPIF Φ weights and equations</w:t>
            </w:r>
          </w:p>
        </w:tc>
        <w:tc>
          <w:tcPr>
            <w:tcW w:type="dxa" w:w="59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brief points to the paper; the paper is not in scope of this analysis. Component names are known; the functional form, weighting and normalisation are not.</w:t>
            </w:r>
          </w:p>
        </w:tc>
      </w:tr>
      <w:tr>
        <w:tc>
          <w:tcPr>
            <w:tcW w:type="dxa" w:w="3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Legal basis for data collection</w:t>
            </w:r>
          </w:p>
        </w:tc>
        <w:tc>
          <w:tcPr>
            <w:tcW w:type="dxa" w:w="59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Republishing tuition, deadlines and scholarship terms sourced from university websites raises terms-of-use and database-rights questions that the brief does not touch.</w:t>
            </w:r>
          </w:p>
        </w:tc>
      </w:tr>
      <w:tr>
        <w:tc>
          <w:tcPr>
            <w:tcW w:type="dxa" w:w="3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Student data privacy regime</w:t>
            </w:r>
          </w:p>
        </w:tc>
        <w:tc>
          <w:tcPr>
            <w:tcW w:type="dxa" w:w="59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Profiles include grades, budget and test scores. No privacy policy, consent model, retention period or applicable jurisdiction (Uzbekistan / Kazakhstan / EU / US) is specified.</w:t>
            </w:r>
          </w:p>
        </w:tc>
      </w:tr>
      <w:tr>
        <w:tc>
          <w:tcPr>
            <w:tcW w:type="dxa" w:w="3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Definition of "the 300 universities that matter"</w:t>
            </w:r>
          </w:p>
        </w:tc>
        <w:tc>
          <w:tcPr>
            <w:tcW w:type="dxa" w:w="59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No selection criteria, ranking or list is given. This is a scoping decision with major effort implications.</w:t>
            </w:r>
          </w:p>
        </w:tc>
      </w:tr>
      <w:tr>
        <w:tc>
          <w:tcPr>
            <w:tcW w:type="dxa" w:w="3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Quantified success metrics</w:t>
            </w:r>
          </w:p>
        </w:tc>
        <w:tc>
          <w:tcPr>
            <w:tcW w:type="dxa" w:w="59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Phase gates are qualitative ("done when"). No target user counts, conversion, accuracy or retention figures exist.</w:t>
            </w:r>
          </w:p>
        </w:tc>
      </w:tr>
      <w:tr>
        <w:tc>
          <w:tcPr>
            <w:tcW w:type="dxa" w:w="3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Data refresh policy</w:t>
            </w:r>
          </w:p>
        </w:tc>
        <w:tc>
          <w:tcPr>
            <w:tcW w:type="dxa" w:w="59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Tuition and deadlines change annually. Nothing states how often records are re-verified or what happens when they go stale.</w:t>
            </w:r>
          </w:p>
        </w:tc>
      </w:tr>
      <w:tr>
        <w:tc>
          <w:tcPr>
            <w:tcW w:type="dxa" w:w="3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Language coverage</w:t>
            </w:r>
          </w:p>
        </w:tc>
        <w:tc>
          <w:tcPr>
            <w:tcW w:type="dxa" w:w="59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audience is Central Asian; whether the product ships in English only, or also Uzbek/Russian/Kazakh, is unstated.</w:t>
            </w:r>
          </w:p>
        </w:tc>
      </w:tr>
    </w:tbl>
    <w:p>
      <w:r>
        <w:br w:type="page"/>
      </w:r>
    </w:p>
    <w:p>
      <w:pPr>
        <w:pStyle w:val="Heading1"/>
        <w:spacing w:after="160" w:before="360"/>
      </w:pPr>
      <w:r>
        <w:rPr>
          <w:rFonts w:ascii="Calibri" w:cs="Calibri" w:eastAsia="Calibri" w:hAnsi="Calibri"/>
          <w:b/>
          <w:bCs/>
          <w:color w:val="1F4E79"/>
          <w:sz w:val="30"/>
          <w:szCs w:val="30"/>
        </w:rPr>
        <w:t xml:space="preserve">2. Project Idea</w:t>
      </w:r>
    </w:p>
    <w:tbl>
      <w:tblPr>
        <w:tblW w:type="dxa" w:w="9360"/>
        <w:tblBorders>
          <w:top w:val="single" w:color="E0A800" w:sz="6"/>
          <w:left w:val="single" w:color="E0A800" w:sz="6"/>
          <w:bottom w:val="single" w:color="E0A800" w:sz="6"/>
          <w:right w:val="single" w:color="E0A800" w:sz="6"/>
          <w:insideH w:val="none"/>
          <w:insideV w:val="none"/>
        </w:tblBorders>
      </w:tblPr>
      <w:tblGrid>
        <w:gridCol w:w="9360"/>
      </w:tblGrid>
      <w:tr>
        <w:tc>
          <w:tcPr>
            <w:tcW w:type="dxa" w:w="9360"/>
            <w:shd w:fill="EEF4FB" w:color="auto" w:val="clear"/>
            <w:tcMar>
              <w:top w:type="dxa" w:w="120"/>
              <w:left w:type="dxa" w:w="160"/>
              <w:bottom w:type="dxa" w:w="120"/>
              <w:right w:type="dxa" w:w="160"/>
            </w:tcMar>
          </w:tcPr>
          <w:p>
            <w:pPr>
              <w:spacing w:after="60"/>
            </w:pPr>
            <w:r>
              <w:rPr>
                <w:rFonts w:ascii="Calibri" w:cs="Calibri" w:eastAsia="Calibri" w:hAnsi="Calibri"/>
                <w:b/>
                <w:bCs/>
                <w:sz w:val="20"/>
                <w:szCs w:val="20"/>
              </w:rPr>
              <w:t xml:space="preserve">Selection note</w:t>
            </w:r>
          </w:p>
          <w:p>
            <w:pPr>
              <w:spacing w:after="50" w:line="260"/>
            </w:pPr>
            <w:r>
              <w:rPr>
                <w:rFonts w:ascii="Calibri" w:cs="Calibri" w:eastAsia="Calibri" w:hAnsi="Calibri"/>
                <w:sz w:val="19"/>
                <w:szCs w:val="19"/>
              </w:rPr>
              <w:t xml:space="preserve">Several candidates were considered: building the Pathway Generator alone; a standalone EPIF scoring microservice; a public methodology/transparency page; a counselor-facing pathway review console; and an evidence/documentation logbook. Each is defensible. The proposal below was selected because it is the only one that addresses the failure mode the brief itself identifies as most likely (Layer 1 thinness and Layer 4 grounding), and because it unblocks all five Phase 2 AI systems simultaneously rather than one.</w:t>
            </w:r>
          </w:p>
        </w:tc>
      </w:tr>
    </w:tbl>
    <w:p>
      <w:pPr>
        <w:spacing w:after="100"/>
      </w:pPr>
      <w:r>
        <w:rPr>
          <w:sz w:val="4"/>
          <w:szCs w:val="4"/>
        </w:rPr>
        <w:t xml:space="preserve"/>
      </w:r>
    </w:p>
    <w:p>
      <w:pPr>
        <w:pStyle w:val="Heading2"/>
        <w:spacing w:after="120" w:before="260"/>
      </w:pPr>
      <w:r>
        <w:rPr>
          <w:rFonts w:ascii="Calibri" w:cs="Calibri" w:eastAsia="Calibri" w:hAnsi="Calibri"/>
          <w:b/>
          <w:bCs/>
          <w:color w:val="1F4E79"/>
          <w:sz w:val="25"/>
          <w:szCs w:val="25"/>
        </w:rPr>
        <w:t xml:space="preserve">Project name</w:t>
      </w:r>
    </w:p>
    <w:p>
      <w:pPr>
        <w:spacing w:after="120" w:before="0" w:line="276"/>
      </w:pPr>
      <w:r>
        <w:rPr>
          <w:rFonts w:ascii="Calibri" w:cs="Calibri" w:eastAsia="Calibri" w:hAnsi="Calibri"/>
          <w:b/>
          <w:bCs/>
          <w:color w:val="1F7A3D"/>
          <w:sz w:val="26"/>
          <w:szCs w:val="26"/>
        </w:rPr>
        <w:t xml:space="preserve">Ground Truth</w:t>
      </w:r>
      <w:r>
        <w:rPr>
          <w:rFonts w:ascii="Calibri" w:cs="Calibri" w:eastAsia="Calibri" w:hAnsi="Calibri"/>
          <w:sz w:val="26"/>
          <w:szCs w:val="26"/>
        </w:rPr>
        <w:t xml:space="preserve"> — the Verified Data Engine &amp; Grounding Gateway for 4Prep.ai</w:t>
      </w:r>
    </w:p>
    <w:p>
      <w:pPr>
        <w:spacing w:after="120" w:before="0" w:line="276"/>
      </w:pPr>
      <w:r>
        <w:rPr>
          <w:rFonts w:ascii="Calibri" w:cs="Calibri" w:eastAsia="Calibri" w:hAnsi="Calibri"/>
          <w:i/>
          <w:iCs/>
          <w:color w:val="666666"/>
          <w:sz w:val="21"/>
          <w:szCs w:val="21"/>
        </w:rPr>
        <w:t xml:space="preserve">Internal working name. It is an infrastructure project and is not intended as a student-facing brand.</w:t>
      </w:r>
    </w:p>
    <w:p>
      <w:pPr>
        <w:pStyle w:val="Heading2"/>
        <w:spacing w:after="120" w:before="260"/>
      </w:pPr>
      <w:r>
        <w:rPr>
          <w:rFonts w:ascii="Calibri" w:cs="Calibri" w:eastAsia="Calibri" w:hAnsi="Calibri"/>
          <w:b/>
          <w:bCs/>
          <w:color w:val="1F4E79"/>
          <w:sz w:val="25"/>
          <w:szCs w:val="25"/>
        </w:rPr>
        <w:t xml:space="preserve">One-sentence concept</w:t>
      </w:r>
    </w:p>
    <w:tbl>
      <w:tblPr>
        <w:tblW w:type="dxa" w:w="9360"/>
        <w:tblBorders>
          <w:top w:val="single" w:color="E0A800" w:sz="6"/>
          <w:left w:val="single" w:color="E0A800" w:sz="6"/>
          <w:bottom w:val="single" w:color="E0A800" w:sz="6"/>
          <w:right w:val="single" w:color="E0A800" w:sz="6"/>
          <w:insideH w:val="none"/>
          <w:insideV w:val="none"/>
        </w:tblBorders>
      </w:tblPr>
      <w:tblGrid>
        <w:gridCol w:w="9360"/>
      </w:tblGrid>
      <w:tr>
        <w:tc>
          <w:tcPr>
            <w:tcW w:type="dxa" w:w="9360"/>
            <w:shd w:fill="EAF5EE" w:color="auto" w:val="clear"/>
            <w:tcMar>
              <w:top w:type="dxa" w:w="120"/>
              <w:left w:type="dxa" w:w="160"/>
              <w:bottom w:type="dxa" w:w="120"/>
              <w:right w:type="dxa" w:w="160"/>
            </w:tcMar>
          </w:tcPr>
          <w:p>
            <w:pPr>
              <w:spacing w:after="60"/>
            </w:pPr>
            <w:r>
              <w:rPr>
                <w:rFonts w:ascii="Calibri" w:cs="Calibri" w:eastAsia="Calibri" w:hAnsi="Calibri"/>
                <w:b/>
                <w:bCs/>
                <w:sz w:val="20"/>
                <w:szCs w:val="20"/>
              </w:rPr>
              <w:t xml:space="preserve">Concept</w:t>
            </w:r>
          </w:p>
          <w:p>
            <w:pPr>
              <w:spacing w:after="50" w:line="260"/>
            </w:pPr>
            <w:r>
              <w:rPr>
                <w:rFonts w:ascii="Calibri" w:cs="Calibri" w:eastAsia="Calibri" w:hAnsi="Calibri"/>
                <w:sz w:val="19"/>
                <w:szCs w:val="19"/>
              </w:rPr>
              <w:t xml:space="preserve">Ground Truth is an internal data-operations platform and a single grounded query API that turns 4Prep's six years of operator knowledge and the ~300 target universities into source-stamped, human-verified database records, computes the EPIF Φ score on top of them, and refuses to serve any fact to the AI counselor that cannot be traced to a record and a citation.</w:t>
            </w:r>
          </w:p>
        </w:tc>
      </w:tr>
    </w:tbl>
    <w:p>
      <w:pPr>
        <w:pStyle w:val="Heading2"/>
        <w:spacing w:after="120" w:before="260"/>
      </w:pPr>
      <w:r>
        <w:rPr>
          <w:rFonts w:ascii="Calibri" w:cs="Calibri" w:eastAsia="Calibri" w:hAnsi="Calibri"/>
          <w:b/>
          <w:bCs/>
          <w:color w:val="1F4E79"/>
          <w:sz w:val="25"/>
          <w:szCs w:val="25"/>
        </w:rPr>
        <w:t xml:space="preserve">Problem it solves</w:t>
      </w:r>
    </w:p>
    <w:p>
      <w:pPr>
        <w:spacing w:after="120" w:before="0" w:line="276"/>
      </w:pPr>
      <w:r>
        <w:rPr>
          <w:rFonts w:ascii="Calibri" w:cs="Calibri" w:eastAsia="Calibri" w:hAnsi="Calibri"/>
          <w:sz w:val="21"/>
          <w:szCs w:val="21"/>
        </w:rPr>
        <w:t xml:space="preserve">The brief states two rules — "never fabricate" and "AI must be grounded" — and one done-criterion for Phase 2: each flow "cites only universities/scholarships that exist in our database, and never invents data." Nothing described in the brief makes those rules mechanically enforceable. They are prose, and prose does not fail a build.</w:t>
      </w:r>
    </w:p>
    <w:p>
      <w:pPr>
        <w:spacing w:after="120" w:before="0" w:line="276"/>
      </w:pPr>
      <w:r>
        <w:rPr>
          <w:rFonts w:ascii="Calibri" w:cs="Calibri" w:eastAsia="Calibri" w:hAnsi="Calibri"/>
          <w:sz w:val="21"/>
          <w:szCs w:val="21"/>
        </w:rPr>
        <w:t xml:space="preserve">Ground Truth converts each rule into a system property:</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3000"/>
        <w:gridCol w:w="3200"/>
        <w:gridCol w:w="3160"/>
      </w:tblGrid>
      <w:tr>
        <w:trPr>
          <w:tblHeader/>
        </w:trPr>
        <w:tc>
          <w:tcPr>
            <w:tcW w:type="dxa" w:w="30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Rule from the brief</w:t>
            </w:r>
          </w:p>
        </w:tc>
        <w:tc>
          <w:tcPr>
            <w:tcW w:type="dxa" w:w="32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Current status</w:t>
            </w:r>
          </w:p>
        </w:tc>
        <w:tc>
          <w:tcPr>
            <w:tcW w:type="dxa" w:w="31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Under Ground Truth</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Never fabricate</w:t>
            </w:r>
          </w:p>
        </w:tc>
        <w:tc>
          <w:tcPr>
            <w:tcW w:type="dxa" w:w="3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 working agreement</w:t>
            </w:r>
          </w:p>
        </w:tc>
        <w:tc>
          <w:tcPr>
            <w:tcW w:type="dxa" w:w="31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 record cannot be published without a source URL, a snapshot and a named human verifier. The schema rejects it.</w:t>
            </w:r>
          </w:p>
        </w:tc>
      </w:tr>
      <w:tr>
        <w:tc>
          <w:tcPr>
            <w:tcW w:type="dxa" w:w="3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AI must be grounded</w:t>
            </w:r>
          </w:p>
        </w:tc>
        <w:tc>
          <w:tcPr>
            <w:tcW w:type="dxa" w:w="3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 prompt-engineering aspiration</w:t>
            </w:r>
          </w:p>
        </w:tc>
        <w:tc>
          <w:tcPr>
            <w:tcW w:type="dxa" w:w="31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AI can only reach data through the Gateway, which returns records with citation IDs. Ungrounded numeric claims are stripped by a validator before the response reaches the user.</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Every record must have a source</w:t>
            </w:r>
          </w:p>
        </w:tc>
        <w:tc>
          <w:tcPr>
            <w:tcW w:type="dxa" w:w="3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 Phase 4 instruction</w:t>
            </w:r>
          </w:p>
        </w:tc>
        <w:tc>
          <w:tcPr>
            <w:tcW w:type="dxa" w:w="31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 non-nullable foreign key to a Source row, with retrieval date and expiry.</w:t>
            </w:r>
          </w:p>
        </w:tc>
      </w:tr>
      <w:tr>
        <w:tc>
          <w:tcPr>
            <w:tcW w:type="dxa" w:w="3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Do not invent a new scoring system</w:t>
            </w:r>
          </w:p>
        </w:tc>
        <w:tc>
          <w:tcPr>
            <w:tcW w:type="dxa" w:w="3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 working agreement</w:t>
            </w:r>
          </w:p>
        </w:tc>
        <w:tc>
          <w:tcPr>
            <w:tcW w:type="dxa" w:w="31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One Φ implementation behind one endpoint, versioned, with component-level breakdown returned to callers.</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Real admission difficulty from operator data</w:t>
            </w:r>
          </w:p>
        </w:tc>
        <w:tc>
          <w:tcPr>
            <w:tcW w:type="dxa" w:w="3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Knowledge in people's heads</w:t>
            </w:r>
          </w:p>
        </w:tc>
        <w:tc>
          <w:tcPr>
            <w:tcW w:type="dxa" w:w="31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Structured, de-identified Outcome Ledger records that calibrate Φ and can be cited as evidence.</w:t>
            </w:r>
          </w:p>
        </w:tc>
      </w:tr>
    </w:tbl>
    <w:p>
      <w:pPr>
        <w:pStyle w:val="Heading2"/>
        <w:spacing w:after="120" w:before="260"/>
      </w:pPr>
      <w:r>
        <w:rPr>
          <w:rFonts w:ascii="Calibri" w:cs="Calibri" w:eastAsia="Calibri" w:hAnsi="Calibri"/>
          <w:b/>
          <w:bCs/>
          <w:color w:val="1F4E79"/>
          <w:sz w:val="25"/>
          <w:szCs w:val="25"/>
        </w:rPr>
        <w:t xml:space="preserve">Target users</w:t>
      </w:r>
    </w:p>
    <w:p>
      <w:pPr>
        <w:pStyle w:val="ListParagraph"/>
        <w:numPr>
          <w:ilvl w:val="0"/>
          <w:numId w:val="2"/>
        </w:numPr>
        <w:spacing w:after="70" w:line="276"/>
      </w:pPr>
      <w:r>
        <w:rPr>
          <w:rFonts w:ascii="Calibri" w:cs="Calibri" w:eastAsia="Calibri" w:hAnsi="Calibri"/>
          <w:b/>
          <w:bCs/>
          <w:sz w:val="21"/>
          <w:szCs w:val="21"/>
        </w:rPr>
        <w:t xml:space="preserve">Data researchers / contributors — </w:t>
      </w:r>
      <w:r>
        <w:rPr>
          <w:rFonts w:ascii="Calibri" w:cs="Calibri" w:eastAsia="Calibri" w:hAnsi="Calibri"/>
          <w:sz w:val="21"/>
          <w:szCs w:val="21"/>
        </w:rPr>
        <w:t xml:space="preserve">enter and source university, program and scholarship records at speed, with AI drafting the first pass.</w:t>
      </w:r>
    </w:p>
    <w:p>
      <w:pPr>
        <w:pStyle w:val="ListParagraph"/>
        <w:numPr>
          <w:ilvl w:val="0"/>
          <w:numId w:val="2"/>
        </w:numPr>
        <w:spacing w:after="70" w:line="276"/>
      </w:pPr>
      <w:r>
        <w:rPr>
          <w:rFonts w:ascii="Calibri" w:cs="Calibri" w:eastAsia="Calibri" w:hAnsi="Calibri"/>
          <w:b/>
          <w:bCs/>
          <w:sz w:val="21"/>
          <w:szCs w:val="21"/>
        </w:rPr>
        <w:t xml:space="preserve">Data verification lead — </w:t>
      </w:r>
      <w:r>
        <w:rPr>
          <w:rFonts w:ascii="Calibri" w:cs="Calibri" w:eastAsia="Calibri" w:hAnsi="Calibri"/>
          <w:sz w:val="21"/>
          <w:szCs w:val="21"/>
        </w:rPr>
        <w:t xml:space="preserve">reviews, approves or rejects records; owns coverage and freshness.</w:t>
      </w:r>
    </w:p>
    <w:p>
      <w:pPr>
        <w:pStyle w:val="ListParagraph"/>
        <w:numPr>
          <w:ilvl w:val="0"/>
          <w:numId w:val="2"/>
        </w:numPr>
        <w:spacing w:after="70" w:line="276"/>
      </w:pPr>
      <w:r>
        <w:rPr>
          <w:rFonts w:ascii="Calibri" w:cs="Calibri" w:eastAsia="Calibri" w:hAnsi="Calibri"/>
          <w:b/>
          <w:bCs/>
          <w:sz w:val="21"/>
          <w:szCs w:val="21"/>
        </w:rPr>
        <w:t xml:space="preserve">Founder (Abdiaziz) — </w:t>
      </w:r>
      <w:r>
        <w:rPr>
          <w:rFonts w:ascii="Calibri" w:cs="Calibri" w:eastAsia="Calibri" w:hAnsi="Calibri"/>
          <w:sz w:val="21"/>
          <w:szCs w:val="21"/>
        </w:rPr>
        <w:t xml:space="preserve">encodes operator case knowledge into the Outcome Ledger; owns EPIF weights; reads coverage and confidence dashboards; exports evidence packs.</w:t>
      </w:r>
    </w:p>
    <w:p>
      <w:pPr>
        <w:pStyle w:val="ListParagraph"/>
        <w:numPr>
          <w:ilvl w:val="0"/>
          <w:numId w:val="2"/>
        </w:numPr>
        <w:spacing w:after="70" w:line="276"/>
      </w:pPr>
      <w:r>
        <w:rPr>
          <w:rFonts w:ascii="Calibri" w:cs="Calibri" w:eastAsia="Calibri" w:hAnsi="Calibri"/>
          <w:b/>
          <w:bCs/>
          <w:sz w:val="21"/>
          <w:szCs w:val="21"/>
        </w:rPr>
        <w:t xml:space="preserve">Engineering / prompt team — </w:t>
      </w:r>
      <w:r>
        <w:rPr>
          <w:rFonts w:ascii="Calibri" w:cs="Calibri" w:eastAsia="Calibri" w:hAnsi="Calibri"/>
          <w:sz w:val="21"/>
          <w:szCs w:val="21"/>
        </w:rPr>
        <w:t xml:space="preserve">consumes one documented API instead of hand-writing queries per AI system; runs the grounding eval suite in CI.</w:t>
      </w:r>
    </w:p>
    <w:p>
      <w:pPr>
        <w:pStyle w:val="ListParagraph"/>
        <w:numPr>
          <w:ilvl w:val="0"/>
          <w:numId w:val="2"/>
        </w:numPr>
        <w:spacing w:after="70" w:line="276"/>
      </w:pPr>
      <w:r>
        <w:rPr>
          <w:rFonts w:ascii="Calibri" w:cs="Calibri" w:eastAsia="Calibri" w:hAnsi="Calibri"/>
          <w:b/>
          <w:bCs/>
          <w:sz w:val="21"/>
          <w:szCs w:val="21"/>
        </w:rPr>
        <w:t xml:space="preserve">Students — </w:t>
      </w:r>
      <w:r>
        <w:rPr>
          <w:rFonts w:ascii="Calibri" w:cs="Calibri" w:eastAsia="Calibri" w:hAnsi="Calibri"/>
          <w:sz w:val="21"/>
          <w:szCs w:val="21"/>
        </w:rPr>
        <w:t xml:space="preserve">indirect users. They never see Ground Truth, but every number, citation and fit score they see comes from it.</w:t>
      </w:r>
    </w:p>
    <w:p>
      <w:pPr>
        <w:pStyle w:val="Heading2"/>
        <w:spacing w:after="120" w:before="260"/>
      </w:pPr>
      <w:r>
        <w:rPr>
          <w:rFonts w:ascii="Calibri" w:cs="Calibri" w:eastAsia="Calibri" w:hAnsi="Calibri"/>
          <w:b/>
          <w:bCs/>
          <w:color w:val="1F4E79"/>
          <w:sz w:val="25"/>
          <w:szCs w:val="25"/>
        </w:rPr>
        <w:t xml:space="preserve">Main value proposition</w:t>
      </w:r>
    </w:p>
    <w:p>
      <w:pPr>
        <w:spacing w:after="120" w:before="0" w:line="276"/>
      </w:pPr>
      <w:r>
        <w:rPr>
          <w:rFonts w:ascii="Calibri" w:cs="Calibri" w:eastAsia="Calibri" w:hAnsi="Calibri"/>
          <w:sz w:val="21"/>
          <w:szCs w:val="21"/>
        </w:rPr>
        <w:t xml:space="preserve">Ground Truth makes 4Prep.ai's central public claim — "built on real student outcomes, every fact real, sourced and defensible" — a property of the system rather than a promise about the team's discipline. It also removes the single largest hidden cost in the roadmap: 300 universities × dozens of fields × mandatory sourcing is the biggest labour item in the entire plan, and the brief allocates it a single Phase 4 bullet.</w:t>
      </w:r>
    </w:p>
    <w:p>
      <w:pPr>
        <w:pStyle w:val="Heading2"/>
        <w:spacing w:after="120" w:before="260"/>
      </w:pPr>
      <w:r>
        <w:rPr>
          <w:rFonts w:ascii="Calibri" w:cs="Calibri" w:eastAsia="Calibri" w:hAnsi="Calibri"/>
          <w:b/>
          <w:bCs/>
          <w:color w:val="1F4E79"/>
          <w:sz w:val="25"/>
          <w:szCs w:val="25"/>
        </w:rPr>
        <w:t xml:space="preserve">Why this is the strongest idea</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2400"/>
        <w:gridCol w:w="6960"/>
      </w:tblGrid>
      <w:tr>
        <w:trPr>
          <w:tblHeader/>
        </w:trPr>
        <w:tc>
          <w:tcPr>
            <w:tcW w:type="dxa" w:w="24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Argument</w:t>
            </w:r>
          </w:p>
        </w:tc>
        <w:tc>
          <w:tcPr>
            <w:tcW w:type="dxa" w:w="69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Evidence from the brief</w:t>
            </w:r>
          </w:p>
        </w:tc>
      </w:tr>
      <w:tr>
        <w:tc>
          <w:tcPr>
            <w:tcW w:type="dxa" w:w="2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It targets the stated most-likely failure</w:t>
            </w:r>
          </w:p>
        </w:tc>
        <w:tc>
          <w:tcPr>
            <w:tcW w:type="dxa" w:w="69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"Most problems are Layer 1 (not enough real data) or Layer 4 (prompts not structured well)." Ground Truth is precisely Layer 1 plus the Layer 1↔Layer 4 contract.</w:t>
            </w:r>
          </w:p>
        </w:tc>
      </w:tr>
      <w:tr>
        <w:tc>
          <w:tcPr>
            <w:tcW w:type="dxa" w:w="2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It unblocks five features, not one</w:t>
            </w:r>
          </w:p>
        </w:tc>
        <w:tc>
          <w:tcPr>
            <w:tcW w:type="dxa" w:w="69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All five Phase 2 systems (Pathway, Scholarship, Skill Gap, Country Fit, Career Projection) read the same underlying entities. Building the data layer well multiplies across all of them; building any one flow well does not.</w:t>
            </w:r>
          </w:p>
        </w:tc>
      </w:tr>
      <w:tr>
        <w:tc>
          <w:tcPr>
            <w:tcW w:type="dxa" w:w="2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It makes a Phase 2 gate achievable</w:t>
            </w:r>
          </w:p>
        </w:tc>
        <w:tc>
          <w:tcPr>
            <w:tcW w:type="dxa" w:w="69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"Cites only universities/scholarships that exist in our database, and never invents data" cannot be demonstrated without a citation contract and a test suite. Today it can only be spot-checked by eye.</w:t>
            </w:r>
          </w:p>
        </w:tc>
      </w:tr>
      <w:tr>
        <w:tc>
          <w:tcPr>
            <w:tcW w:type="dxa" w:w="2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It is the honest reading of Phase 4</w:t>
            </w:r>
          </w:p>
        </w:tc>
        <w:tc>
          <w:tcPr>
            <w:tcW w:type="dxa" w:w="69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"Data entry in batches: verified tuition, scholarships, requirements, deadlines. Every record must have a source." That is a data-operations programme, not a task. Without tooling it will be done in spreadsheets, and sourcing will be the first thing dropped under time pressure.</w:t>
            </w:r>
          </w:p>
        </w:tc>
      </w:tr>
      <w:tr>
        <w:tc>
          <w:tcPr>
            <w:tcW w:type="dxa" w:w="2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It serves the evidentiary requirement</w:t>
            </w:r>
          </w:p>
        </w:tc>
        <w:tc>
          <w:tcPr>
            <w:tcW w:type="dxa" w:w="69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Section 1 requires the product to be real and demonstrable for published articles and the EB-1A record. A provenance-complete database with an audit trail is directly exhibitable; a chat transcript is not.</w:t>
            </w:r>
          </w:p>
        </w:tc>
      </w:tr>
      <w:tr>
        <w:tc>
          <w:tcPr>
            <w:tcW w:type="dxa" w:w="2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It respects the phase ordering</w:t>
            </w:r>
          </w:p>
        </w:tc>
        <w:tc>
          <w:tcPr>
            <w:tcW w:type="dxa" w:w="69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It does not jump to Phase 4 content. It builds the machine during Phases 1–2 so Phase 4 execution is fast, then runs the actual data fill in Phase 4 as the brief specifies.</w:t>
            </w:r>
          </w:p>
        </w:tc>
      </w:tr>
      <w:tr>
        <w:tc>
          <w:tcPr>
            <w:tcW w:type="dxa" w:w="2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It is the moat, made durable</w:t>
            </w:r>
          </w:p>
        </w:tc>
        <w:tc>
          <w:tcPr>
            <w:tcW w:type="dxa" w:w="69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brief calls operator data "our unfair advantage." Knowledge in people's heads is not an asset. A structured, de-identified outcome ledger is.</w:t>
            </w:r>
          </w:p>
        </w:tc>
      </w:tr>
    </w:tbl>
    <w:p>
      <w:pPr>
        <w:pStyle w:val="Heading2"/>
        <w:spacing w:after="120" w:before="260"/>
      </w:pPr>
      <w:r>
        <w:rPr>
          <w:rFonts w:ascii="Calibri" w:cs="Calibri" w:eastAsia="Calibri" w:hAnsi="Calibri"/>
          <w:b/>
          <w:bCs/>
          <w:color w:val="1F4E79"/>
          <w:sz w:val="25"/>
          <w:szCs w:val="25"/>
        </w:rPr>
        <w:t xml:space="preserve">Expected impact</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2000"/>
        <w:gridCol w:w="3680"/>
        <w:gridCol w:w="3680"/>
      </w:tblGrid>
      <w:tr>
        <w:trPr>
          <w:tblHeader/>
        </w:trPr>
        <w:tc>
          <w:tcPr>
            <w:tcW w:type="dxa" w:w="20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Horizon</w:t>
            </w:r>
          </w:p>
        </w:tc>
        <w:tc>
          <w:tcPr>
            <w:tcW w:type="dxa" w:w="368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Impact</w:t>
            </w:r>
          </w:p>
        </w:tc>
        <w:tc>
          <w:tcPr>
            <w:tcW w:type="dxa" w:w="368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How it shows up</w:t>
            </w:r>
          </w:p>
        </w:tc>
      </w:tr>
      <w:tr>
        <w:tc>
          <w:tcPr>
            <w:tcW w:type="dxa" w:w="20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Short term (0–3 months)</w:t>
            </w:r>
          </w:p>
        </w:tc>
        <w:tc>
          <w:tcPr>
            <w:tcW w:type="dxa" w:w="3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Phase 2 gates become testable; data entry throughput rises sharply; hallucination incidents become measurable rather than anecdotal.</w:t>
            </w:r>
          </w:p>
        </w:tc>
        <w:tc>
          <w:tcPr>
            <w:tcW w:type="dxa" w:w="3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 coverage dashboard reading "184 / 300 universities complete"; a CI job that fails a prompt change which introduces an uncited figure; verified records per researcher-day trending up.</w:t>
            </w:r>
          </w:p>
        </w:tc>
      </w:tr>
      <w:tr>
        <w:tc>
          <w:tcPr>
            <w:tcW w:type="dxa" w:w="2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Medium term (3–9 months)</w:t>
            </w:r>
          </w:p>
        </w:tc>
        <w:tc>
          <w:tcPr>
            <w:tcW w:type="dxa" w:w="3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Soft launch runs on defensible data. Every screen is screenshot-safe for articles and the evidence record. Φ is calibrated against real outcomes rather than assumed selectivity.</w:t>
            </w:r>
          </w:p>
        </w:tc>
        <w:tc>
          <w:tcPr>
            <w:tcW w:type="dxa" w:w="3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 first cohort generating pathways where each number links to a source; a calibration report comparing predicted fit to historical admit outcomes.</w:t>
            </w:r>
          </w:p>
        </w:tc>
      </w:tr>
      <w:tr>
        <w:tc>
          <w:tcPr>
            <w:tcW w:type="dxa" w:w="20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Long term (9+ months)</w:t>
            </w:r>
          </w:p>
        </w:tc>
        <w:tc>
          <w:tcPr>
            <w:tcW w:type="dxa" w:w="3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dataset compounds: each cohort adds outcomes, each outcome sharpens Φ, and the accuracy gap over generic tools widens in the one segment 4Prep serves. Optional licensing or partner surface becomes possible.</w:t>
            </w:r>
          </w:p>
        </w:tc>
        <w:tc>
          <w:tcPr>
            <w:tcW w:type="dxa" w:w="3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Measured improvement in recommendation accuracy year over year; a dataset that a competitor cannot replicate by scraping, because outcomes are proprietary.</w:t>
            </w:r>
          </w:p>
        </w:tc>
      </w:tr>
    </w:tbl>
    <w:p>
      <w:r>
        <w:br w:type="page"/>
      </w:r>
    </w:p>
    <w:p>
      <w:pPr>
        <w:pStyle w:val="Heading1"/>
        <w:spacing w:after="160" w:before="360"/>
      </w:pPr>
      <w:r>
        <w:rPr>
          <w:rFonts w:ascii="Calibri" w:cs="Calibri" w:eastAsia="Calibri" w:hAnsi="Calibri"/>
          <w:b/>
          <w:bCs/>
          <w:color w:val="1F4E79"/>
          <w:sz w:val="30"/>
          <w:szCs w:val="30"/>
        </w:rPr>
        <w:t xml:space="preserve">3. Core Features</w:t>
      </w:r>
    </w:p>
    <w:p>
      <w:pPr>
        <w:spacing w:after="120" w:before="0" w:line="276"/>
      </w:pPr>
      <w:r>
        <w:rPr>
          <w:rFonts w:ascii="Calibri" w:cs="Calibri" w:eastAsia="Calibri" w:hAnsi="Calibri"/>
          <w:i/>
          <w:iCs/>
          <w:color w:val="555555"/>
          <w:sz w:val="21"/>
          <w:szCs w:val="21"/>
        </w:rPr>
        <w:t xml:space="preserve">Ground Truth has three subsystems: the Sourcing Console (how records get made), the Outcome Ledger (how operator knowledge gets structured), and the Grounding Gateway (how the AI is allowed to read). Features below are assigned across them.</w:t>
      </w:r>
    </w:p>
    <w:p>
      <w:pPr>
        <w:pStyle w:val="Heading2"/>
        <w:spacing w:after="120" w:before="260"/>
      </w:pPr>
      <w:r>
        <w:rPr>
          <w:rFonts w:ascii="Calibri" w:cs="Calibri" w:eastAsia="Calibri" w:hAnsi="Calibri"/>
          <w:b/>
          <w:bCs/>
          <w:color w:val="1F4E79"/>
          <w:sz w:val="25"/>
          <w:szCs w:val="25"/>
        </w:rPr>
        <w:t xml:space="preserve">3.1 MVP Features</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2100"/>
        <w:gridCol w:w="3400"/>
        <w:gridCol w:w="1500"/>
        <w:gridCol w:w="2360"/>
      </w:tblGrid>
      <w:tr>
        <w:trPr>
          <w:tblHeader/>
        </w:trPr>
        <w:tc>
          <w:tcPr>
            <w:tcW w:type="dxa" w:w="21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Feature</w:t>
            </w:r>
          </w:p>
        </w:tc>
        <w:tc>
          <w:tcPr>
            <w:tcW w:type="dxa" w:w="34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What it does</w:t>
            </w:r>
          </w:p>
        </w:tc>
        <w:tc>
          <w:tcPr>
            <w:tcW w:type="dxa" w:w="15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Who uses it</w:t>
            </w:r>
          </w:p>
        </w:tc>
        <w:tc>
          <w:tcPr>
            <w:tcW w:type="dxa" w:w="23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Why it is necessary</w:t>
            </w:r>
          </w:p>
        </w:tc>
      </w:tr>
      <w:tr>
        <w:tc>
          <w:tcPr>
            <w:tcW w:type="dxa" w:w="21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Provenance-enforced schema</w:t>
            </w:r>
          </w:p>
        </w:tc>
        <w:tc>
          <w:tcPr>
            <w:tcW w:type="dxa" w:w="34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Every fact-bearing field (tuition, deadline, requirement, scholarship amount) carries source_url, source_type, retrieved_at, verified_by, verified_at and expires_at. Publishing without a source is rejected at the database level.</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Engineering (defines), all data roles (bound by it)</w:t>
            </w:r>
          </w:p>
        </w:tc>
        <w:tc>
          <w:tcPr>
            <w:tcW w:type="dxa" w:w="23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Makes "every record must have a source" a constraint rather than a habit. Everything else in the system depends on it.</w:t>
            </w:r>
          </w:p>
        </w:tc>
      </w:tr>
      <w:tr>
        <w:tc>
          <w:tcPr>
            <w:tcW w:type="dxa" w:w="21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Record editor with source capture</w:t>
            </w:r>
          </w:p>
        </w:tc>
        <w:tc>
          <w:tcPr>
            <w:tcW w:type="dxa" w:w="3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A dense, keyboard-driven form for creating and editing university, program and scholarship records. Pasting a source URL stores an archived snapshot alongside the field.</w:t>
            </w:r>
          </w:p>
        </w:tc>
        <w:tc>
          <w:tcPr>
            <w:tcW w:type="dxa" w:w="15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Data researchers</w:t>
            </w:r>
          </w:p>
        </w:tc>
        <w:tc>
          <w:tcPr>
            <w:tcW w:type="dxa" w:w="23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Sourcing must be cheaper than not sourcing, or it will be skipped. This is the single biggest determinant of Phase 4 throughput.</w:t>
            </w:r>
          </w:p>
        </w:tc>
      </w:tr>
      <w:tr>
        <w:tc>
          <w:tcPr>
            <w:tcW w:type="dxa" w:w="21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AI extraction assist</w:t>
            </w:r>
          </w:p>
        </w:tc>
        <w:tc>
          <w:tcPr>
            <w:tcW w:type="dxa" w:w="34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Given an official page, Claude drafts structured field values and attaches a per-field citation with the exact quoted text. Output is always a draft — never auto-published.</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Data researchers</w:t>
            </w:r>
          </w:p>
        </w:tc>
        <w:tc>
          <w:tcPr>
            <w:tcW w:type="dxa" w:w="23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Turns hours of transcription into minutes of confirmation, which is what makes 300 deep records feasible at all.</w:t>
            </w:r>
          </w:p>
        </w:tc>
      </w:tr>
      <w:tr>
        <w:tc>
          <w:tcPr>
            <w:tcW w:type="dxa" w:w="21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Human verification queue</w:t>
            </w:r>
          </w:p>
        </w:tc>
        <w:tc>
          <w:tcPr>
            <w:tcW w:type="dxa" w:w="3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A two-state workflow (draft → verified) with named approver, timestamp and reject-with-reason. High-risk fields (tuition, scholarship amount, deadline) require a second reviewer.</w:t>
            </w:r>
          </w:p>
        </w:tc>
        <w:tc>
          <w:tcPr>
            <w:tcW w:type="dxa" w:w="15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Verification lead</w:t>
            </w:r>
          </w:p>
        </w:tc>
        <w:tc>
          <w:tcPr>
            <w:tcW w:type="dxa" w:w="23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The brief's golden rule is that nothing gets faked. A human name against every published number is what makes that auditable.</w:t>
            </w:r>
          </w:p>
        </w:tc>
      </w:tr>
      <w:tr>
        <w:tc>
          <w:tcPr>
            <w:tcW w:type="dxa" w:w="21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EPIF Φ scoring service</w:t>
            </w:r>
          </w:p>
        </w:tc>
        <w:tc>
          <w:tcPr>
            <w:tcW w:type="dxa" w:w="34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One versioned implementation of the paper's five-component model. Returns the total score plus the component breakdown and a plain-language reason string per component.</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Engineering, indirectly students</w:t>
            </w:r>
          </w:p>
        </w:tc>
        <w:tc>
          <w:tcPr>
            <w:tcW w:type="dxa" w:w="23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"Do not invent a new scoring system" and "a fit score she can understand" both require exactly one implementation that can explain itself.</w:t>
            </w:r>
          </w:p>
        </w:tc>
      </w:tr>
      <w:tr>
        <w:tc>
          <w:tcPr>
            <w:tcW w:type="dxa" w:w="21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Grounding Gateway API</w:t>
            </w:r>
          </w:p>
        </w:tc>
        <w:tc>
          <w:tcPr>
            <w:tcW w:type="dxa" w:w="3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The only path from AI to data. Endpoints for profile-match, university detail and scholarship-match, each returning records bundled with citation IDs.</w:t>
            </w:r>
          </w:p>
        </w:tc>
        <w:tc>
          <w:tcPr>
            <w:tcW w:type="dxa" w:w="15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Engineering / prompt team</w:t>
            </w:r>
          </w:p>
        </w:tc>
        <w:tc>
          <w:tcPr>
            <w:tcW w:type="dxa" w:w="23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Without a single choke point, each of the five AI systems invents its own querying and its own grounding quality.</w:t>
            </w:r>
          </w:p>
        </w:tc>
      </w:tr>
      <w:tr>
        <w:tc>
          <w:tcPr>
            <w:tcW w:type="dxa" w:w="21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Ungrounded-claim validator</w:t>
            </w:r>
          </w:p>
        </w:tc>
        <w:tc>
          <w:tcPr>
            <w:tcW w:type="dxa" w:w="34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Inspects AI output before it reaches a user; any figure, name or deadline not traceable to a returned citation ID is stripped or the response is rejected.</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Runs automatically</w:t>
            </w:r>
          </w:p>
        </w:tc>
        <w:tc>
          <w:tcPr>
            <w:tcW w:type="dxa" w:w="23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This is the mechanism that turns "never invents data" from an aspiration into an enforced behaviour.</w:t>
            </w:r>
          </w:p>
        </w:tc>
      </w:tr>
      <w:tr>
        <w:tc>
          <w:tcPr>
            <w:tcW w:type="dxa" w:w="21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Coverage dashboard</w:t>
            </w:r>
          </w:p>
        </w:tc>
        <w:tc>
          <w:tcPr>
            <w:tcW w:type="dxa" w:w="3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Completeness by university and by field against the ~300 target list, plus staleness counts.</w:t>
            </w:r>
          </w:p>
        </w:tc>
        <w:tc>
          <w:tcPr>
            <w:tcW w:type="dxa" w:w="15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Founder, verification lead</w:t>
            </w:r>
          </w:p>
        </w:tc>
        <w:tc>
          <w:tcPr>
            <w:tcW w:type="dxa" w:w="23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Phase 4 has a numeric gate. Progress toward it has to be visible daily, not discovered at the end.</w:t>
            </w:r>
          </w:p>
        </w:tc>
      </w:tr>
      <w:tr>
        <w:tc>
          <w:tcPr>
            <w:tcW w:type="dxa" w:w="21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Grounding eval harness</w:t>
            </w:r>
          </w:p>
        </w:tc>
        <w:tc>
          <w:tcPr>
            <w:tcW w:type="dxa" w:w="34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A golden set of ~50 realistic student profiles; asserts every factual claim in the output maps to a record ID and that missing data produces a refusal, not a guess. Runs in CI.</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Engineering</w:t>
            </w:r>
          </w:p>
        </w:tc>
        <w:tc>
          <w:tcPr>
            <w:tcW w:type="dxa" w:w="23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Prompt changes silently regress grounding. This is the regression test for the product's core promise.</w:t>
            </w:r>
          </w:p>
        </w:tc>
      </w:tr>
    </w:tbl>
    <w:p>
      <w:pPr>
        <w:pStyle w:val="Heading2"/>
        <w:spacing w:after="120" w:before="260"/>
      </w:pPr>
      <w:r>
        <w:rPr>
          <w:rFonts w:ascii="Calibri" w:cs="Calibri" w:eastAsia="Calibri" w:hAnsi="Calibri"/>
          <w:b/>
          <w:bCs/>
          <w:color w:val="1F4E79"/>
          <w:sz w:val="25"/>
          <w:szCs w:val="25"/>
        </w:rPr>
        <w:t xml:space="preserve">3.2 Secondary Features</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2100"/>
        <w:gridCol w:w="3900"/>
        <w:gridCol w:w="3360"/>
      </w:tblGrid>
      <w:tr>
        <w:trPr>
          <w:tblHeader/>
        </w:trPr>
        <w:tc>
          <w:tcPr>
            <w:tcW w:type="dxa" w:w="21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Feature</w:t>
            </w:r>
          </w:p>
        </w:tc>
        <w:tc>
          <w:tcPr>
            <w:tcW w:type="dxa" w:w="39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What it does</w:t>
            </w:r>
          </w:p>
        </w:tc>
        <w:tc>
          <w:tcPr>
            <w:tcW w:type="dxa" w:w="33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Why it matters</w:t>
            </w:r>
          </w:p>
        </w:tc>
      </w:tr>
      <w:tr>
        <w:tc>
          <w:tcPr>
            <w:tcW w:type="dxa" w:w="21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Outcome Ledger</w:t>
            </w:r>
          </w:p>
        </w:tc>
        <w:tc>
          <w:tcPr>
            <w:tcW w:type="dxa" w:w="39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Structured, de-identified records of historical 4Prep cases: profile features at time of application, university applied to, decision, scholarship awarded, visa outcome.</w:t>
            </w:r>
          </w:p>
        </w:tc>
        <w:tc>
          <w:tcPr>
            <w:tcW w:type="dxa" w:w="33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This is where the "unfair advantage" stops being tacit. It converts admission difficulty from an assumed figure into an observed one, and it is the only proprietary input Φ has.</w:t>
            </w:r>
          </w:p>
        </w:tc>
      </w:tr>
      <w:tr>
        <w:tc>
          <w:tcPr>
            <w:tcW w:type="dxa" w:w="21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Φ calibration report</w:t>
            </w:r>
          </w:p>
        </w:tc>
        <w:tc>
          <w:tcPr>
            <w:tcW w:type="dxa" w:w="3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Compares Φ predictions against Outcome Ledger results and reports component-level error; proposes weight adjustments for founder approval.</w:t>
            </w:r>
          </w:p>
        </w:tc>
        <w:tc>
          <w:tcPr>
            <w:tcW w:type="dxa" w:w="33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Turns the scoring model from a fixed rubric into a learning one — without handing weight changes to an automated process.</w:t>
            </w:r>
          </w:p>
        </w:tc>
      </w:tr>
      <w:tr>
        <w:tc>
          <w:tcPr>
            <w:tcW w:type="dxa" w:w="21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Freshness and expiry alerts</w:t>
            </w:r>
          </w:p>
        </w:tc>
        <w:tc>
          <w:tcPr>
            <w:tcW w:type="dxa" w:w="39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Flags records whose deadline has passed or whose tuition was retrieved more than twelve months ago; surfaces a re-verification queue.</w:t>
            </w:r>
          </w:p>
        </w:tc>
        <w:tc>
          <w:tcPr>
            <w:tcW w:type="dxa" w:w="33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Tuition and deadlines change annually. Stale data is a slower, quieter version of fabrication.</w:t>
            </w:r>
          </w:p>
        </w:tc>
      </w:tr>
      <w:tr>
        <w:tc>
          <w:tcPr>
            <w:tcW w:type="dxa" w:w="21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Source snapshot archive</w:t>
            </w:r>
          </w:p>
        </w:tc>
        <w:tc>
          <w:tcPr>
            <w:tcW w:type="dxa" w:w="3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Stores an HTML/PDF capture of each source page at retrieval time.</w:t>
            </w:r>
          </w:p>
        </w:tc>
        <w:tc>
          <w:tcPr>
            <w:tcW w:type="dxa" w:w="33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Universities restructure their sites constantly. A dead link is not evidence; an archived page is — which matters for both students and the evidentiary record.</w:t>
            </w:r>
          </w:p>
        </w:tc>
      </w:tr>
      <w:tr>
        <w:tc>
          <w:tcPr>
            <w:tcW w:type="dxa" w:w="21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Field-level change history</w:t>
            </w:r>
          </w:p>
        </w:tc>
        <w:tc>
          <w:tcPr>
            <w:tcW w:type="dxa" w:w="39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Full audit log of who changed what, when, and from which source, with rollback.</w:t>
            </w:r>
          </w:p>
        </w:tc>
        <w:tc>
          <w:tcPr>
            <w:tcW w:type="dxa" w:w="33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Required to answer "where did this number come from?" months later, and to recover from a bad batch import.</w:t>
            </w:r>
          </w:p>
        </w:tc>
      </w:tr>
      <w:tr>
        <w:tc>
          <w:tcPr>
            <w:tcW w:type="dxa" w:w="21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Batch import and reconciliation</w:t>
            </w:r>
          </w:p>
        </w:tc>
        <w:tc>
          <w:tcPr>
            <w:tcW w:type="dxa" w:w="3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CSV/spreadsheet import that maps to the schema, flags conflicts with existing records, and routes everything through the same verification queue.</w:t>
            </w:r>
          </w:p>
        </w:tc>
        <w:tc>
          <w:tcPr>
            <w:tcW w:type="dxa" w:w="33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Some source data will arrive in bulk. It must not become a side door around verification.</w:t>
            </w:r>
          </w:p>
        </w:tc>
      </w:tr>
      <w:tr>
        <w:tc>
          <w:tcPr>
            <w:tcW w:type="dxa" w:w="21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Public methodology page generator</w:t>
            </w:r>
          </w:p>
        </w:tc>
        <w:tc>
          <w:tcPr>
            <w:tcW w:type="dxa" w:w="39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Renders the live EPIF parameters and data-coverage statistics as a public "how we score" page.</w:t>
            </w:r>
          </w:p>
        </w:tc>
        <w:tc>
          <w:tcPr>
            <w:tcW w:type="dxa" w:w="33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Niche.com's trust comes from a visible methodology. This also keeps the public description automatically consistent with the implementation.</w:t>
            </w:r>
          </w:p>
        </w:tc>
      </w:tr>
    </w:tbl>
    <w:p>
      <w:pPr>
        <w:pStyle w:val="Heading2"/>
        <w:spacing w:after="120" w:before="260"/>
      </w:pPr>
      <w:r>
        <w:rPr>
          <w:rFonts w:ascii="Calibri" w:cs="Calibri" w:eastAsia="Calibri" w:hAnsi="Calibri"/>
          <w:b/>
          <w:bCs/>
          <w:color w:val="1F4E79"/>
          <w:sz w:val="25"/>
          <w:szCs w:val="25"/>
        </w:rPr>
        <w:t xml:space="preserve">3.3 Future Features</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2100"/>
        <w:gridCol w:w="3900"/>
        <w:gridCol w:w="3360"/>
      </w:tblGrid>
      <w:tr>
        <w:trPr>
          <w:tblHeader/>
        </w:trPr>
        <w:tc>
          <w:tcPr>
            <w:tcW w:type="dxa" w:w="21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Feature</w:t>
            </w:r>
          </w:p>
        </w:tc>
        <w:tc>
          <w:tcPr>
            <w:tcW w:type="dxa" w:w="39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What it does</w:t>
            </w:r>
          </w:p>
        </w:tc>
        <w:tc>
          <w:tcPr>
            <w:tcW w:type="dxa" w:w="33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Why later</w:t>
            </w:r>
          </w:p>
        </w:tc>
      </w:tr>
      <w:tr>
        <w:tc>
          <w:tcPr>
            <w:tcW w:type="dxa" w:w="21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Automated source monitoring</w:t>
            </w:r>
          </w:p>
        </w:tc>
        <w:tc>
          <w:tcPr>
            <w:tcW w:type="dxa" w:w="39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Periodically re-fetches source pages, diffs them and opens a re-verification task when a monitored value changes.</w:t>
            </w:r>
          </w:p>
        </w:tc>
        <w:tc>
          <w:tcPr>
            <w:tcW w:type="dxa" w:w="33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Only worth building once there is enough data for manual re-verification to be the bottleneck.</w:t>
            </w:r>
          </w:p>
        </w:tc>
      </w:tr>
      <w:tr>
        <w:tc>
          <w:tcPr>
            <w:tcW w:type="dxa" w:w="21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In-product correction loop</w:t>
            </w:r>
          </w:p>
        </w:tc>
        <w:tc>
          <w:tcPr>
            <w:tcW w:type="dxa" w:w="3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Lets students and counselors flag a wrong figure from the live app; the flag lands directly in the verification queue with context.</w:t>
            </w:r>
          </w:p>
        </w:tc>
        <w:tc>
          <w:tcPr>
            <w:tcW w:type="dxa" w:w="33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Needs real users first. Becomes the cheapest source of data-quality signal once the pilot is running.</w:t>
            </w:r>
          </w:p>
        </w:tc>
      </w:tr>
      <w:tr>
        <w:tc>
          <w:tcPr>
            <w:tcW w:type="dxa" w:w="21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Outcome-weighted Φ tuning</w:t>
            </w:r>
          </w:p>
        </w:tc>
        <w:tc>
          <w:tcPr>
            <w:tcW w:type="dxa" w:w="39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Fits component weights statistically against accumulated outcomes rather than adjusting them by hand.</w:t>
            </w:r>
          </w:p>
        </w:tc>
        <w:tc>
          <w:tcPr>
            <w:tcW w:type="dxa" w:w="33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Requires a meaningful sample. Premature fitting on small n produces confident nonsense.</w:t>
            </w:r>
          </w:p>
        </w:tc>
      </w:tr>
      <w:tr>
        <w:tc>
          <w:tcPr>
            <w:tcW w:type="dxa" w:w="21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Multi-language source handling</w:t>
            </w:r>
          </w:p>
        </w:tc>
        <w:tc>
          <w:tcPr>
            <w:tcW w:type="dxa" w:w="3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Extraction and storage for Russian, Uzbek and Kazakh source pages, and localized field display.</w:t>
            </w:r>
          </w:p>
        </w:tc>
        <w:tc>
          <w:tcPr>
            <w:tcW w:type="dxa" w:w="33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Depends on a decision about product language that the brief does not make.</w:t>
            </w:r>
          </w:p>
        </w:tc>
      </w:tr>
      <w:tr>
        <w:tc>
          <w:tcPr>
            <w:tcW w:type="dxa" w:w="21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Confidence-weighted ranking</w:t>
            </w:r>
          </w:p>
        </w:tc>
        <w:tc>
          <w:tcPr>
            <w:tcW w:type="dxa" w:w="39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Lets Φ discount universities whose underlying records are thin or stale, so recommendation quality degrades gracefully instead of silently.</w:t>
            </w:r>
          </w:p>
        </w:tc>
        <w:tc>
          <w:tcPr>
            <w:tcW w:type="dxa" w:w="33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Needs a populated confidence signal, which only exists after the MVP has been running.</w:t>
            </w:r>
          </w:p>
        </w:tc>
      </w:tr>
      <w:tr>
        <w:tc>
          <w:tcPr>
            <w:tcW w:type="dxa" w:w="21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Partner / research data access</w:t>
            </w:r>
          </w:p>
        </w:tc>
        <w:tc>
          <w:tcPr>
            <w:tcW w:type="dxa" w:w="3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 read-only, licensed API surface over the verified dataset.</w:t>
            </w:r>
          </w:p>
        </w:tc>
        <w:tc>
          <w:tcPr>
            <w:tcW w:type="dxa" w:w="33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 monetization and positioning question, not an engineering one — and monetization is currently undefined.</w:t>
            </w:r>
          </w:p>
        </w:tc>
      </w:tr>
    </w:tbl>
    <w:p>
      <w:r>
        <w:br w:type="page"/>
      </w:r>
    </w:p>
    <w:p>
      <w:pPr>
        <w:pStyle w:val="Heading1"/>
        <w:spacing w:after="160" w:before="360"/>
      </w:pPr>
      <w:r>
        <w:rPr>
          <w:rFonts w:ascii="Calibri" w:cs="Calibri" w:eastAsia="Calibri" w:hAnsi="Calibri"/>
          <w:b/>
          <w:bCs/>
          <w:color w:val="1F4E79"/>
          <w:sz w:val="30"/>
          <w:szCs w:val="30"/>
        </w:rPr>
        <w:t xml:space="preserve">4. User Workflow</w:t>
      </w:r>
    </w:p>
    <w:p>
      <w:pPr>
        <w:pStyle w:val="Heading2"/>
        <w:spacing w:after="120" w:before="260"/>
      </w:pPr>
      <w:r>
        <w:rPr>
          <w:rFonts w:ascii="Calibri" w:cs="Calibri" w:eastAsia="Calibri" w:hAnsi="Calibri"/>
          <w:b/>
          <w:bCs/>
          <w:color w:val="1F4E79"/>
          <w:sz w:val="25"/>
          <w:szCs w:val="25"/>
        </w:rPr>
        <w:t xml:space="preserve">4.1 How users access the project</w:t>
      </w:r>
    </w:p>
    <w:p>
      <w:pPr>
        <w:pStyle w:val="ListParagraph"/>
        <w:numPr>
          <w:ilvl w:val="0"/>
          <w:numId w:val="2"/>
        </w:numPr>
        <w:spacing w:after="70" w:line="276"/>
      </w:pPr>
      <w:r>
        <w:rPr>
          <w:rFonts w:ascii="Calibri" w:cs="Calibri" w:eastAsia="Calibri" w:hAnsi="Calibri"/>
          <w:b/>
          <w:bCs/>
          <w:sz w:val="21"/>
          <w:szCs w:val="21"/>
        </w:rPr>
        <w:t xml:space="preserve">Students — </w:t>
      </w:r>
      <w:r>
        <w:rPr>
          <w:rFonts w:ascii="Calibri" w:cs="Calibri" w:eastAsia="Calibri" w:hAnsi="Calibri"/>
          <w:sz w:val="21"/>
          <w:szCs w:val="21"/>
        </w:rPr>
        <w:t xml:space="preserve">no direct access. They reach Ground Truth only through the public app, and only through the Gateway. This is deliberate: there is exactly one read path, so there is exactly one place grounding can be enforced.</w:t>
      </w:r>
    </w:p>
    <w:p>
      <w:pPr>
        <w:pStyle w:val="ListParagraph"/>
        <w:numPr>
          <w:ilvl w:val="0"/>
          <w:numId w:val="2"/>
        </w:numPr>
        <w:spacing w:after="70" w:line="276"/>
      </w:pPr>
      <w:r>
        <w:rPr>
          <w:rFonts w:ascii="Calibri" w:cs="Calibri" w:eastAsia="Calibri" w:hAnsi="Calibri"/>
          <w:b/>
          <w:bCs/>
          <w:sz w:val="21"/>
          <w:szCs w:val="21"/>
        </w:rPr>
        <w:t xml:space="preserve">Internal staff — </w:t>
      </w:r>
      <w:r>
        <w:rPr>
          <w:rFonts w:ascii="Calibri" w:cs="Calibri" w:eastAsia="Calibri" w:hAnsi="Calibri"/>
          <w:sz w:val="21"/>
          <w:szCs w:val="21"/>
        </w:rPr>
        <w:t xml:space="preserve">an authenticated admin console on a separate subdomain (proposed: data.4prep.ai — ASSUMPTION, subject to the founder's domain conventions), with role-based access.</w:t>
      </w:r>
    </w:p>
    <w:p>
      <w:pPr>
        <w:pStyle w:val="ListParagraph"/>
        <w:numPr>
          <w:ilvl w:val="0"/>
          <w:numId w:val="2"/>
        </w:numPr>
        <w:spacing w:after="70" w:line="276"/>
      </w:pPr>
      <w:r>
        <w:rPr>
          <w:rFonts w:ascii="Calibri" w:cs="Calibri" w:eastAsia="Calibri" w:hAnsi="Calibri"/>
          <w:b/>
          <w:bCs/>
          <w:sz w:val="21"/>
          <w:szCs w:val="21"/>
        </w:rPr>
        <w:t xml:space="preserve">Engineering — </w:t>
      </w:r>
      <w:r>
        <w:rPr>
          <w:rFonts w:ascii="Calibri" w:cs="Calibri" w:eastAsia="Calibri" w:hAnsi="Calibri"/>
          <w:sz w:val="21"/>
          <w:szCs w:val="21"/>
        </w:rPr>
        <w:t xml:space="preserve">a documented HTTP API plus a typed client, using a service credential. No direct database reads from AI code paths.</w:t>
      </w:r>
    </w:p>
    <w:p>
      <w:pPr>
        <w:pStyle w:val="Heading2"/>
        <w:spacing w:after="120" w:before="260"/>
      </w:pPr>
      <w:r>
        <w:rPr>
          <w:rFonts w:ascii="Calibri" w:cs="Calibri" w:eastAsia="Calibri" w:hAnsi="Calibri"/>
          <w:b/>
          <w:bCs/>
          <w:color w:val="1F4E79"/>
          <w:sz w:val="25"/>
          <w:szCs w:val="25"/>
        </w:rPr>
        <w:t xml:space="preserve">4.2 Main user journey — data researcher</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600"/>
        <w:gridCol w:w="2200"/>
        <w:gridCol w:w="3300"/>
        <w:gridCol w:w="3260"/>
      </w:tblGrid>
      <w:tr>
        <w:trPr>
          <w:tblHeader/>
        </w:trPr>
        <w:tc>
          <w:tcPr>
            <w:tcW w:type="dxa" w:w="6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w:t>
            </w:r>
          </w:p>
        </w:tc>
        <w:tc>
          <w:tcPr>
            <w:tcW w:type="dxa" w:w="22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Step</w:t>
            </w:r>
          </w:p>
        </w:tc>
        <w:tc>
          <w:tcPr>
            <w:tcW w:type="dxa" w:w="33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Action</w:t>
            </w:r>
          </w:p>
        </w:tc>
        <w:tc>
          <w:tcPr>
            <w:tcW w:type="dxa" w:w="32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System response</w:t>
            </w:r>
          </w:p>
        </w:tc>
      </w:tr>
      <w:tr>
        <w:tc>
          <w:tcPr>
            <w:tcW w:type="dxa" w:w="6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1</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Claim work</w:t>
            </w:r>
          </w:p>
        </w:tc>
        <w:tc>
          <w:tcPr>
            <w:tcW w:type="dxa" w:w="33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Opens the console; picks the next university from the prioritized target queue.</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Shows what is missing for that university, field by field, and what has gone stale.</w:t>
            </w:r>
          </w:p>
        </w:tc>
      </w:tr>
      <w:tr>
        <w:tc>
          <w:tcPr>
            <w:tcW w:type="dxa" w:w="6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2</w:t>
            </w:r>
          </w:p>
        </w:tc>
        <w:tc>
          <w:tcPr>
            <w:tcW w:type="dxa" w:w="2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Supply source</w:t>
            </w:r>
          </w:p>
        </w:tc>
        <w:tc>
          <w:tcPr>
            <w:tcW w:type="dxa" w:w="33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Pastes the URL of the official tuition or admissions page.</w:t>
            </w:r>
          </w:p>
        </w:tc>
        <w:tc>
          <w:tcPr>
            <w:tcW w:type="dxa" w:w="32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Fetches and archives a snapshot; Claude returns drafted field values, each with the exact quoted supporting text.</w:t>
            </w:r>
          </w:p>
        </w:tc>
      </w:tr>
      <w:tr>
        <w:tc>
          <w:tcPr>
            <w:tcW w:type="dxa" w:w="6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3</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Confirm</w:t>
            </w:r>
          </w:p>
        </w:tc>
        <w:tc>
          <w:tcPr>
            <w:tcW w:type="dxa" w:w="33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Reviews each drafted field against the quote; edits or clears anything unsupported.</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Fields with no supporting quote stay empty and are marked "not found" — never guessed.</w:t>
            </w:r>
          </w:p>
        </w:tc>
      </w:tr>
      <w:tr>
        <w:tc>
          <w:tcPr>
            <w:tcW w:type="dxa" w:w="6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4</w:t>
            </w:r>
          </w:p>
        </w:tc>
        <w:tc>
          <w:tcPr>
            <w:tcW w:type="dxa" w:w="2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Submit</w:t>
            </w:r>
          </w:p>
        </w:tc>
        <w:tc>
          <w:tcPr>
            <w:tcW w:type="dxa" w:w="33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Submits the record for verification.</w:t>
            </w:r>
          </w:p>
        </w:tc>
        <w:tc>
          <w:tcPr>
            <w:tcW w:type="dxa" w:w="32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Enters the queue as draft. Not visible to the Gateway, therefore invisible to the AI.</w:t>
            </w:r>
          </w:p>
        </w:tc>
      </w:tr>
      <w:tr>
        <w:tc>
          <w:tcPr>
            <w:tcW w:type="dxa" w:w="6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5</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Verification</w:t>
            </w:r>
          </w:p>
        </w:tc>
        <w:tc>
          <w:tcPr>
            <w:tcW w:type="dxa" w:w="33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Verification lead reviews; high-risk fields need a second reviewer.</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On approve: record is stamped with verifier, timestamp and expiry, and becomes readable by the Gateway. On reject: returns with a reason.</w:t>
            </w:r>
          </w:p>
        </w:tc>
      </w:tr>
      <w:tr>
        <w:tc>
          <w:tcPr>
            <w:tcW w:type="dxa" w:w="6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6</w:t>
            </w:r>
          </w:p>
        </w:tc>
        <w:tc>
          <w:tcPr>
            <w:tcW w:type="dxa" w:w="2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Live</w:t>
            </w:r>
          </w:p>
        </w:tc>
        <w:tc>
          <w:tcPr>
            <w:tcW w:type="dxa" w:w="33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w:t>
            </w:r>
          </w:p>
        </w:tc>
        <w:tc>
          <w:tcPr>
            <w:tcW w:type="dxa" w:w="32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Coverage dashboard updates; the record is now citable by the AI counselor.</w:t>
            </w:r>
          </w:p>
        </w:tc>
      </w:tr>
    </w:tbl>
    <w:p>
      <w:pPr>
        <w:pStyle w:val="Heading2"/>
        <w:spacing w:after="120" w:before="260"/>
      </w:pPr>
      <w:r>
        <w:rPr>
          <w:rFonts w:ascii="Calibri" w:cs="Calibri" w:eastAsia="Calibri" w:hAnsi="Calibri"/>
          <w:b/>
          <w:bCs/>
          <w:color w:val="1F4E79"/>
          <w:sz w:val="25"/>
          <w:szCs w:val="25"/>
        </w:rPr>
        <w:t xml:space="preserve">4.3 Main user journey — student (indirect, via the Gateway)</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600"/>
        <w:gridCol w:w="2400"/>
        <w:gridCol w:w="6360"/>
      </w:tblGrid>
      <w:tr>
        <w:trPr>
          <w:tblHeader/>
        </w:trPr>
        <w:tc>
          <w:tcPr>
            <w:tcW w:type="dxa" w:w="6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w:t>
            </w:r>
          </w:p>
        </w:tc>
        <w:tc>
          <w:tcPr>
            <w:tcW w:type="dxa" w:w="24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Step</w:t>
            </w:r>
          </w:p>
        </w:tc>
        <w:tc>
          <w:tcPr>
            <w:tcW w:type="dxa" w:w="63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What Ground Truth does</w:t>
            </w:r>
          </w:p>
        </w:tc>
      </w:tr>
      <w:tr>
        <w:tc>
          <w:tcPr>
            <w:tcW w:type="dxa" w:w="6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1</w:t>
            </w:r>
          </w:p>
        </w:tc>
        <w:tc>
          <w:tcPr>
            <w:tcW w:type="dxa" w:w="2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Student enters profile: grades, budget, IELTS, goals, location preference.</w:t>
            </w:r>
          </w:p>
        </w:tc>
        <w:tc>
          <w:tcPr>
            <w:tcW w:type="dxa" w:w="63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Profile is normalised into the Φ input schema.</w:t>
            </w:r>
          </w:p>
        </w:tc>
      </w:tr>
      <w:tr>
        <w:tc>
          <w:tcPr>
            <w:tcW w:type="dxa" w:w="6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2</w:t>
            </w:r>
          </w:p>
        </w:tc>
        <w:tc>
          <w:tcPr>
            <w:tcW w:type="dxa" w:w="2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App calls the Gateway.</w:t>
            </w:r>
          </w:p>
        </w:tc>
        <w:tc>
          <w:tcPr>
            <w:tcW w:type="dxa" w:w="63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Retrieves candidate universities and scholarships from verified records only. Draft and expired records are excluded.</w:t>
            </w:r>
          </w:p>
        </w:tc>
      </w:tr>
      <w:tr>
        <w:tc>
          <w:tcPr>
            <w:tcW w:type="dxa" w:w="6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3</w:t>
            </w:r>
          </w:p>
        </w:tc>
        <w:tc>
          <w:tcPr>
            <w:tcW w:type="dxa" w:w="2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Φ is computed per candidate.</w:t>
            </w:r>
          </w:p>
        </w:tc>
        <w:tc>
          <w:tcPr>
            <w:tcW w:type="dxa" w:w="63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Returns total score plus the five component sub-scores with reason strings.</w:t>
            </w:r>
          </w:p>
        </w:tc>
      </w:tr>
      <w:tr>
        <w:tc>
          <w:tcPr>
            <w:tcW w:type="dxa" w:w="6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4</w:t>
            </w:r>
          </w:p>
        </w:tc>
        <w:tc>
          <w:tcPr>
            <w:tcW w:type="dxa" w:w="2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Claude composes the pathway.</w:t>
            </w:r>
          </w:p>
        </w:tc>
        <w:tc>
          <w:tcPr>
            <w:tcW w:type="dxa" w:w="63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Receives the record bundle, the citation IDs and the EPIF rubric — and nothing else. It writes narrative, it does not supply facts.</w:t>
            </w:r>
          </w:p>
        </w:tc>
      </w:tr>
      <w:tr>
        <w:tc>
          <w:tcPr>
            <w:tcW w:type="dxa" w:w="6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5</w:t>
            </w:r>
          </w:p>
        </w:tc>
        <w:tc>
          <w:tcPr>
            <w:tcW w:type="dxa" w:w="2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Validator runs.</w:t>
            </w:r>
          </w:p>
        </w:tc>
        <w:tc>
          <w:tcPr>
            <w:tcW w:type="dxa" w:w="63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Every figure in the draft response is checked against the citation bundle. Unsupported claims are stripped; if a required fact is genuinely missing, the response says so and asks for more information.</w:t>
            </w:r>
          </w:p>
        </w:tc>
      </w:tr>
      <w:tr>
        <w:tc>
          <w:tcPr>
            <w:tcW w:type="dxa" w:w="6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6</w:t>
            </w:r>
          </w:p>
        </w:tc>
        <w:tc>
          <w:tcPr>
            <w:tcW w:type="dxa" w:w="2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Student sees the result.</w:t>
            </w:r>
          </w:p>
        </w:tc>
        <w:tc>
          <w:tcPr>
            <w:tcW w:type="dxa" w:w="63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Ranked universities with an explainable fit score, qualifying scholarships, a month-by-month plan, and a source link behind every number.</w:t>
            </w:r>
          </w:p>
        </w:tc>
      </w:tr>
    </w:tbl>
    <w:p>
      <w:pPr>
        <w:pStyle w:val="Heading2"/>
        <w:spacing w:after="120" w:before="260"/>
      </w:pPr>
      <w:r>
        <w:rPr>
          <w:rFonts w:ascii="Calibri" w:cs="Calibri" w:eastAsia="Calibri" w:hAnsi="Calibri"/>
          <w:b/>
          <w:bCs/>
          <w:color w:val="1F4E79"/>
          <w:sz w:val="25"/>
          <w:szCs w:val="25"/>
        </w:rPr>
        <w:t xml:space="preserve">4.4 Inputs and outputs</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3120"/>
        <w:gridCol w:w="3120"/>
        <w:gridCol w:w="3120"/>
      </w:tblGrid>
      <w:tr>
        <w:trPr>
          <w:tblHeader/>
        </w:trPr>
        <w:tc>
          <w:tcPr>
            <w:tcW w:type="dxa" w:w="312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Actor</w:t>
            </w:r>
          </w:p>
        </w:tc>
        <w:tc>
          <w:tcPr>
            <w:tcW w:type="dxa" w:w="312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Inputs</w:t>
            </w:r>
          </w:p>
        </w:tc>
        <w:tc>
          <w:tcPr>
            <w:tcW w:type="dxa" w:w="312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Outputs</w:t>
            </w:r>
          </w:p>
        </w:tc>
      </w:tr>
      <w:tr>
        <w:tc>
          <w:tcPr>
            <w:tcW w:type="dxa" w:w="312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Data researcher</w:t>
            </w:r>
          </w:p>
        </w:tc>
        <w:tc>
          <w:tcPr>
            <w:tcW w:type="dxa" w:w="312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Official source URLs; PDF prospectuses; batch CSVs</w:t>
            </w:r>
          </w:p>
        </w:tc>
        <w:tc>
          <w:tcPr>
            <w:tcW w:type="dxa" w:w="312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Draft records with per-field citations</w:t>
            </w:r>
          </w:p>
        </w:tc>
      </w:tr>
      <w:tr>
        <w:tc>
          <w:tcPr>
            <w:tcW w:type="dxa" w:w="312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Verification lead</w:t>
            </w:r>
          </w:p>
        </w:tc>
        <w:tc>
          <w:tcPr>
            <w:tcW w:type="dxa" w:w="312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Draft queue; conflict and staleness reports</w:t>
            </w:r>
          </w:p>
        </w:tc>
        <w:tc>
          <w:tcPr>
            <w:tcW w:type="dxa" w:w="312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Verified records; rejections with reasons; coverage status</w:t>
            </w:r>
          </w:p>
        </w:tc>
      </w:tr>
      <w:tr>
        <w:tc>
          <w:tcPr>
            <w:tcW w:type="dxa" w:w="312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Founder</w:t>
            </w:r>
          </w:p>
        </w:tc>
        <w:tc>
          <w:tcPr>
            <w:tcW w:type="dxa" w:w="312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Historical case knowledge; EPIF weight decisions; the 300-university priority list</w:t>
            </w:r>
          </w:p>
        </w:tc>
        <w:tc>
          <w:tcPr>
            <w:tcW w:type="dxa" w:w="312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Outcome Ledger entries; approved Φ weight set; evidence pack exports</w:t>
            </w:r>
          </w:p>
        </w:tc>
      </w:tr>
      <w:tr>
        <w:tc>
          <w:tcPr>
            <w:tcW w:type="dxa" w:w="312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AI counselor (L4)</w:t>
            </w:r>
          </w:p>
        </w:tc>
        <w:tc>
          <w:tcPr>
            <w:tcW w:type="dxa" w:w="312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Student profile; Gateway record bundle; citation IDs; EPIF rubric</w:t>
            </w:r>
          </w:p>
        </w:tc>
        <w:tc>
          <w:tcPr>
            <w:tcW w:type="dxa" w:w="312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Structured pathway with citation references only</w:t>
            </w:r>
          </w:p>
        </w:tc>
      </w:tr>
      <w:tr>
        <w:tc>
          <w:tcPr>
            <w:tcW w:type="dxa" w:w="312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Student (via app)</w:t>
            </w:r>
          </w:p>
        </w:tc>
        <w:tc>
          <w:tcPr>
            <w:tcW w:type="dxa" w:w="312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Grades, budget, English level, career goal, geography preference</w:t>
            </w:r>
          </w:p>
        </w:tc>
        <w:tc>
          <w:tcPr>
            <w:tcW w:type="dxa" w:w="312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Ranked fit scores, matching scholarships, month-by-month plan, source links</w:t>
            </w:r>
          </w:p>
        </w:tc>
      </w:tr>
    </w:tbl>
    <w:p>
      <w:pPr>
        <w:pStyle w:val="Heading2"/>
        <w:spacing w:after="120" w:before="260"/>
      </w:pPr>
      <w:r>
        <w:rPr>
          <w:rFonts w:ascii="Calibri" w:cs="Calibri" w:eastAsia="Calibri" w:hAnsi="Calibri"/>
          <w:b/>
          <w:bCs/>
          <w:color w:val="1F4E79"/>
          <w:sz w:val="25"/>
          <w:szCs w:val="25"/>
        </w:rPr>
        <w:t xml:space="preserve">4.5 Administrator workflow</w:t>
      </w:r>
    </w:p>
    <w:p>
      <w:pPr>
        <w:pStyle w:val="ListParagraph"/>
        <w:numPr>
          <w:ilvl w:val="0"/>
          <w:numId w:val="3"/>
        </w:numPr>
        <w:spacing w:after="70" w:line="276"/>
      </w:pPr>
      <w:r>
        <w:rPr>
          <w:rFonts w:ascii="Calibri" w:cs="Calibri" w:eastAsia="Calibri" w:hAnsi="Calibri"/>
          <w:sz w:val="21"/>
          <w:szCs w:val="21"/>
        </w:rPr>
        <w:t xml:space="preserve">Weekly: review the coverage dashboard against the Phase 4 target of ~300 universities; re-prioritise the researcher queue where gaps block common student profiles.</w:t>
      </w:r>
    </w:p>
    <w:p>
      <w:pPr>
        <w:pStyle w:val="ListParagraph"/>
        <w:numPr>
          <w:ilvl w:val="0"/>
          <w:numId w:val="3"/>
        </w:numPr>
        <w:spacing w:after="70" w:line="276"/>
      </w:pPr>
      <w:r>
        <w:rPr>
          <w:rFonts w:ascii="Calibri" w:cs="Calibri" w:eastAsia="Calibri" w:hAnsi="Calibri"/>
          <w:sz w:val="21"/>
          <w:szCs w:val="21"/>
        </w:rPr>
        <w:t xml:space="preserve">Weekly: clear the second-reviewer queue for high-risk fields (tuition, scholarship amounts, deadlines).</w:t>
      </w:r>
    </w:p>
    <w:p>
      <w:pPr>
        <w:pStyle w:val="ListParagraph"/>
        <w:numPr>
          <w:ilvl w:val="0"/>
          <w:numId w:val="3"/>
        </w:numPr>
        <w:spacing w:after="70" w:line="276"/>
      </w:pPr>
      <w:r>
        <w:rPr>
          <w:rFonts w:ascii="Calibri" w:cs="Calibri" w:eastAsia="Calibri" w:hAnsi="Calibri"/>
          <w:sz w:val="21"/>
          <w:szCs w:val="21"/>
        </w:rPr>
        <w:t xml:space="preserve">Monthly: review the staleness report and schedule re-verification for records approaching expiry.</w:t>
      </w:r>
    </w:p>
    <w:p>
      <w:pPr>
        <w:pStyle w:val="ListParagraph"/>
        <w:numPr>
          <w:ilvl w:val="0"/>
          <w:numId w:val="3"/>
        </w:numPr>
        <w:spacing w:after="70" w:line="276"/>
      </w:pPr>
      <w:r>
        <w:rPr>
          <w:rFonts w:ascii="Calibri" w:cs="Calibri" w:eastAsia="Calibri" w:hAnsi="Calibri"/>
          <w:sz w:val="21"/>
          <w:szCs w:val="21"/>
        </w:rPr>
        <w:t xml:space="preserve">Monthly: read the Φ calibration report; approve or defer any weight change. Weight changes are versioned and never applied silently.</w:t>
      </w:r>
    </w:p>
    <w:p>
      <w:pPr>
        <w:pStyle w:val="ListParagraph"/>
        <w:numPr>
          <w:ilvl w:val="0"/>
          <w:numId w:val="3"/>
        </w:numPr>
        <w:spacing w:after="70" w:line="276"/>
      </w:pPr>
      <w:r>
        <w:rPr>
          <w:rFonts w:ascii="Calibri" w:cs="Calibri" w:eastAsia="Calibri" w:hAnsi="Calibri"/>
          <w:sz w:val="21"/>
          <w:szCs w:val="21"/>
        </w:rPr>
        <w:t xml:space="preserve">Per release: read the grounding eval results. A failing suite blocks the release — this is the enforcement point for "never invents data."</w:t>
      </w:r>
    </w:p>
    <w:p>
      <w:pPr>
        <w:pStyle w:val="ListParagraph"/>
        <w:numPr>
          <w:ilvl w:val="0"/>
          <w:numId w:val="3"/>
        </w:numPr>
        <w:spacing w:after="70" w:line="276"/>
      </w:pPr>
      <w:r>
        <w:rPr>
          <w:rFonts w:ascii="Calibri" w:cs="Calibri" w:eastAsia="Calibri" w:hAnsi="Calibri"/>
          <w:sz w:val="21"/>
          <w:szCs w:val="21"/>
        </w:rPr>
        <w:t xml:space="preserve">Ongoing: manage roles and access; export the evidence pack (coverage statistics, audit trail, screenshots) for documentation and the public record.</w:t>
      </w:r>
    </w:p>
    <w:p>
      <w:pPr>
        <w:pStyle w:val="Heading2"/>
        <w:spacing w:after="120" w:before="260"/>
      </w:pPr>
      <w:r>
        <w:rPr>
          <w:rFonts w:ascii="Calibri" w:cs="Calibri" w:eastAsia="Calibri" w:hAnsi="Calibri"/>
          <w:b/>
          <w:bCs/>
          <w:color w:val="1F4E79"/>
          <w:sz w:val="25"/>
          <w:szCs w:val="25"/>
        </w:rPr>
        <w:t xml:space="preserve">4.6 One real-life example</w:t>
      </w:r>
    </w:p>
    <w:tbl>
      <w:tblPr>
        <w:tblW w:type="dxa" w:w="9360"/>
        <w:tblBorders>
          <w:top w:val="single" w:color="E0A800" w:sz="6"/>
          <w:left w:val="single" w:color="E0A800" w:sz="6"/>
          <w:bottom w:val="single" w:color="E0A800" w:sz="6"/>
          <w:right w:val="single" w:color="E0A800" w:sz="6"/>
          <w:insideH w:val="none"/>
          <w:insideV w:val="none"/>
        </w:tblBorders>
      </w:tblPr>
      <w:tblGrid>
        <w:gridCol w:w="9360"/>
      </w:tblGrid>
      <w:tr>
        <w:tc>
          <w:tcPr>
            <w:tcW w:type="dxa" w:w="9360"/>
            <w:shd w:fill="EAF5EE" w:color="auto" w:val="clear"/>
            <w:tcMar>
              <w:top w:type="dxa" w:w="120"/>
              <w:left w:type="dxa" w:w="160"/>
              <w:bottom w:type="dxa" w:w="120"/>
              <w:right w:type="dxa" w:w="160"/>
            </w:tcMar>
          </w:tcPr>
          <w:p>
            <w:pPr>
              <w:spacing w:after="60"/>
            </w:pPr>
            <w:r>
              <w:rPr>
                <w:rFonts w:ascii="Calibri" w:cs="Calibri" w:eastAsia="Calibri" w:hAnsi="Calibri"/>
                <w:b/>
                <w:bCs/>
                <w:sz w:val="20"/>
                <w:szCs w:val="20"/>
              </w:rPr>
              <w:t xml:space="preserve">Nilufar, 17, Tashkent — the Section 7 scene, traced through Ground Truth</w:t>
            </w:r>
          </w:p>
          <w:p>
            <w:pPr>
              <w:spacing w:after="50" w:line="260"/>
            </w:pPr>
            <w:r>
              <w:rPr>
                <w:rFonts w:ascii="Calibri" w:cs="Calibri" w:eastAsia="Calibri" w:hAnsi="Calibri"/>
                <w:sz w:val="19"/>
                <w:szCs w:val="19"/>
              </w:rPr>
              <w:t xml:space="preserve">Two weeks before: a researcher works through the target queue and reaches Jagiellonian University. She pastes the official international-fees page; Claude drafts annual tuition, the application deadline and the IELTS minimum, each with the supporting quote. It drafts nothing for "average scholarship award" — the page does not state it — so that field stays empty and is marked not-found. She submits. The verification lead approves, with a second reviewer on the tuition figure. The record goes live with a twelve-month expiry.</w:t>
            </w:r>
          </w:p>
          <w:p>
            <w:pPr>
              <w:spacing w:after="50" w:line="260"/>
            </w:pPr>
            <w:r>
              <w:rPr>
                <w:rFonts w:ascii="Calibri" w:cs="Calibri" w:eastAsia="Calibri" w:hAnsi="Calibri"/>
                <w:sz w:val="19"/>
                <w:szCs w:val="19"/>
              </w:rPr>
              <w:t xml:space="preserve">Separately, the founder adds fourteen de-identified Outcome Ledger entries for Polish universities from the 2023–2025 cohorts, including three Jagiellonian applications with a scholarship outcome on one. Admission difficulty for that program is now an observed rate, not an estimate.</w:t>
            </w:r>
          </w:p>
          <w:p>
            <w:pPr>
              <w:spacing w:after="50" w:line="260"/>
            </w:pPr>
            <w:r>
              <w:rPr>
                <w:rFonts w:ascii="Calibri" w:cs="Calibri" w:eastAsia="Calibri" w:hAnsi="Calibri"/>
                <w:sz w:val="19"/>
                <w:szCs w:val="19"/>
              </w:rPr>
              <w:t xml:space="preserve">Today: Nilufar opens the app on her phone. She enters a 4.4 GPA, a family budget of USD 9,000 per year, IELTS 6.5, and an interest in computer science. The Gateway returns eleven verified candidate universities; Φ scores them and Jagiellonian ranks second — strong on Financial Fit and Language Readiness, mid on Academic Fit based on real outcomes for profiles like hers. Claude writes her pathway from that bundle.</w:t>
            </w:r>
          </w:p>
          <w:p>
            <w:pPr>
              <w:spacing w:after="50" w:line="260"/>
            </w:pPr>
            <w:r>
              <w:rPr>
                <w:rFonts w:ascii="Calibri" w:cs="Calibri" w:eastAsia="Calibri" w:hAnsi="Calibri"/>
                <w:sz w:val="19"/>
                <w:szCs w:val="19"/>
              </w:rPr>
              <w:t xml:space="preserve">The validator catches one thing: the draft response mentions a typical scholarship award for Jagiellonian. No citation supports it, because that field was never filled. The claim is stripped, and the response instead tells her the award amount is not published and suggests she ask the faculty office directly.</w:t>
            </w:r>
          </w:p>
          <w:p>
            <w:pPr>
              <w:spacing w:after="50" w:line="260"/>
            </w:pPr>
            <w:r>
              <w:rPr>
                <w:rFonts w:ascii="Calibri" w:cs="Calibri" w:eastAsia="Calibri" w:hAnsi="Calibri"/>
                <w:sz w:val="19"/>
                <w:szCs w:val="19"/>
              </w:rPr>
              <w:t xml:space="preserve">What she sees: five ranked universities with an explainable score, three scholarships she actually qualifies for, and a month-by-month plan — every figure with a source link, and one honest gap. She saves the plan.</w:t>
            </w:r>
          </w:p>
          <w:p>
            <w:pPr>
              <w:spacing w:after="50" w:line="260"/>
            </w:pPr>
            <w:r>
              <w:rPr>
                <w:rFonts w:ascii="Calibri" w:cs="Calibri" w:eastAsia="Calibri" w:hAnsi="Calibri"/>
                <w:sz w:val="19"/>
                <w:szCs w:val="19"/>
              </w:rPr>
              <w:t xml:space="preserve">What she does not see is the point: the one number the system could not defend never reached her screen, and nobody had to notice it manually.</w:t>
            </w:r>
          </w:p>
        </w:tc>
      </w:tr>
    </w:tbl>
    <w:p>
      <w:r>
        <w:br w:type="page"/>
      </w:r>
    </w:p>
    <w:p>
      <w:pPr>
        <w:pStyle w:val="Heading1"/>
        <w:spacing w:after="160" w:before="360"/>
      </w:pPr>
      <w:r>
        <w:rPr>
          <w:rFonts w:ascii="Calibri" w:cs="Calibri" w:eastAsia="Calibri" w:hAnsi="Calibri"/>
          <w:b/>
          <w:bCs/>
          <w:color w:val="1F4E79"/>
          <w:sz w:val="30"/>
          <w:szCs w:val="30"/>
        </w:rPr>
        <w:t xml:space="preserve">5. Technical Plan</w:t>
      </w:r>
    </w:p>
    <w:p>
      <w:pPr>
        <w:spacing w:after="120" w:before="0" w:line="276"/>
      </w:pPr>
      <w:r>
        <w:rPr>
          <w:rFonts w:ascii="Calibri" w:cs="Calibri" w:eastAsia="Calibri" w:hAnsi="Calibri"/>
          <w:i/>
          <w:iCs/>
          <w:color w:val="555555"/>
          <w:sz w:val="21"/>
          <w:szCs w:val="21"/>
        </w:rPr>
        <w:t xml:space="preserve">The brief fixes two choices: Supabase for Layer 1 and the Claude API for Layer 4. Those are treated as given. Everything else below is a recommendation, chosen to add as little new surface as possible.</w:t>
      </w:r>
    </w:p>
    <w:p>
      <w:pPr>
        <w:pStyle w:val="Heading2"/>
        <w:spacing w:after="120" w:before="260"/>
      </w:pPr>
      <w:r>
        <w:rPr>
          <w:rFonts w:ascii="Calibri" w:cs="Calibri" w:eastAsia="Calibri" w:hAnsi="Calibri"/>
          <w:b/>
          <w:bCs/>
          <w:color w:val="1F4E79"/>
          <w:sz w:val="25"/>
          <w:szCs w:val="25"/>
        </w:rPr>
        <w:t xml:space="preserve">5.1 Recommended stack</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1700"/>
        <w:gridCol w:w="2900"/>
        <w:gridCol w:w="4760"/>
      </w:tblGrid>
      <w:tr>
        <w:trPr>
          <w:tblHeader/>
        </w:trPr>
        <w:tc>
          <w:tcPr>
            <w:tcW w:type="dxa" w:w="17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Layer</w:t>
            </w:r>
          </w:p>
        </w:tc>
        <w:tc>
          <w:tcPr>
            <w:tcW w:type="dxa" w:w="29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Recommendation</w:t>
            </w:r>
          </w:p>
        </w:tc>
        <w:tc>
          <w:tcPr>
            <w:tcW w:type="dxa" w:w="47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Why it fits</w:t>
            </w:r>
          </w:p>
        </w:tc>
      </w:tr>
      <w:tr>
        <w:tc>
          <w:tcPr>
            <w:tcW w:type="dxa" w:w="17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Frontend (admin console)</w:t>
            </w:r>
          </w:p>
        </w:tc>
        <w:tc>
          <w:tcPr>
            <w:tcW w:type="dxa" w:w="29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Next.js (App Router) + TypeScript + Tailwind + shadcn/ui, with TanStack Table for data grids</w:t>
            </w:r>
          </w:p>
        </w:tc>
        <w:tc>
          <w:tcPr>
            <w:tcW w:type="dxa" w:w="47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This is a dense, keyboard-driven data-entry tool, not a consumer surface — throughput per researcher is the whole point, so it needs bulk edit, inline validation and fast grids. Keeping it separate from the student app also means iteration on the consumer product cannot break the data pipeline.</w:t>
            </w:r>
          </w:p>
        </w:tc>
      </w:tr>
      <w:tr>
        <w:tc>
          <w:tcPr>
            <w:tcW w:type="dxa" w:w="1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Backend</w:t>
            </w:r>
          </w:p>
        </w:tc>
        <w:tc>
          <w:tcPr>
            <w:tcW w:type="dxa" w:w="2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Supabase Edge Functions (Deno/TypeScript) for CRUD and webhooks; one small Node/TypeScript service for the Φ engine, Gateway and validator</w:t>
            </w:r>
          </w:p>
        </w:tc>
        <w:tc>
          <w:tcPr>
            <w:tcW w:type="dxa" w:w="47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Keeps a single language end to end. The Φ engine is isolated because it is versioned, testable and shared by all five AI systems — it should not be redeployed every time the console changes.</w:t>
            </w:r>
          </w:p>
        </w:tc>
      </w:tr>
      <w:tr>
        <w:tc>
          <w:tcPr>
            <w:tcW w:type="dxa" w:w="17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Database</w:t>
            </w:r>
          </w:p>
        </w:tc>
        <w:tc>
          <w:tcPr>
            <w:tcW w:type="dxa" w:w="29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Supabase PostgreSQL, with pgvector for semantic program search and tsvector for keyword search</w:t>
            </w:r>
          </w:p>
        </w:tc>
        <w:tc>
          <w:tcPr>
            <w:tcW w:type="dxa" w:w="47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Fixed by the brief, and appropriate: relational integrity is exactly what a provenance constraint needs. Both search modes live in the same database, so no separate search service is required at this scale.</w:t>
            </w:r>
          </w:p>
        </w:tc>
      </w:tr>
      <w:tr>
        <w:tc>
          <w:tcPr>
            <w:tcW w:type="dxa" w:w="1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APIs and integrations</w:t>
            </w:r>
          </w:p>
        </w:tc>
        <w:tc>
          <w:tcPr>
            <w:tcW w:type="dxa" w:w="2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Claude API (extraction assist + counselor); a currency-rate API for tuition normalisation; an archiving service or self-hosted headless-browser capture for source snapshots; Resend or similar for queue notifications</w:t>
            </w:r>
          </w:p>
        </w:tc>
        <w:tc>
          <w:tcPr>
            <w:tcW w:type="dxa" w:w="47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Minimal external surface. Currency normalisation matters because Financial Fit compares budgets across USD, EUR, PLN and others.</w:t>
            </w:r>
          </w:p>
        </w:tc>
      </w:tr>
      <w:tr>
        <w:tc>
          <w:tcPr>
            <w:tcW w:type="dxa" w:w="17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Auth and roles</w:t>
            </w:r>
          </w:p>
        </w:tc>
        <w:tc>
          <w:tcPr>
            <w:tcW w:type="dxa" w:w="29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Supabase Auth with row-level security. Roles: admin, data_lead, verifier, contributor, service_reader</w:t>
            </w:r>
          </w:p>
        </w:tc>
        <w:tc>
          <w:tcPr>
            <w:tcW w:type="dxa" w:w="47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Same auth system as the student app, so there is one identity model. RLS enforces the draft/verified boundary in the database rather than in application code.</w:t>
            </w:r>
          </w:p>
        </w:tc>
      </w:tr>
      <w:tr>
        <w:tc>
          <w:tcPr>
            <w:tcW w:type="dxa" w:w="1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File storage</w:t>
            </w:r>
          </w:p>
        </w:tc>
        <w:tc>
          <w:tcPr>
            <w:tcW w:type="dxa" w:w="2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Supabase Storage: buckets for source snapshots (private) and any public methodology assets</w:t>
            </w:r>
          </w:p>
        </w:tc>
        <w:tc>
          <w:tcPr>
            <w:tcW w:type="dxa" w:w="47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Colocated with the database, so a snapshot object and its record row share access rules.</w:t>
            </w:r>
          </w:p>
        </w:tc>
      </w:tr>
      <w:tr>
        <w:tc>
          <w:tcPr>
            <w:tcW w:type="dxa" w:w="17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Admin dashboard</w:t>
            </w:r>
          </w:p>
        </w:tc>
        <w:tc>
          <w:tcPr>
            <w:tcW w:type="dxa" w:w="29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A route group inside the same Next.js console: coverage, staleness, verification throughput, eval results, Φ calibration</w:t>
            </w:r>
          </w:p>
        </w:tc>
        <w:tc>
          <w:tcPr>
            <w:tcW w:type="dxa" w:w="47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No separate BI tool needed at this scale, and the numbers stay live rather than exported.</w:t>
            </w:r>
          </w:p>
        </w:tc>
      </w:tr>
      <w:tr>
        <w:tc>
          <w:tcPr>
            <w:tcW w:type="dxa" w:w="1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Hosting</w:t>
            </w:r>
          </w:p>
        </w:tc>
        <w:tc>
          <w:tcPr>
            <w:tcW w:type="dxa" w:w="2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Vercel for the console; Supabase cloud for database, auth, storage and functions; the Φ/Gateway service on Fly.io or Railway</w:t>
            </w:r>
          </w:p>
        </w:tc>
        <w:tc>
          <w:tcPr>
            <w:tcW w:type="dxa" w:w="47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Managed everywhere. A team this size should not be operating infrastructure.</w:t>
            </w:r>
          </w:p>
        </w:tc>
      </w:tr>
      <w:tr>
        <w:tc>
          <w:tcPr>
            <w:tcW w:type="dxa" w:w="17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Security and privacy</w:t>
            </w:r>
          </w:p>
        </w:tc>
        <w:tc>
          <w:tcPr>
            <w:tcW w:type="dxa" w:w="29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RLS on every table; service-role key server-side only; de-identification at write time for the Outcome Ledger (hashed student reference, no names or contact details); full audit log; documented retention policy</w:t>
            </w:r>
          </w:p>
        </w:tc>
        <w:tc>
          <w:tcPr>
            <w:tcW w:type="dxa" w:w="47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The Outcome Ledger holds real historical applicant data. It must be de-identified before storage, not after — see the risk register.</w:t>
            </w:r>
          </w:p>
        </w:tc>
      </w:tr>
      <w:tr>
        <w:tc>
          <w:tcPr>
            <w:tcW w:type="dxa" w:w="1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Monitoring, backups, scalability</w:t>
            </w:r>
          </w:p>
        </w:tc>
        <w:tc>
          <w:tcPr>
            <w:tcW w:type="dxa" w:w="2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Sentry for errors; Supabase logs plus an uptime monitor; daily automated backups with point-in-time recovery; a nightly logical dump to independent storage; Gateway response caching</w:t>
            </w:r>
          </w:p>
        </w:tc>
        <w:tc>
          <w:tcPr>
            <w:tcW w:type="dxa" w:w="47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The dataset is the company asset. Backups outside the primary provider are not optional. At ~300 universities, read volume is trivial — caching is for latency, not load.</w:t>
            </w:r>
          </w:p>
        </w:tc>
      </w:tr>
    </w:tbl>
    <w:p>
      <w:pPr>
        <w:pStyle w:val="Heading2"/>
        <w:spacing w:after="120" w:before="260"/>
      </w:pPr>
      <w:r>
        <w:rPr>
          <w:rFonts w:ascii="Calibri" w:cs="Calibri" w:eastAsia="Calibri" w:hAnsi="Calibri"/>
          <w:b/>
          <w:bCs/>
          <w:color w:val="1F4E79"/>
          <w:sz w:val="25"/>
          <w:szCs w:val="25"/>
        </w:rPr>
        <w:t xml:space="preserve">5.2 Architecture diagram</w:t>
      </w:r>
    </w:p>
    <w:tbl>
      <w:tblPr>
        <w:tblW w:type="dxa" w:w="9360"/>
        <w:tblBorders>
          <w:top w:val="single" w:color="B0B0B0" w:sz="4"/>
          <w:left w:val="single" w:color="B0B0B0" w:sz="4"/>
          <w:bottom w:val="single" w:color="B0B0B0" w:sz="4"/>
          <w:right w:val="single" w:color="B0B0B0" w:sz="4"/>
          <w:insideH w:val="none"/>
          <w:insideV w:val="none"/>
        </w:tblBorders>
      </w:tblPr>
      <w:tblGrid>
        <w:gridCol w:w="9360"/>
      </w:tblGrid>
      <w:tr>
        <w:tc>
          <w:tcPr>
            <w:tcW w:type="dxa" w:w="9360"/>
            <w:shd w:fill="F7F7F7" w:color="auto" w:val="clear"/>
            <w:tcMar>
              <w:top w:type="dxa" w:w="120"/>
              <w:left w:type="dxa" w:w="140"/>
              <w:bottom w:type="dxa" w:w="120"/>
              <w:right w:type="dxa" w:w="140"/>
            </w:tcMar>
          </w:tcPr>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STUDENT (mobile) --&gt;|  app.4prep.ai      (Layer 3)   |</w:t>
            </w:r>
          </w:p>
          <w:p>
            <w:pPr>
              <w:spacing w:after="0" w:line="240"/>
            </w:pPr>
            <w:r>
              <w:rPr>
                <w:rFonts w:ascii="Courier New" w:cs="Courier New" w:eastAsia="Courier New" w:hAnsi="Courier New"/>
                <w:sz w:val="15"/>
                <w:szCs w:val="15"/>
              </w:rPr>
              <w:t xml:space="preserve">                        |  search . profiles . compare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  student profile</w:t>
            </w:r>
          </w:p>
          <w:p>
            <w:pPr>
              <w:spacing w:after="0" w:line="240"/>
            </w:pPr>
            <w:r>
              <w:rPr>
                <w:rFonts w:ascii="Courier New" w:cs="Courier New" w:eastAsia="Courier New" w:hAnsi="Courier New"/>
                <w:sz w:val="15"/>
                <w:szCs w:val="15"/>
              </w:rPr>
              <w:t xml:space="preserve">                                         v</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GROUNDING GATEWAY   --  the only read path  --</w:t>
            </w:r>
          </w:p>
          <w:p>
            <w:pPr>
              <w:spacing w:after="0" w:line="240"/>
            </w:pPr>
            <w:r>
              <w:rPr>
                <w:rFonts w:ascii="Courier New" w:cs="Courier New" w:eastAsia="Courier New" w:hAnsi="Courier New"/>
                <w:sz w:val="15"/>
                <w:szCs w:val="15"/>
              </w:rPr>
              <w:t xml:space="preserve">     /profile-match   /university/{id}   /scholarships/match</w:t>
            </w:r>
          </w:p>
          <w:p>
            <w:pPr>
              <w:spacing w:after="0" w:line="240"/>
            </w:pPr>
            <w:r>
              <w:rPr>
                <w:rFonts w:ascii="Courier New" w:cs="Courier New" w:eastAsia="Courier New" w:hAnsi="Courier New"/>
                <w:sz w:val="15"/>
                <w:szCs w:val="15"/>
              </w:rPr>
              <w:t xml:space="preserve">     returns: verified records + citation IDs + PHI breakdown</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                     |                      |</w:t>
            </w:r>
          </w:p>
          <w:p>
            <w:pPr>
              <w:spacing w:after="0" w:line="240"/>
            </w:pPr>
            <w:r>
              <w:rPr>
                <w:rFonts w:ascii="Courier New" w:cs="Courier New" w:eastAsia="Courier New" w:hAnsi="Courier New"/>
                <w:sz w:val="15"/>
                <w:szCs w:val="15"/>
              </w:rPr>
              <w:t xml:space="preserve">        v                     v                      v</w:t>
            </w:r>
          </w:p>
          <w:p>
            <w:pPr>
              <w:spacing w:after="0" w:line="240"/>
            </w:pPr>
            <w:r>
              <w:rPr>
                <w:rFonts w:ascii="Courier New" w:cs="Courier New" w:eastAsia="Courier New" w:hAnsi="Courier New"/>
                <w:sz w:val="15"/>
                <w:szCs w:val="15"/>
              </w:rPr>
              <w:t xml:space="preserve">  +-------------+   +--------------------+   +------------------+</w:t>
            </w:r>
          </w:p>
          <w:p>
            <w:pPr>
              <w:spacing w:after="0" w:line="240"/>
            </w:pPr>
            <w:r>
              <w:rPr>
                <w:rFonts w:ascii="Courier New" w:cs="Courier New" w:eastAsia="Courier New" w:hAnsi="Courier New"/>
                <w:sz w:val="15"/>
                <w:szCs w:val="15"/>
              </w:rPr>
              <w:t xml:space="preserve">  | PHI ENGINE  |   |  CLAUDE API  (L4)  |   | CLAIM VALIDATOR  |</w:t>
            </w:r>
          </w:p>
          <w:p>
            <w:pPr>
              <w:spacing w:after="0" w:line="240"/>
            </w:pPr>
            <w:r>
              <w:rPr>
                <w:rFonts w:ascii="Courier New" w:cs="Courier New" w:eastAsia="Courier New" w:hAnsi="Courier New"/>
                <w:sz w:val="15"/>
                <w:szCs w:val="15"/>
              </w:rPr>
              <w:t xml:space="preserve">  | EPIF v1     |   |  writes narrative  |   | strips any figure|</w:t>
            </w:r>
          </w:p>
          <w:p>
            <w:pPr>
              <w:spacing w:after="0" w:line="240"/>
            </w:pPr>
            <w:r>
              <w:rPr>
                <w:rFonts w:ascii="Courier New" w:cs="Courier New" w:eastAsia="Courier New" w:hAnsi="Courier New"/>
                <w:sz w:val="15"/>
                <w:szCs w:val="15"/>
              </w:rPr>
              <w:t xml:space="preserve">  | 5 components|   |  NEVER supplies    |   | with no citation |</w:t>
            </w:r>
          </w:p>
          <w:p>
            <w:pPr>
              <w:spacing w:after="0" w:line="240"/>
            </w:pPr>
            <w:r>
              <w:rPr>
                <w:rFonts w:ascii="Courier New" w:cs="Courier New" w:eastAsia="Courier New" w:hAnsi="Courier New"/>
                <w:sz w:val="15"/>
                <w:szCs w:val="15"/>
              </w:rPr>
              <w:t xml:space="preserve">  | + reasons   |   |  facts             |   | else -&gt; refuse   |</w:t>
            </w:r>
          </w:p>
          <w:p>
            <w:pPr>
              <w:spacing w:after="0" w:line="240"/>
            </w:pPr>
            <w:r>
              <w:rPr>
                <w:rFonts w:ascii="Courier New" w:cs="Courier New" w:eastAsia="Courier New" w:hAnsi="Courier New"/>
                <w:sz w:val="15"/>
                <w:szCs w:val="15"/>
              </w:rPr>
              <w:t xml:space="preserve">  +------+------+   +--------------------+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v   reads VERIFIED rows only</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            SUPABASE POSTGRES   --   LAYER 1                |</w:t>
            </w:r>
          </w:p>
          <w:p>
            <w:pPr>
              <w:spacing w:after="0" w:line="240"/>
            </w:pPr>
            <w:r>
              <w:rPr>
                <w:rFonts w:ascii="Courier New" w:cs="Courier New" w:eastAsia="Courier New" w:hAnsi="Courier New"/>
                <w:sz w:val="15"/>
                <w:szCs w:val="15"/>
              </w:rPr>
              <w:t xml:space="preserve">  |   universities . programs . scholarships . requirements    |</w:t>
            </w:r>
          </w:p>
          <w:p>
            <w:pPr>
              <w:spacing w:after="0" w:line="240"/>
            </w:pPr>
            <w:r>
              <w:rPr>
                <w:rFonts w:ascii="Courier New" w:cs="Courier New" w:eastAsia="Courier New" w:hAnsi="Courier New"/>
                <w:sz w:val="15"/>
                <w:szCs w:val="15"/>
              </w:rPr>
              <w:t xml:space="preserve">  |   deadlines . cost_records                                 |</w:t>
            </w:r>
          </w:p>
          <w:p>
            <w:pPr>
              <w:spacing w:after="0" w:line="240"/>
            </w:pPr>
            <w:r>
              <w:rPr>
                <w:rFonts w:ascii="Courier New" w:cs="Courier New" w:eastAsia="Courier New" w:hAnsi="Courier New"/>
                <w:sz w:val="15"/>
                <w:szCs w:val="15"/>
              </w:rPr>
              <w:t xml:space="preserve">  |        -&gt; every row has a NON-NULL FK to  sources          |</w:t>
            </w:r>
          </w:p>
          <w:p>
            <w:pPr>
              <w:spacing w:after="0" w:line="240"/>
            </w:pPr>
            <w:r>
              <w:rPr>
                <w:rFonts w:ascii="Courier New" w:cs="Courier New" w:eastAsia="Courier New" w:hAnsi="Courier New"/>
                <w:sz w:val="15"/>
                <w:szCs w:val="15"/>
              </w:rPr>
              <w:t xml:space="preserve">  |   outcome_records (de-identified) . phi_weight_sets        |</w:t>
            </w:r>
          </w:p>
          <w:p>
            <w:pPr>
              <w:spacing w:after="0" w:line="240"/>
            </w:pPr>
            <w:r>
              <w:rPr>
                <w:rFonts w:ascii="Courier New" w:cs="Courier New" w:eastAsia="Courier New" w:hAnsi="Courier New"/>
                <w:sz w:val="15"/>
                <w:szCs w:val="15"/>
              </w:rPr>
              <w:t xml:space="preserve">  |   verification_events . audit_log                          |</w:t>
            </w:r>
          </w:p>
          <w:p>
            <w:pPr>
              <w:spacing w:after="0" w:line="240"/>
            </w:pPr>
            <w:r>
              <w:rPr>
                <w:rFonts w:ascii="Courier New" w:cs="Courier New" w:eastAsia="Courier New" w:hAnsi="Courier New"/>
                <w:sz w:val="15"/>
                <w:szCs w:val="15"/>
              </w:rPr>
              <w:t xml:space="preserve">  |   RLS: draft rows are NOT readable by the Gateway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 publish (verified only)                  | append</w:t>
            </w:r>
          </w:p>
          <w:p>
            <w:pPr>
              <w:spacing w:after="0" w:line="240"/>
            </w:pPr>
            <w:r>
              <w:rPr>
                <w:rFonts w:ascii="Courier New" w:cs="Courier New" w:eastAsia="Courier New" w:hAnsi="Courier New"/>
                <w:sz w:val="15"/>
                <w:szCs w:val="15"/>
              </w:rPr>
              <w:t xml:space="preserve">  +-----+----------------------+     +-------------+------------+</w:t>
            </w:r>
          </w:p>
          <w:p>
            <w:pPr>
              <w:spacing w:after="0" w:line="240"/>
            </w:pPr>
            <w:r>
              <w:rPr>
                <w:rFonts w:ascii="Courier New" w:cs="Courier New" w:eastAsia="Courier New" w:hAnsi="Courier New"/>
                <w:sz w:val="15"/>
                <w:szCs w:val="15"/>
              </w:rPr>
              <w:t xml:space="preserve">  |  SOURCING CONSOLE          |     |  OUTCOME LEDGER          |</w:t>
            </w:r>
          </w:p>
          <w:p>
            <w:pPr>
              <w:spacing w:after="0" w:line="240"/>
            </w:pPr>
            <w:r>
              <w:rPr>
                <w:rFonts w:ascii="Courier New" w:cs="Courier New" w:eastAsia="Courier New" w:hAnsi="Courier New"/>
                <w:sz w:val="15"/>
                <w:szCs w:val="15"/>
              </w:rPr>
              <w:t xml:space="preserve">  |  data.4prep.ai             |     |  6 yrs of real cases,    |</w:t>
            </w:r>
          </w:p>
          <w:p>
            <w:pPr>
              <w:spacing w:after="0" w:line="240"/>
            </w:pPr>
            <w:r>
              <w:rPr>
                <w:rFonts w:ascii="Courier New" w:cs="Courier New" w:eastAsia="Courier New" w:hAnsi="Courier New"/>
                <w:sz w:val="15"/>
                <w:szCs w:val="15"/>
              </w:rPr>
              <w:t xml:space="preserve">  |  +----------------------+  |     |  entered by founder /    |</w:t>
            </w:r>
          </w:p>
          <w:p>
            <w:pPr>
              <w:spacing w:after="0" w:line="240"/>
            </w:pPr>
            <w:r>
              <w:rPr>
                <w:rFonts w:ascii="Courier New" w:cs="Courier New" w:eastAsia="Courier New" w:hAnsi="Courier New"/>
                <w:sz w:val="15"/>
                <w:szCs w:val="15"/>
              </w:rPr>
              <w:t xml:space="preserve">  |  | AI extraction assist |  |     |  counselors, hashed at   |</w:t>
            </w:r>
          </w:p>
          <w:p>
            <w:pPr>
              <w:spacing w:after="0" w:line="240"/>
            </w:pPr>
            <w:r>
              <w:rPr>
                <w:rFonts w:ascii="Courier New" w:cs="Courier New" w:eastAsia="Courier New" w:hAnsi="Courier New"/>
                <w:sz w:val="15"/>
                <w:szCs w:val="15"/>
              </w:rPr>
              <w:t xml:space="preserve">  |  | Claude -&gt; drafts     |  |     |  write time              |</w:t>
            </w:r>
          </w:p>
          <w:p>
            <w:pPr>
              <w:spacing w:after="0" w:line="240"/>
            </w:pPr>
            <w:r>
              <w:rPr>
                <w:rFonts w:ascii="Courier New" w:cs="Courier New" w:eastAsia="Courier New" w:hAnsi="Courier New"/>
                <w:sz w:val="15"/>
                <w:szCs w:val="15"/>
              </w:rPr>
              <w:t xml:space="preserve">  |  | + per-field quote    |  |     +--------------------------+</w:t>
            </w:r>
          </w:p>
          <w:p>
            <w:pPr>
              <w:spacing w:after="0" w:line="240"/>
            </w:pPr>
            <w:r>
              <w:rPr>
                <w:rFonts w:ascii="Courier New" w:cs="Courier New" w:eastAsia="Courier New" w:hAnsi="Courier New"/>
                <w:sz w:val="15"/>
                <w:szCs w:val="15"/>
              </w:rPr>
              <w:t xml:space="preserve">  |  +----------+-----------+  |</w:t>
            </w:r>
          </w:p>
          <w:p>
            <w:pPr>
              <w:spacing w:after="0" w:line="240"/>
            </w:pPr>
            <w:r>
              <w:rPr>
                <w:rFonts w:ascii="Courier New" w:cs="Courier New" w:eastAsia="Courier New" w:hAnsi="Courier New"/>
                <w:sz w:val="15"/>
                <w:szCs w:val="15"/>
              </w:rPr>
              <w:t xml:space="preserve">  |             v              |     +--------------------------+</w:t>
            </w:r>
          </w:p>
          <w:p>
            <w:pPr>
              <w:spacing w:after="0" w:line="240"/>
            </w:pPr>
            <w:r>
              <w:rPr>
                <w:rFonts w:ascii="Courier New" w:cs="Courier New" w:eastAsia="Courier New" w:hAnsi="Courier New"/>
                <w:sz w:val="15"/>
                <w:szCs w:val="15"/>
              </w:rPr>
              <w:t xml:space="preserve">  |  HUMAN VERIFICATION QUEUE  |     |  SUPABASE STORAGE        |</w:t>
            </w:r>
          </w:p>
          <w:p>
            <w:pPr>
              <w:spacing w:after="0" w:line="240"/>
            </w:pPr>
            <w:r>
              <w:rPr>
                <w:rFonts w:ascii="Courier New" w:cs="Courier New" w:eastAsia="Courier New" w:hAnsi="Courier New"/>
                <w:sz w:val="15"/>
                <w:szCs w:val="15"/>
              </w:rPr>
              <w:t xml:space="preserve">  |  draft -&gt; 2nd reviewer on  |&lt;---&gt;|  archived source         |</w:t>
            </w:r>
          </w:p>
          <w:p>
            <w:pPr>
              <w:spacing w:after="0" w:line="240"/>
            </w:pPr>
            <w:r>
              <w:rPr>
                <w:rFonts w:ascii="Courier New" w:cs="Courier New" w:eastAsia="Courier New" w:hAnsi="Courier New"/>
                <w:sz w:val="15"/>
                <w:szCs w:val="15"/>
              </w:rPr>
              <w:t xml:space="preserve">  |  tuition / award / deadline|     |  snapshots (HTML / PDF)  |</w:t>
            </w:r>
          </w:p>
          <w:p>
            <w:pPr>
              <w:spacing w:after="0" w:line="240"/>
            </w:pPr>
            <w:r>
              <w:rPr>
                <w:rFonts w:ascii="Courier New" w:cs="Courier New" w:eastAsia="Courier New" w:hAnsi="Courier New"/>
                <w:sz w:val="15"/>
                <w:szCs w:val="15"/>
              </w:rPr>
              <w:t xml:space="preserve">  |        -&gt; verified + expiry|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 tasks                      +--------------------------+</w:t>
            </w:r>
          </w:p>
          <w:p>
            <w:pPr>
              <w:spacing w:after="0" w:line="240"/>
            </w:pPr>
            <w:r>
              <w:rPr>
                <w:rFonts w:ascii="Courier New" w:cs="Courier New" w:eastAsia="Courier New" w:hAnsi="Courier New"/>
                <w:sz w:val="15"/>
                <w:szCs w:val="15"/>
              </w:rPr>
              <w:t xml:space="preserve">  +-----+----------------------+     |  GROUNDING EVAL          |</w:t>
            </w:r>
          </w:p>
          <w:p>
            <w:pPr>
              <w:spacing w:after="0" w:line="240"/>
            </w:pPr>
            <w:r>
              <w:rPr>
                <w:rFonts w:ascii="Courier New" w:cs="Courier New" w:eastAsia="Courier New" w:hAnsi="Courier New"/>
                <w:sz w:val="15"/>
                <w:szCs w:val="15"/>
              </w:rPr>
              <w:t xml:space="preserve">  |  DATA RESEARCHERS          |     |  50 golden profiles      |</w:t>
            </w:r>
          </w:p>
          <w:p>
            <w:pPr>
              <w:spacing w:after="0" w:line="240"/>
            </w:pPr>
            <w:r>
              <w:rPr>
                <w:rFonts w:ascii="Courier New" w:cs="Courier New" w:eastAsia="Courier New" w:hAnsi="Courier New"/>
                <w:sz w:val="15"/>
                <w:szCs w:val="15"/>
              </w:rPr>
              <w:t xml:space="preserve">  |  VERIFICATION LEAD         |     |  runs in CI -            |</w:t>
            </w:r>
          </w:p>
          <w:p>
            <w:pPr>
              <w:spacing w:after="0" w:line="240"/>
            </w:pPr>
            <w:r>
              <w:rPr>
                <w:rFonts w:ascii="Courier New" w:cs="Courier New" w:eastAsia="Courier New" w:hAnsi="Courier New"/>
                <w:sz w:val="15"/>
                <w:szCs w:val="15"/>
              </w:rPr>
              <w:t xml:space="preserve">  |  FOUNDER (admin)           |     |  a failure blocks release|</w:t>
            </w:r>
          </w:p>
          <w:p>
            <w:pPr>
              <w:spacing w:after="0" w:line="240"/>
            </w:pPr>
            <w:r>
              <w:rPr>
                <w:rFonts w:ascii="Courier New" w:cs="Courier New" w:eastAsia="Courier New" w:hAnsi="Courier New"/>
                <w:sz w:val="15"/>
                <w:szCs w:val="15"/>
              </w:rPr>
              <w:t xml:space="preserve">  +----------------------------+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RULE: no arrow goes from CLAUDE API directly to POSTGRES.</w:t>
            </w:r>
          </w:p>
          <w:p>
            <w:pPr>
              <w:spacing w:after="0" w:line="240"/>
            </w:pPr>
            <w:r>
              <w:rPr>
                <w:rFonts w:ascii="Courier New" w:cs="Courier New" w:eastAsia="Courier New" w:hAnsi="Courier New"/>
                <w:sz w:val="15"/>
                <w:szCs w:val="15"/>
              </w:rPr>
              <w:t xml:space="preserve">        All AI reads pass through the Gateway. All writes pass</w:t>
            </w:r>
          </w:p>
          <w:p>
            <w:pPr>
              <w:spacing w:after="0" w:line="240"/>
            </w:pPr>
            <w:r>
              <w:rPr>
                <w:rFonts w:ascii="Courier New" w:cs="Courier New" w:eastAsia="Courier New" w:hAnsi="Courier New"/>
                <w:sz w:val="15"/>
                <w:szCs w:val="15"/>
              </w:rPr>
              <w:t xml:space="preserve">        through human verification. Draft rows are invisible to L4.</w:t>
            </w:r>
          </w:p>
        </w:tc>
      </w:tr>
    </w:tbl>
    <w:p>
      <w:r>
        <w:br w:type="page"/>
      </w:r>
    </w:p>
    <w:p>
      <w:pPr>
        <w:pStyle w:val="Heading1"/>
        <w:spacing w:after="160" w:before="360"/>
      </w:pPr>
      <w:r>
        <w:rPr>
          <w:rFonts w:ascii="Calibri" w:cs="Calibri" w:eastAsia="Calibri" w:hAnsi="Calibri"/>
          <w:b/>
          <w:bCs/>
          <w:color w:val="1F4E79"/>
          <w:sz w:val="30"/>
          <w:szCs w:val="30"/>
        </w:rPr>
        <w:t xml:space="preserve">6. Data and AI</w:t>
      </w:r>
    </w:p>
    <w:p>
      <w:pPr>
        <w:pStyle w:val="Heading2"/>
        <w:spacing w:after="120" w:before="260"/>
      </w:pPr>
      <w:r>
        <w:rPr>
          <w:rFonts w:ascii="Calibri" w:cs="Calibri" w:eastAsia="Calibri" w:hAnsi="Calibri"/>
          <w:b/>
          <w:bCs/>
          <w:color w:val="1F4E79"/>
          <w:sz w:val="25"/>
          <w:szCs w:val="25"/>
        </w:rPr>
        <w:t xml:space="preserve">6.1 Main data entities</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2000"/>
        <w:gridCol w:w="3900"/>
        <w:gridCol w:w="3460"/>
      </w:tblGrid>
      <w:tr>
        <w:trPr>
          <w:tblHeader/>
        </w:trPr>
        <w:tc>
          <w:tcPr>
            <w:tcW w:type="dxa" w:w="20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Entity</w:t>
            </w:r>
          </w:p>
        </w:tc>
        <w:tc>
          <w:tcPr>
            <w:tcW w:type="dxa" w:w="39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Key fields</w:t>
            </w:r>
          </w:p>
        </w:tc>
        <w:tc>
          <w:tcPr>
            <w:tcW w:type="dxa" w:w="34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Relationships</w:t>
            </w:r>
          </w:p>
        </w:tc>
      </w:tr>
      <w:tr>
        <w:tc>
          <w:tcPr>
            <w:tcW w:type="dxa" w:w="20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university</w:t>
            </w:r>
          </w:p>
        </w:tc>
        <w:tc>
          <w:tcPr>
            <w:tcW w:type="dxa" w:w="39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name, country, city, type, website, target_priority, coverage_status</w:t>
            </w:r>
          </w:p>
        </w:tc>
        <w:tc>
          <w:tcPr>
            <w:tcW w:type="dxa" w:w="34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1→N program, 1→N scholarship, 1→N cost_record, 1→N outcome_record</w:t>
            </w:r>
          </w:p>
        </w:tc>
      </w:tr>
      <w:tr>
        <w:tc>
          <w:tcPr>
            <w:tcW w:type="dxa" w:w="2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program</w:t>
            </w:r>
          </w:p>
        </w:tc>
        <w:tc>
          <w:tcPr>
            <w:tcW w:type="dxa" w:w="3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name, degree_level, field, duration, language_of_instruction, intake_months</w:t>
            </w:r>
          </w:p>
        </w:tc>
        <w:tc>
          <w:tcPr>
            <w:tcW w:type="dxa" w:w="34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N→1 university; 1→N requirement; 1→N cost_record</w:t>
            </w:r>
          </w:p>
        </w:tc>
      </w:tr>
      <w:tr>
        <w:tc>
          <w:tcPr>
            <w:tcW w:type="dxa" w:w="20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scholarship</w:t>
            </w:r>
          </w:p>
        </w:tc>
        <w:tc>
          <w:tcPr>
            <w:tcW w:type="dxa" w:w="39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name, provider, award_type, amount_or_percentage, currency, eligibility_rules (JSONB), deadline, renewable</w:t>
            </w:r>
          </w:p>
        </w:tc>
        <w:tc>
          <w:tcPr>
            <w:tcW w:type="dxa" w:w="34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N→1 university (or standalone/national); N→N eligibility match against student_profile</w:t>
            </w:r>
          </w:p>
        </w:tc>
      </w:tr>
      <w:tr>
        <w:tc>
          <w:tcPr>
            <w:tcW w:type="dxa" w:w="2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requirement</w:t>
            </w:r>
          </w:p>
        </w:tc>
        <w:tc>
          <w:tcPr>
            <w:tcW w:type="dxa" w:w="3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requirement_type (GPA / IELTS / TOEFL / SAT / portfolio), operator, value, applies_to_program</w:t>
            </w:r>
          </w:p>
        </w:tc>
        <w:tc>
          <w:tcPr>
            <w:tcW w:type="dxa" w:w="34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N→1 program</w:t>
            </w:r>
          </w:p>
        </w:tc>
      </w:tr>
      <w:tr>
        <w:tc>
          <w:tcPr>
            <w:tcW w:type="dxa" w:w="20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cost_record</w:t>
            </w:r>
          </w:p>
        </w:tc>
        <w:tc>
          <w:tcPr>
            <w:tcW w:type="dxa" w:w="39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cost_type (tuition / living / application fee / visa), amount, currency, academic_year</w:t>
            </w:r>
          </w:p>
        </w:tc>
        <w:tc>
          <w:tcPr>
            <w:tcW w:type="dxa" w:w="34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N→1 program or university</w:t>
            </w:r>
          </w:p>
        </w:tc>
      </w:tr>
      <w:tr>
        <w:tc>
          <w:tcPr>
            <w:tcW w:type="dxa" w:w="2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deadline</w:t>
            </w:r>
          </w:p>
        </w:tc>
        <w:tc>
          <w:tcPr>
            <w:tcW w:type="dxa" w:w="3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deadline_type, date, intake, is_rolling</w:t>
            </w:r>
          </w:p>
        </w:tc>
        <w:tc>
          <w:tcPr>
            <w:tcW w:type="dxa" w:w="34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N→1 program</w:t>
            </w:r>
          </w:p>
        </w:tc>
      </w:tr>
      <w:tr>
        <w:tc>
          <w:tcPr>
            <w:tcW w:type="dxa" w:w="20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source</w:t>
            </w:r>
          </w:p>
        </w:tc>
        <w:tc>
          <w:tcPr>
            <w:tcW w:type="dxa" w:w="39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url, source_type, publisher, retrieved_at, snapshot_object_key, quoted_text, checksum</w:t>
            </w:r>
          </w:p>
        </w:tc>
        <w:tc>
          <w:tcPr>
            <w:tcW w:type="dxa" w:w="34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1→N field-level citations. Every fact-bearing field references one. Non-nullable.</w:t>
            </w:r>
          </w:p>
        </w:tc>
      </w:tr>
      <w:tr>
        <w:tc>
          <w:tcPr>
            <w:tcW w:type="dxa" w:w="2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verification_event</w:t>
            </w:r>
          </w:p>
        </w:tc>
        <w:tc>
          <w:tcPr>
            <w:tcW w:type="dxa" w:w="3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record_ref, field, actor_id, action (approve / reject / edit), reason, timestamp</w:t>
            </w:r>
          </w:p>
        </w:tc>
        <w:tc>
          <w:tcPr>
            <w:tcW w:type="dxa" w:w="34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N→1 user; N→1 record</w:t>
            </w:r>
          </w:p>
        </w:tc>
      </w:tr>
      <w:tr>
        <w:tc>
          <w:tcPr>
            <w:tcW w:type="dxa" w:w="20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student_profile</w:t>
            </w:r>
          </w:p>
        </w:tc>
        <w:tc>
          <w:tcPr>
            <w:tcW w:type="dxa" w:w="39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gpa_normalized, budget_annual, currency, english_level, target_field, career_goal, geo_preference</w:t>
            </w:r>
          </w:p>
        </w:tc>
        <w:tc>
          <w:tcPr>
            <w:tcW w:type="dxa" w:w="34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1→N pathway_run; input to Φ</w:t>
            </w:r>
          </w:p>
        </w:tc>
      </w:tr>
      <w:tr>
        <w:tc>
          <w:tcPr>
            <w:tcW w:type="dxa" w:w="2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pathway_run</w:t>
            </w:r>
          </w:p>
        </w:tc>
        <w:tc>
          <w:tcPr>
            <w:tcW w:type="dxa" w:w="3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profile_ref, phi_weight_set_version, ranked_results (JSONB), citation_bundle, created_at</w:t>
            </w:r>
          </w:p>
        </w:tc>
        <w:tc>
          <w:tcPr>
            <w:tcW w:type="dxa" w:w="34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N→1 student_profile; references N university</w:t>
            </w:r>
          </w:p>
        </w:tc>
      </w:tr>
      <w:tr>
        <w:tc>
          <w:tcPr>
            <w:tcW w:type="dxa" w:w="20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outcome_record</w:t>
            </w:r>
          </w:p>
        </w:tc>
        <w:tc>
          <w:tcPr>
            <w:tcW w:type="dxa" w:w="39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hashed_student_ref, profile_snapshot, university_ref, program_ref, decision, scholarship_awarded, visa_outcome, cycle_year</w:t>
            </w:r>
          </w:p>
        </w:tc>
        <w:tc>
          <w:tcPr>
            <w:tcW w:type="dxa" w:w="34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N→1 university. De-identified at write time. Calibration input to Φ.</w:t>
            </w:r>
          </w:p>
        </w:tc>
      </w:tr>
      <w:tr>
        <w:tc>
          <w:tcPr>
            <w:tcW w:type="dxa" w:w="2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phi_weight_set</w:t>
            </w:r>
          </w:p>
        </w:tc>
        <w:tc>
          <w:tcPr>
            <w:tcW w:type="dxa" w:w="3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version, component weights, normalisation params, approved_by, approved_at, notes</w:t>
            </w:r>
          </w:p>
        </w:tc>
        <w:tc>
          <w:tcPr>
            <w:tcW w:type="dxa" w:w="34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1→N pathway_run. Versioned; never edited in place.</w:t>
            </w:r>
          </w:p>
        </w:tc>
      </w:tr>
      <w:tr>
        <w:tc>
          <w:tcPr>
            <w:tcW w:type="dxa" w:w="20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eval_case</w:t>
            </w:r>
          </w:p>
        </w:tc>
        <w:tc>
          <w:tcPr>
            <w:tcW w:type="dxa" w:w="39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profile_fixture, expected_behaviour, must_refuse_flag, last_result</w:t>
            </w:r>
          </w:p>
        </w:tc>
        <w:tc>
          <w:tcPr>
            <w:tcW w:type="dxa" w:w="34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Used by the grounding eval harness in CI.</w:t>
            </w:r>
          </w:p>
        </w:tc>
      </w:tr>
      <w:tr>
        <w:tc>
          <w:tcPr>
            <w:tcW w:type="dxa" w:w="2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app_user</w:t>
            </w:r>
          </w:p>
        </w:tc>
        <w:tc>
          <w:tcPr>
            <w:tcW w:type="dxa" w:w="3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email, role (admin / data_lead / verifier / contributor / service_reader)</w:t>
            </w:r>
          </w:p>
        </w:tc>
        <w:tc>
          <w:tcPr>
            <w:tcW w:type="dxa" w:w="34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1→N verification_event; governs RLS</w:t>
            </w:r>
          </w:p>
        </w:tc>
      </w:tr>
    </w:tbl>
    <w:p>
      <w:pPr>
        <w:pStyle w:val="Heading2"/>
        <w:spacing w:after="120" w:before="260"/>
      </w:pPr>
      <w:r>
        <w:rPr>
          <w:rFonts w:ascii="Calibri" w:cs="Calibri" w:eastAsia="Calibri" w:hAnsi="Calibri"/>
          <w:b/>
          <w:bCs/>
          <w:color w:val="1F4E79"/>
          <w:sz w:val="25"/>
          <w:szCs w:val="25"/>
        </w:rPr>
        <w:t xml:space="preserve">6.2 Relationship summary</w:t>
      </w:r>
    </w:p>
    <w:tbl>
      <w:tblPr>
        <w:tblW w:type="dxa" w:w="9360"/>
        <w:tblBorders>
          <w:top w:val="single" w:color="B0B0B0" w:sz="4"/>
          <w:left w:val="single" w:color="B0B0B0" w:sz="4"/>
          <w:bottom w:val="single" w:color="B0B0B0" w:sz="4"/>
          <w:right w:val="single" w:color="B0B0B0" w:sz="4"/>
          <w:insideH w:val="none"/>
          <w:insideV w:val="none"/>
        </w:tblBorders>
      </w:tblPr>
      <w:tblGrid>
        <w:gridCol w:w="9360"/>
      </w:tblGrid>
      <w:tr>
        <w:tc>
          <w:tcPr>
            <w:tcW w:type="dxa" w:w="9360"/>
            <w:shd w:fill="F7F7F7" w:color="auto" w:val="clear"/>
            <w:tcMar>
              <w:top w:type="dxa" w:w="120"/>
              <w:left w:type="dxa" w:w="140"/>
              <w:bottom w:type="dxa" w:w="120"/>
              <w:right w:type="dxa" w:w="140"/>
            </w:tcMar>
          </w:tcPr>
          <w:p>
            <w:pPr>
              <w:spacing w:after="0" w:line="240"/>
            </w:pPr>
            <w:r>
              <w:rPr>
                <w:rFonts w:ascii="Courier New" w:cs="Courier New" w:eastAsia="Courier New" w:hAnsi="Courier New"/>
                <w:sz w:val="15"/>
                <w:szCs w:val="15"/>
              </w:rPr>
              <w:t xml:space="preserve">  university  1--N  program  1--N  requirement</w:t>
            </w:r>
          </w:p>
          <w:p>
            <w:pPr>
              <w:spacing w:after="0" w:line="240"/>
            </w:pPr>
            <w:r>
              <w:rPr>
                <w:rFonts w:ascii="Courier New" w:cs="Courier New" w:eastAsia="Courier New" w:hAnsi="Courier New"/>
                <w:sz w:val="15"/>
                <w:szCs w:val="15"/>
              </w:rPr>
              <w:t xml:space="preserve">      |                |</w:t>
            </w:r>
          </w:p>
          <w:p>
            <w:pPr>
              <w:spacing w:after="0" w:line="240"/>
            </w:pPr>
            <w:r>
              <w:rPr>
                <w:rFonts w:ascii="Courier New" w:cs="Courier New" w:eastAsia="Courier New" w:hAnsi="Courier New"/>
                <w:sz w:val="15"/>
                <w:szCs w:val="15"/>
              </w:rPr>
              <w:t xml:space="preserve">      |                +--N  cost_record       \</w:t>
            </w:r>
          </w:p>
          <w:p>
            <w:pPr>
              <w:spacing w:after="0" w:line="240"/>
            </w:pPr>
            <w:r>
              <w:rPr>
                <w:rFonts w:ascii="Courier New" w:cs="Courier New" w:eastAsia="Courier New" w:hAnsi="Courier New"/>
                <w:sz w:val="15"/>
                <w:szCs w:val="15"/>
              </w:rPr>
              <w:t xml:space="preserve">      |                +--N  deadline           |  every one of these</w:t>
            </w:r>
          </w:p>
          <w:p>
            <w:pPr>
              <w:spacing w:after="0" w:line="240"/>
            </w:pPr>
            <w:r>
              <w:rPr>
                <w:rFonts w:ascii="Courier New" w:cs="Courier New" w:eastAsia="Courier New" w:hAnsi="Courier New"/>
                <w:sz w:val="15"/>
                <w:szCs w:val="15"/>
              </w:rPr>
              <w:t xml:space="preserve">      +--N  scholarship                         |  rows carries a</w:t>
            </w:r>
          </w:p>
          <w:p>
            <w:pPr>
              <w:spacing w:after="0" w:line="240"/>
            </w:pPr>
            <w:r>
              <w:rPr>
                <w:rFonts w:ascii="Courier New" w:cs="Courier New" w:eastAsia="Courier New" w:hAnsi="Courier New"/>
                <w:sz w:val="15"/>
                <w:szCs w:val="15"/>
              </w:rPr>
              <w:t xml:space="preserve">      +--N  outcome_record (de-identified)     /   NON-NULL FK -&gt; source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student_profile  1--N  pathway_run  --N--&gt;  university</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+--1--&gt;  phi_weight_set  (version pinned)</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outcome_record  --&gt;  PHI calibration  --&gt;  proposed phi_weight_set</w:t>
            </w:r>
          </w:p>
          <w:p>
            <w:pPr>
              <w:spacing w:after="0" w:line="240"/>
            </w:pPr>
            <w:r>
              <w:rPr>
                <w:rFonts w:ascii="Courier New" w:cs="Courier New" w:eastAsia="Courier New" w:hAnsi="Courier New"/>
                <w:sz w:val="15"/>
                <w:szCs w:val="15"/>
              </w:rPr>
              <w:t xml:space="preserve">                                             (founder approval required)</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app_user  1--N  verification_event  --&gt;  record  (draft -&gt; verified)</w:t>
            </w:r>
          </w:p>
        </w:tc>
      </w:tr>
    </w:tbl>
    <w:p>
      <w:pPr>
        <w:pStyle w:val="Heading2"/>
        <w:spacing w:after="120" w:before="260"/>
      </w:pPr>
      <w:r>
        <w:rPr>
          <w:rFonts w:ascii="Calibri" w:cs="Calibri" w:eastAsia="Calibri" w:hAnsi="Calibri"/>
          <w:b/>
          <w:bCs/>
          <w:color w:val="1F4E79"/>
          <w:sz w:val="25"/>
          <w:szCs w:val="25"/>
        </w:rPr>
        <w:t xml:space="preserve">6.3 AI and automation features</w:t>
      </w:r>
    </w:p>
    <w:p>
      <w:pPr>
        <w:spacing w:after="120" w:before="0" w:line="276"/>
      </w:pPr>
      <w:r>
        <w:rPr>
          <w:rFonts w:ascii="Calibri" w:cs="Calibri" w:eastAsia="Calibri" w:hAnsi="Calibri"/>
          <w:i/>
          <w:iCs/>
          <w:color w:val="555555"/>
          <w:sz w:val="21"/>
          <w:szCs w:val="21"/>
        </w:rPr>
        <w:t xml:space="preserve">AI is applied at three points only. Each is justified below; anywhere it was not clearly better than a deterministic approach, it was left out.</w:t>
      </w:r>
    </w:p>
    <w:p>
      <w:pPr>
        <w:pStyle w:val="Heading3"/>
        <w:spacing w:after="100" w:before="200"/>
      </w:pPr>
      <w:r>
        <w:rPr>
          <w:rFonts w:ascii="Calibri" w:cs="Calibri" w:eastAsia="Calibri" w:hAnsi="Calibri"/>
          <w:b/>
          <w:bCs/>
          <w:color w:val="2E2E2E"/>
          <w:sz w:val="22"/>
          <w:szCs w:val="22"/>
        </w:rPr>
        <w:t xml:space="preserve">A. Source extraction assist</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1900"/>
        <w:gridCol w:w="7460"/>
      </w:tblGrid>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Purpose</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Convert an official university page into structured draft field values so a researcher confirms rather than transcribes. This is the throughput lever for Phase 4.</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Required data</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Fetched page text or PDF, the target schema, and few-shot examples of correct extraction and correct abstention.</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Expected output</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Per-field: a value, the exact quoted supporting text, and a confidence flag. Fields with no support return "not found" rather than a guess.</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Risks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Plausible-looking wrong values; conflating a domestic fee with an international one; extracting a prior academic year's figure; over-confident abstention failure.</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Human review</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Mandatory, no exceptions. Output is always a draft. Tuition, scholarship amounts and deadlines additionally require a second reviewer. Auto-publish is not a configurable option.</w:t>
            </w:r>
          </w:p>
        </w:tc>
      </w:tr>
    </w:tbl>
    <w:p>
      <w:pPr>
        <w:pStyle w:val="Heading3"/>
        <w:spacing w:after="100" w:before="200"/>
      </w:pPr>
      <w:r>
        <w:rPr>
          <w:rFonts w:ascii="Calibri" w:cs="Calibri" w:eastAsia="Calibri" w:hAnsi="Calibri"/>
          <w:b/>
          <w:bCs/>
          <w:color w:val="2E2E2E"/>
          <w:sz w:val="22"/>
          <w:szCs w:val="22"/>
        </w:rPr>
        <w:t xml:space="preserve">B. Grounded pathway generation (the counselor — Layer 4)</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1900"/>
        <w:gridCol w:w="7460"/>
      </w:tblGrid>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Purpose</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Turn a verified record bundle plus Φ scores into a readable, ranked, month-by-month pathway. Claude writes the narrative; it does not supply the facts.</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Required data</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Student profile, Gateway record bundle with citation IDs, Φ component breakdown, and the EPIF rubric.</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Expected output</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Structured JSON: ranked universities with score and reasons, matching scholarships, a sequenced action plan, and citation references throughout.</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Risks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Inventing a tuition figure or scholarship; overstating admission chances; presenting a stale deadline as current; agreeable over-optimism about a poor-fit target.</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Human review</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Not per-response — the volume makes that impossible. Instead: the claim validator runs on every response, the CI eval suite gates every prompt change, and a sampled human review of pilot responses runs weekly during the soft launch.</w:t>
            </w:r>
          </w:p>
        </w:tc>
      </w:tr>
    </w:tbl>
    <w:p>
      <w:pPr>
        <w:pStyle w:val="Heading3"/>
        <w:spacing w:after="100" w:before="200"/>
      </w:pPr>
      <w:r>
        <w:rPr>
          <w:rFonts w:ascii="Calibri" w:cs="Calibri" w:eastAsia="Calibri" w:hAnsi="Calibri"/>
          <w:b/>
          <w:bCs/>
          <w:color w:val="2E2E2E"/>
          <w:sz w:val="22"/>
          <w:szCs w:val="22"/>
        </w:rPr>
        <w:t xml:space="preserve">C. Anomaly and staleness detection</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1900"/>
        <w:gridCol w:w="7460"/>
      </w:tblGrid>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Purpose</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Catch data errors before students see them — a tuition figure that jumped 40 % year over year, a deadline in the past, a scholarship amount exceeding total tuition.</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Required data</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Historical cost_record values, deadline dates, and cross-field consistency rules.</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Expected output</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 flagged item in the re-verification queue with the reason for the flag.</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Risks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Alert fatigue if thresholds are too tight; missing a genuine error if too loose.</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Human review</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 flag opens a task; it never changes data. Mostly deterministic rules — an LLM is used only for free-text consistency checks, not for numeric ones.</w:t>
            </w:r>
          </w:p>
        </w:tc>
      </w:tr>
    </w:tbl>
    <w:p>
      <w:pPr>
        <w:spacing w:after="100"/>
      </w:pPr>
      <w:r>
        <w:rPr>
          <w:sz w:val="4"/>
          <w:szCs w:val="4"/>
        </w:rPr>
        <w:t xml:space="preserve"/>
      </w:r>
    </w:p>
    <w:tbl>
      <w:tblPr>
        <w:tblW w:type="dxa" w:w="9360"/>
        <w:tblBorders>
          <w:top w:val="single" w:color="E0A800" w:sz="6"/>
          <w:left w:val="single" w:color="E0A800" w:sz="6"/>
          <w:bottom w:val="single" w:color="E0A800" w:sz="6"/>
          <w:right w:val="single" w:color="E0A800" w:sz="6"/>
          <w:insideH w:val="none"/>
          <w:insideV w:val="none"/>
        </w:tblBorders>
      </w:tblPr>
      <w:tblGrid>
        <w:gridCol w:w="9360"/>
      </w:tblGrid>
      <w:tr>
        <w:tc>
          <w:tcPr>
            <w:tcW w:type="dxa" w:w="9360"/>
            <w:shd w:fill="FFF4E5" w:color="auto" w:val="clear"/>
            <w:tcMar>
              <w:top w:type="dxa" w:w="120"/>
              <w:left w:type="dxa" w:w="160"/>
              <w:bottom w:type="dxa" w:w="120"/>
              <w:right w:type="dxa" w:w="160"/>
            </w:tcMar>
          </w:tcPr>
          <w:p>
            <w:pPr>
              <w:spacing w:after="60"/>
            </w:pPr>
            <w:r>
              <w:rPr>
                <w:rFonts w:ascii="Calibri" w:cs="Calibri" w:eastAsia="Calibri" w:hAnsi="Calibri"/>
                <w:b/>
                <w:bCs/>
                <w:sz w:val="20"/>
                <w:szCs w:val="20"/>
              </w:rPr>
              <w:t xml:space="preserve">Where AI is deliberately not used</w:t>
            </w:r>
          </w:p>
          <w:p>
            <w:pPr>
              <w:spacing w:after="50" w:line="260"/>
            </w:pPr>
            <w:r>
              <w:rPr>
                <w:rFonts w:ascii="Calibri" w:cs="Calibri" w:eastAsia="Calibri" w:hAnsi="Calibri"/>
                <w:sz w:val="19"/>
                <w:szCs w:val="19"/>
              </w:rPr>
              <w:t xml:space="preserve">Filling missing fields. If a source does not state a figure, the field stays empty. The brief is explicit: "If we don't have a number, we don't show one."</w:t>
            </w:r>
          </w:p>
          <w:p>
            <w:pPr>
              <w:spacing w:after="50" w:line="260"/>
            </w:pPr>
            <w:r>
              <w:rPr>
                <w:rFonts w:ascii="Calibri" w:cs="Calibri" w:eastAsia="Calibri" w:hAnsi="Calibri"/>
                <w:sz w:val="19"/>
                <w:szCs w:val="19"/>
              </w:rPr>
              <w:t xml:space="preserve">Estimating admission difficulty. This comes from the Outcome Ledger and published statistics, not from a model's prior. An invented selectivity rate is exactly the kind of plausible fabrication the brief prohibits.</w:t>
            </w:r>
          </w:p>
          <w:p>
            <w:pPr>
              <w:spacing w:after="50" w:line="260"/>
            </w:pPr>
            <w:r>
              <w:rPr>
                <w:rFonts w:ascii="Calibri" w:cs="Calibri" w:eastAsia="Calibri" w:hAnsi="Calibri"/>
                <w:sz w:val="19"/>
                <w:szCs w:val="19"/>
              </w:rPr>
              <w:t xml:space="preserve">Computing the Φ score. Φ is a deterministic formula from the EPIF paper. It must be reproducible and auditable, and an LLM cannot provide either.</w:t>
            </w:r>
          </w:p>
          <w:p>
            <w:pPr>
              <w:spacing w:after="50" w:line="260"/>
            </w:pPr>
            <w:r>
              <w:rPr>
                <w:rFonts w:ascii="Calibri" w:cs="Calibri" w:eastAsia="Calibri" w:hAnsi="Calibri"/>
                <w:sz w:val="19"/>
                <w:szCs w:val="19"/>
              </w:rPr>
              <w:t xml:space="preserve">Auto-approving records. Verification is a human act with a human name attached — that is what makes the audit trail meaningful.</w:t>
            </w:r>
          </w:p>
          <w:p>
            <w:pPr>
              <w:spacing w:after="50" w:line="260"/>
            </w:pPr>
            <w:r>
              <w:rPr>
                <w:rFonts w:ascii="Calibri" w:cs="Calibri" w:eastAsia="Calibri" w:hAnsi="Calibri"/>
                <w:sz w:val="19"/>
                <w:szCs w:val="19"/>
              </w:rPr>
              <w:t xml:space="preserve">Adjusting Φ weights automatically. Calibration proposes; the founder approves. Weight sets are versioned so any past recommendation can be reproduced.</w:t>
            </w:r>
          </w:p>
        </w:tc>
      </w:tr>
    </w:tbl>
    <w:p>
      <w:r>
        <w:br w:type="page"/>
      </w:r>
    </w:p>
    <w:p>
      <w:pPr>
        <w:pStyle w:val="Heading1"/>
        <w:spacing w:after="160" w:before="360"/>
      </w:pPr>
      <w:r>
        <w:rPr>
          <w:rFonts w:ascii="Calibri" w:cs="Calibri" w:eastAsia="Calibri" w:hAnsi="Calibri"/>
          <w:b/>
          <w:bCs/>
          <w:color w:val="1F4E79"/>
          <w:sz w:val="30"/>
          <w:szCs w:val="30"/>
        </w:rPr>
        <w:t xml:space="preserve">7. Project Phases</w:t>
      </w:r>
    </w:p>
    <w:tbl>
      <w:tblPr>
        <w:tblW w:type="dxa" w:w="9360"/>
        <w:tblBorders>
          <w:top w:val="single" w:color="E0A800" w:sz="6"/>
          <w:left w:val="single" w:color="E0A800" w:sz="6"/>
          <w:bottom w:val="single" w:color="E0A800" w:sz="6"/>
          <w:right w:val="single" w:color="E0A800" w:sz="6"/>
          <w:insideH w:val="none"/>
          <w:insideV w:val="none"/>
        </w:tblBorders>
      </w:tblPr>
      <w:tblGrid>
        <w:gridCol w:w="9360"/>
      </w:tblGrid>
      <w:tr>
        <w:tc>
          <w:tcPr>
            <w:tcW w:type="dxa" w:w="9360"/>
            <w:shd w:fill="EEF4FB" w:color="auto" w:val="clear"/>
            <w:tcMar>
              <w:top w:type="dxa" w:w="120"/>
              <w:left w:type="dxa" w:w="160"/>
              <w:bottom w:type="dxa" w:w="120"/>
              <w:right w:type="dxa" w:w="160"/>
            </w:tcMar>
          </w:tcPr>
          <w:p>
            <w:pPr>
              <w:spacing w:after="60"/>
            </w:pPr>
            <w:r>
              <w:rPr>
                <w:rFonts w:ascii="Calibri" w:cs="Calibri" w:eastAsia="Calibri" w:hAnsi="Calibri"/>
                <w:b/>
                <w:bCs/>
                <w:sz w:val="20"/>
                <w:szCs w:val="20"/>
              </w:rPr>
              <w:t xml:space="preserve">Estimating basis</w:t>
            </w:r>
          </w:p>
          <w:p>
            <w:pPr>
              <w:spacing w:after="50" w:line="260"/>
            </w:pPr>
            <w:r>
              <w:rPr>
                <w:rFonts w:ascii="Calibri" w:cs="Calibri" w:eastAsia="Calibri" w:hAnsi="Calibri"/>
                <w:sz w:val="19"/>
                <w:szCs w:val="19"/>
              </w:rPr>
              <w:t xml:space="preserve">ASSUMPTION: durations assume roughly one full-time full-stack engineer, a part-time data lead, two part-time data researchers scaling to four in Phase 4, and the founder available for decisions and Outcome Ledger entry. The brief states no headcount, so every duration below moves proportionally with the actual team. Phases 2–4 partially overlap. Total: approximately 20–26 weeks to full launch.</w:t>
            </w:r>
          </w:p>
        </w:tc>
      </w:tr>
    </w:tbl>
    <w:p>
      <w:pPr>
        <w:spacing w:after="120"/>
      </w:pPr>
      <w:r>
        <w:rPr>
          <w:sz w:val="4"/>
          <w:szCs w:val="4"/>
        </w:rPr>
        <w:t xml:space="preserve"/>
      </w:r>
    </w:p>
    <w:p>
      <w:pPr>
        <w:pStyle w:val="Heading2"/>
        <w:spacing w:after="120" w:before="260"/>
      </w:pPr>
      <w:r>
        <w:rPr>
          <w:rFonts w:ascii="Calibri" w:cs="Calibri" w:eastAsia="Calibri" w:hAnsi="Calibri"/>
          <w:b/>
          <w:bCs/>
          <w:color w:val="1F4E79"/>
          <w:sz w:val="25"/>
          <w:szCs w:val="25"/>
        </w:rPr>
        <w:t xml:space="preserve">Phase 1 — Discovery and Validation  ·  2 weeks</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1900"/>
        <w:gridCol w:w="7460"/>
      </w:tblGrid>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Objective</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Confirm that a provenance-enforced data pipeline is the right investment, and close the largest information gaps identified in Section 1.7.</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Main activities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Interview the founder and two consultants to extract how operator knowledge is actually held and whether it can be structured. Time a manual sourcing of five universities end to end to establish a baseline. Define the selection criteria for "the 300 that matter." Extract the exact Φ equations and weights from the EPIF paper. Obtain a legal read on republishing sourced university data and on storing historical applicant outcomes.</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Technical tasks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Prototype extraction on ten real university pages and measure field-level accuracy. Draft the provenance schema. Confirm the fields the five Phase 2 AI systems each require, so the schema serves all of them.</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Deliverables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Baseline throughput figure (minutes per verified university, manual). Extraction accuracy report. Draft schema and field dictionary. A written 300-university selection rubric with a first prioritized list. Legal and privacy summary.</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Team</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Founder, full-stack engineer, data lead (part-time), external legal counsel (one engagement).</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Dependencies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Founder availability. Access to the EPIF paper. Consultant availability for interviews.</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Success criteria</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Extraction assist demonstrably beats manual entry on time-per-record at equal or better accuracy; the 300-university rubric is signed off; no legal blocker to sourcing or to a de-identified outcome ledger.</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Main risks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Operator knowledge proves too tacit or too inconsistent to structure — this would remove the Outcome Ledger from scope and materially weaken the moat. Extraction accuracy comes in too low to save time.</w:t>
            </w:r>
          </w:p>
        </w:tc>
      </w:tr>
    </w:tbl>
    <w:p>
      <w:pPr>
        <w:pStyle w:val="Heading2"/>
        <w:spacing w:after="120" w:before="260"/>
      </w:pPr>
      <w:r>
        <w:rPr>
          <w:rFonts w:ascii="Calibri" w:cs="Calibri" w:eastAsia="Calibri" w:hAnsi="Calibri"/>
          <w:b/>
          <w:bCs/>
          <w:color w:val="1F4E79"/>
          <w:sz w:val="25"/>
          <w:szCs w:val="25"/>
        </w:rPr>
        <w:t xml:space="preserve">Phase 2 — Planning and Design  ·  2 weeks</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1900"/>
        <w:gridCol w:w="7460"/>
      </w:tblGrid>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Objective</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Lock the schema, the Gateway contract and the console interaction model before any production code is written.</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Main activities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Finalise the entity model and provenance constraints. Specify the Gateway API contract with the prompt team. Design the console's record editor for keyboard speed. Define role permissions and the RLS policy matrix. Write the grounding eval specification.</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Technical tasks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Migration scripts. OpenAPI specification for the Gateway. RLS policy design. Φ engine interface definition against the paper's equations. CI pipeline design.</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Deliverables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Frozen v1 schema (the single source of truth for Layer 1). Gateway API contract. Console wireframes for the three highest-traffic screens. Role and RLS matrix. Eval specification with the golden-profile set drafted.</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Team</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Engineer, data lead, founder (sign-off), designer (light, outsourced).</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Dependencies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Phase 1 outputs, particularly the field dictionary and the Φ equations.</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Success criteria</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prompt team confirms the Gateway contract meets the needs of all five AI systems. Schema review passes with no known gaps. Founder signs off that the design does not diverge from the EPIF paper or the public narrative.</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Main risks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Schema churn later is expensive once records exist — under-specifying now is the main danger. Designing for engineers rather than for researchers, producing a console that is correct but slow to use.</w:t>
            </w:r>
          </w:p>
        </w:tc>
      </w:tr>
    </w:tbl>
    <w:p>
      <w:pPr>
        <w:pStyle w:val="Heading2"/>
        <w:spacing w:after="120" w:before="260"/>
      </w:pPr>
      <w:r>
        <w:rPr>
          <w:rFonts w:ascii="Calibri" w:cs="Calibri" w:eastAsia="Calibri" w:hAnsi="Calibri"/>
          <w:b/>
          <w:bCs/>
          <w:color w:val="1F4E79"/>
          <w:sz w:val="25"/>
          <w:szCs w:val="25"/>
        </w:rPr>
        <w:t xml:space="preserve">Phase 3 — MVP Development  ·  6 weeks</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1900"/>
        <w:gridCol w:w="7460"/>
      </w:tblGrid>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Objective</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Ship all nine MVP features to a working, internally usable state.</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Main activities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Build in the order: schema and RLS → console record editor → extraction assist → verification queue → Φ engine → Gateway → validator → dashboards → eval harness. Weekly demo to the founder, per the brief's ship-small cadence.</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Technical tasks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Supabase migrations and RLS policies. Next.js console with TanStack grids. Claude extraction pipeline with per-field citation. Snapshot capture and storage. Φ engine with unit tests against worked examples from the paper. Gateway endpoints with a typed client. Claim validator. Coverage and staleness dashboards. CI-integrated eval harness.</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Deliverables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 deployed console; a documented Gateway; a versioned Φ engine; a passing eval suite; ten fully verified universities loaded as a real end-to-end proof.</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Team</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Full-stack engineer (full-time), data lead (part-time), founder (weekly review), prompt engineer (part-time from week 4).</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Dependencies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Frozen schema. Claude API access. Supabase project provisioned.</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Success criteria</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 researcher can take a university from zero to verified without leaving the console. A test student profile returns Φ-ranked results with complete citations. The validator provably strips an uncited figure in a deliberate red-team test.</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Main risks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Scope creep into consumer-facing polish. Φ implementation ambiguity where the paper underspecifies normalisation — needs a fast escalation path to the founder rather than an engineer's improvisation.</w:t>
            </w:r>
          </w:p>
        </w:tc>
      </w:tr>
    </w:tbl>
    <w:p>
      <w:pPr>
        <w:pStyle w:val="Heading2"/>
        <w:spacing w:after="120" w:before="260"/>
      </w:pPr>
      <w:r>
        <w:rPr>
          <w:rFonts w:ascii="Calibri" w:cs="Calibri" w:eastAsia="Calibri" w:hAnsi="Calibri"/>
          <w:b/>
          <w:bCs/>
          <w:color w:val="1F4E79"/>
          <w:sz w:val="25"/>
          <w:szCs w:val="25"/>
        </w:rPr>
        <w:t xml:space="preserve">Phase 4 — Testing  ·  2 weeks (overlapping Phase 3)</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1900"/>
        <w:gridCol w:w="7460"/>
      </w:tblGrid>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Objective</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Establish that the system enforces the brief's rules under adversarial conditions, not just happy paths.</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Main activities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Red-team the grounding: construct profiles that tempt fabrication (obscure countries, thin records, unusual budgets). Verify refusal behaviour when data is genuinely absent. Time researchers on real records to confirm the throughput gain. Accuracy-audit a random sample of verified records against their sources.</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Technical tasks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Expand the eval suite to 50+ cases including must-refuse cases. Load and latency testing on the Gateway. RLS penetration test confirming draft rows are unreachable by the service reader. Backup restore drill.</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Deliverables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Test report with grounding pass rate and a measured hallucination rate. Throughput benchmark versus the Phase 1 manual baseline. Data accuracy audit. A successful restore-from-backup record.</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Team</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Engineer, data lead, founder, plus two external testers (contract) for red-teaming.</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Dependencies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MVP feature-complete. Enough loaded records for realistic queries.</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Success criteria</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100 % of must-refuse cases produce a refusal rather than a guess. Zero uncited figures survive the validator across the full eval suite. Sampled record accuracy ≥ 98 % against source. Verified-records-per-day at least double the manual baseline.</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Main risks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Finding a systematic grounding failure late, requiring a Gateway or prompt redesign. Throughput gains proving smaller than hoped, which would push the Phase 4 data fill out.</w:t>
            </w:r>
          </w:p>
        </w:tc>
      </w:tr>
    </w:tbl>
    <w:p>
      <w:pPr>
        <w:pStyle w:val="Heading2"/>
        <w:spacing w:after="120" w:before="260"/>
      </w:pPr>
      <w:r>
        <w:rPr>
          <w:rFonts w:ascii="Calibri" w:cs="Calibri" w:eastAsia="Calibri" w:hAnsi="Calibri"/>
          <w:b/>
          <w:bCs/>
          <w:color w:val="1F4E79"/>
          <w:sz w:val="25"/>
          <w:szCs w:val="25"/>
        </w:rPr>
        <w:t xml:space="preserve">Phase 5 — Pilot Launch (data fill + soft launch)  ·  6 weeks</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1900"/>
        <w:gridCol w:w="7460"/>
      </w:tblGrid>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Objective</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Fill Layer 1 to the ~300-university target and put the resulting data in front of a controlled group of real users, as the brief specifies.</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Main activities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Run batch data entry against the prioritized list, highest-demand universities first. Founder and consultants populate the Outcome Ledger. Soft launch to existing 4Prep leads and students. Collect real usage data. Document continuously with screenshots and counts.</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Technical tasks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Scale researcher onboarding and queue management. Monitor extraction accuracy by source type and tune prompts. Ship the in-product correction loop. Instrument pathway runs, refusal rates and citation click-through. Run the first Φ calibration against the Outcome Ledger.</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Deliverables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~300 verified universities, each record sourced. A populated Outcome Ledger. A first cohort of real pathway runs. A calibration report. A documentation pack — screenshots, user counts, feature demos.</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Team</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Data lead (increasing to full-time), 3–4 researchers (part-time/contract), engineer, founder, prompt engineer (part-time).</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Dependencies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Testing passed. Researchers hired and trained. Pilot cohort recruited. Consultant time for the Outcome Ledger.</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Success criteria</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Phase 4 gate from the brief is met: ~300 verified universities and a first cohort that has generated pathways. Refusal rate stays within an acceptable band — high enough to be honest, low enough to be useful. No fabrication incident reported by any pilot user.</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Main risks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Data entry is the largest labour item in the plan and the most likely to slip. Researcher quality varies. Pilot users hit coverage gaps for their specific targets and disengage. The brief's own warning applies here: it will feel premature — launch anyway.</w:t>
            </w:r>
          </w:p>
        </w:tc>
      </w:tr>
    </w:tbl>
    <w:p>
      <w:pPr>
        <w:pStyle w:val="Heading2"/>
        <w:spacing w:after="120" w:before="260"/>
      </w:pPr>
      <w:r>
        <w:rPr>
          <w:rFonts w:ascii="Calibri" w:cs="Calibri" w:eastAsia="Calibri" w:hAnsi="Calibri"/>
          <w:b/>
          <w:bCs/>
          <w:color w:val="1F4E79"/>
          <w:sz w:val="25"/>
          <w:szCs w:val="25"/>
        </w:rPr>
        <w:t xml:space="preserve">Phase 6 — Improvement and Full Launch  ·  4 weeks</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1900"/>
        <w:gridCol w:w="7460"/>
      </w:tblGrid>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Objective</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Close the gaps the pilot exposed and open the product publicly with data that is defensible on every screen.</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Main activities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Triage pilot feedback and correction-loop flags. Fill the coverage gaps that blocked real users. Apply the approved Φ weight adjustment. Publish the public methodology page. Prepare launch documentation for the public record.</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Technical tasks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Freshness alerts and the re-verification workflow in production. Source snapshot archive completed for all records. Field-level change history exposed in the console. Performance tuning on the Gateway. Public methodology page generated from live parameters.</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Deliverables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 production-ready dataset with a documented refresh policy. Published methodology page. Approved Φ v2 weight set. Public launch. Evidence pack export.</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Team</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Engineer, data lead, researchers (reduced), founder, designer (light).</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Dependencies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Pilot data and calibration results. Founder approval on weights and on public wording.</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Success criteria</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Coverage sufficient that fewer than a defined threshold of student profiles hit a data gap. Methodology page is live and consistent with the EPIF paper. Every public claim about the product is demonstrably backed by a working feature.</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Main risks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Pressure to expand beyond 300 universities before depth is right — this is the exact failure the brief warns against. Divergence between the public methodology wording and the implementation.</w:t>
            </w:r>
          </w:p>
        </w:tc>
      </w:tr>
    </w:tbl>
    <w:p>
      <w:pPr>
        <w:pStyle w:val="Heading2"/>
        <w:spacing w:after="120" w:before="260"/>
      </w:pPr>
      <w:r>
        <w:rPr>
          <w:rFonts w:ascii="Calibri" w:cs="Calibri" w:eastAsia="Calibri" w:hAnsi="Calibri"/>
          <w:b/>
          <w:bCs/>
          <w:color w:val="1F4E79"/>
          <w:sz w:val="25"/>
          <w:szCs w:val="25"/>
        </w:rPr>
        <w:t xml:space="preserve">Phase 7 — Scaling and Long-Term Development  ·  Ongoing</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1900"/>
        <w:gridCol w:w="7460"/>
      </w:tblGrid>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Objective</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Make the dataset compound and reduce the marginal cost of keeping it true.</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Main activities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Automate source monitoring. Grow the Outcome Ledger with each admission cycle. Extend coverage by demand signal rather than by ambition. Evaluate multi-language support and partner data access.</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Technical tasks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Scheduled re-fetch and diff pipeline. Statistical Φ weight fitting once sample size supports it. Confidence-weighted ranking. Read replicas and caching if volume warrants. Regional data residency review if the user base expands.</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Deliverables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 self-maintaining freshness pipeline. Annual calibration cycle. A documented coverage expansion policy.</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Team</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Engineer (part-time steady state), data lead, seasonal researcher capacity, founder.</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Dependencies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Stable full launch. Sufficient outcome sample size for statistical fitting.</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Success criteria</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Manual re-verification hours per record fall year over year. Recommendation accuracy against actual outcomes improves each cycle. Data operations cost per university trends down.</w:t>
            </w:r>
          </w:p>
        </w:tc>
      </w:tr>
      <w:tr>
        <w:tc>
          <w:tcPr>
            <w:tcW w:type="dxa" w:w="1900"/>
            <w:shd w:fill="F2F6FA" w:color="auto" w:val="clear"/>
            <w:tcMar>
              <w:top w:type="dxa" w:w="70"/>
              <w:left w:type="dxa" w:w="110"/>
              <w:bottom w:type="dxa" w:w="70"/>
              <w:right w:type="dxa" w:w="110"/>
            </w:tcMar>
          </w:tcPr>
          <w:p>
            <w:pPr>
              <w:spacing w:after="0" w:line="250"/>
            </w:pPr>
            <w:r>
              <w:rPr>
                <w:rFonts w:ascii="Calibri" w:cs="Calibri" w:eastAsia="Calibri" w:hAnsi="Calibri"/>
                <w:b/>
                <w:bCs/>
                <w:sz w:val="18"/>
                <w:szCs w:val="18"/>
              </w:rPr>
              <w:t xml:space="preserve">Main risks</w:t>
            </w:r>
          </w:p>
        </w:tc>
        <w:tc>
          <w:tcPr>
            <w:tcW w:type="dxa" w:w="74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Maintenance is unglamorous and gets deprioritised; the dataset quietly decays. Founder attention shifts to new features while the moat erodes.</w:t>
            </w:r>
          </w:p>
        </w:tc>
      </w:tr>
    </w:tbl>
    <w:p>
      <w:r>
        <w:br w:type="page"/>
      </w:r>
    </w:p>
    <w:p>
      <w:pPr>
        <w:pStyle w:val="Heading1"/>
        <w:spacing w:after="160" w:before="360"/>
      </w:pPr>
      <w:r>
        <w:rPr>
          <w:rFonts w:ascii="Calibri" w:cs="Calibri" w:eastAsia="Calibri" w:hAnsi="Calibri"/>
          <w:b/>
          <w:bCs/>
          <w:color w:val="1F4E79"/>
          <w:sz w:val="30"/>
          <w:szCs w:val="30"/>
        </w:rPr>
        <w:t xml:space="preserve">8. MVP Scope</w:t>
      </w:r>
    </w:p>
    <w:p>
      <w:pPr>
        <w:pStyle w:val="Heading2"/>
        <w:spacing w:after="120" w:before="260"/>
      </w:pPr>
      <w:r>
        <w:rPr>
          <w:rFonts w:ascii="Calibri" w:cs="Calibri" w:eastAsia="Calibri" w:hAnsi="Calibri"/>
          <w:b/>
          <w:bCs/>
          <w:color w:val="1F4E79"/>
          <w:sz w:val="25"/>
          <w:szCs w:val="25"/>
        </w:rPr>
        <w:t xml:space="preserve">8.1 What must be included</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4680"/>
        <w:gridCol w:w="4680"/>
      </w:tblGrid>
      <w:tr>
        <w:trPr>
          <w:tblHeader/>
        </w:trPr>
        <w:tc>
          <w:tcPr>
            <w:tcW w:type="dxa" w:w="468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Included</w:t>
            </w:r>
          </w:p>
        </w:tc>
        <w:tc>
          <w:tcPr>
            <w:tcW w:type="dxa" w:w="468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Reason it cannot be cut</w:t>
            </w:r>
          </w:p>
        </w:tc>
      </w:tr>
      <w:tr>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Provenance-enforced schema (non-nullable source FK on every fact-bearing field)</w:t>
            </w:r>
          </w:p>
        </w:tc>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Everything else in the system rests on it, and retrofitting provenance after records exist is far more expensive than building it in.</w:t>
            </w:r>
          </w:p>
        </w:tc>
      </w:tr>
      <w:tr>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Console record editor with source capture and snapshot archiving</w:t>
            </w:r>
          </w:p>
        </w:tc>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Without it, the alternative is spreadsheets — and sourcing is the first thing dropped under deadline pressure.</w:t>
            </w:r>
          </w:p>
        </w:tc>
      </w:tr>
      <w:tr>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AI extraction assist producing drafts with per-field quotes</w:t>
            </w:r>
          </w:p>
        </w:tc>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economic case for the whole project depends on this throughput gain.</w:t>
            </w:r>
          </w:p>
        </w:tc>
      </w:tr>
      <w:tr>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Human verification queue with named approver and second reviewer on high-risk fields</w:t>
            </w:r>
          </w:p>
        </w:tc>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brief's golden rule requires an audit trail, and this is it.</w:t>
            </w:r>
          </w:p>
        </w:tc>
      </w:tr>
      <w:tr>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EPIF Φ engine — one versioned implementation with component breakdown</w:t>
            </w:r>
          </w:p>
        </w:tc>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"Do not invent a new scoring system" plus "a fit score she can understand."</w:t>
            </w:r>
          </w:p>
        </w:tc>
      </w:tr>
      <w:tr>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Grounding Gateway with citation bundles</w:t>
            </w:r>
          </w:p>
        </w:tc>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single choke point where grounding can be enforced.</w:t>
            </w:r>
          </w:p>
        </w:tc>
      </w:tr>
      <w:tr>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Ungrounded-claim validator</w:t>
            </w:r>
          </w:p>
        </w:tc>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enforcement mechanism for "never invents data."</w:t>
            </w:r>
          </w:p>
        </w:tc>
      </w:tr>
      <w:tr>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Coverage dashboard</w:t>
            </w:r>
          </w:p>
        </w:tc>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Phase 4 has a numeric gate; progress must be visible daily.</w:t>
            </w:r>
          </w:p>
        </w:tc>
      </w:tr>
      <w:tr>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Grounding eval harness in CI</w:t>
            </w:r>
          </w:p>
        </w:tc>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regression test for the product's core promise. Without it, grounding quality drifts silently with every prompt change.</w:t>
            </w:r>
          </w:p>
        </w:tc>
      </w:tr>
      <w:tr>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Ten fully verified universities loaded</w:t>
            </w:r>
          </w:p>
        </w:tc>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Proves the pipeline end to end on real data before scaling researcher headcount.</w:t>
            </w:r>
          </w:p>
        </w:tc>
      </w:tr>
    </w:tbl>
    <w:p>
      <w:pPr>
        <w:pStyle w:val="Heading2"/>
        <w:spacing w:after="120" w:before="260"/>
      </w:pPr>
      <w:r>
        <w:rPr>
          <w:rFonts w:ascii="Calibri" w:cs="Calibri" w:eastAsia="Calibri" w:hAnsi="Calibri"/>
          <w:b/>
          <w:bCs/>
          <w:color w:val="1F4E79"/>
          <w:sz w:val="25"/>
          <w:szCs w:val="25"/>
        </w:rPr>
        <w:t xml:space="preserve">8.2 What should be excluded</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4680"/>
        <w:gridCol w:w="4680"/>
      </w:tblGrid>
      <w:tr>
        <w:trPr>
          <w:tblHeader/>
        </w:trPr>
        <w:tc>
          <w:tcPr>
            <w:tcW w:type="dxa" w:w="468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Excluded from MVP</w:t>
            </w:r>
          </w:p>
        </w:tc>
        <w:tc>
          <w:tcPr>
            <w:tcW w:type="dxa" w:w="468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Reason</w:t>
            </w:r>
          </w:p>
        </w:tc>
      </w:tr>
      <w:tr>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Automated source monitoring and re-crawl</w:t>
            </w:r>
          </w:p>
        </w:tc>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Manual re-verification is not yet the bottleneck. Premature automation here is expensive and brittle.</w:t>
            </w:r>
          </w:p>
        </w:tc>
      </w:tr>
      <w:tr>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Statistical Φ weight fitting</w:t>
            </w:r>
          </w:p>
        </w:tc>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Sample size will not support it. Fitting on small n produces confidently wrong weights.</w:t>
            </w:r>
          </w:p>
        </w:tc>
      </w:tr>
      <w:tr>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Multi-language source extraction</w:t>
            </w:r>
          </w:p>
        </w:tc>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Blocked on an unmade product-language decision.</w:t>
            </w:r>
          </w:p>
        </w:tc>
      </w:tr>
      <w:tr>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Public methodology page</w:t>
            </w:r>
          </w:p>
        </w:tc>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Valuable, but it is a Phase 6 trust artefact, not an MVP dependency.</w:t>
            </w:r>
          </w:p>
        </w:tc>
      </w:tr>
      <w:tr>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Partner or public data API</w:t>
            </w:r>
          </w:p>
        </w:tc>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Monetization is undefined; building an external contract now would lock in decisions not yet made.</w:t>
            </w:r>
          </w:p>
        </w:tc>
      </w:tr>
      <w:tr>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Rich analytics and BI tooling</w:t>
            </w:r>
          </w:p>
        </w:tc>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Four dashboard numbers cover the MVP's needs.</w:t>
            </w:r>
          </w:p>
        </w:tc>
      </w:tr>
      <w:tr>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Consumer-facing UI work</w:t>
            </w:r>
          </w:p>
        </w:tc>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Out of scope by design. Layer 3 belongs to the student app; Ground Truth is infrastructure.</w:t>
            </w:r>
          </w:p>
        </w:tc>
      </w:tr>
      <w:tr>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Full 300-university data fill</w:t>
            </w:r>
          </w:p>
        </w:tc>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That is Phase 5 execution. Attempting it before the pipeline is proven repeats the exact sequencing error the brief warns against twice.</w:t>
            </w:r>
          </w:p>
        </w:tc>
      </w:tr>
    </w:tbl>
    <w:p>
      <w:pPr>
        <w:pStyle w:val="Heading2"/>
        <w:spacing w:after="120" w:before="260"/>
      </w:pPr>
      <w:r>
        <w:rPr>
          <w:rFonts w:ascii="Calibri" w:cs="Calibri" w:eastAsia="Calibri" w:hAnsi="Calibri"/>
          <w:b/>
          <w:bCs/>
          <w:color w:val="1F4E79"/>
          <w:sz w:val="25"/>
          <w:szCs w:val="25"/>
        </w:rPr>
        <w:t xml:space="preserve">8.3 Required user roles</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1800"/>
        <w:gridCol w:w="3200"/>
        <w:gridCol w:w="4360"/>
      </w:tblGrid>
      <w:tr>
        <w:trPr>
          <w:tblHeader/>
        </w:trPr>
        <w:tc>
          <w:tcPr>
            <w:tcW w:type="dxa" w:w="18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Role</w:t>
            </w:r>
          </w:p>
        </w:tc>
        <w:tc>
          <w:tcPr>
            <w:tcW w:type="dxa" w:w="32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Permissions</w:t>
            </w:r>
          </w:p>
        </w:tc>
        <w:tc>
          <w:tcPr>
            <w:tcW w:type="dxa" w:w="43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Notes</w:t>
            </w:r>
          </w:p>
        </w:tc>
      </w:tr>
      <w:tr>
        <w:tc>
          <w:tcPr>
            <w:tcW w:type="dxa" w:w="18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admin</w:t>
            </w:r>
          </w:p>
        </w:tc>
        <w:tc>
          <w:tcPr>
            <w:tcW w:type="dxa" w:w="3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Full access; manages roles; approves Φ weight sets; exports evidence packs</w:t>
            </w:r>
          </w:p>
        </w:tc>
        <w:tc>
          <w:tcPr>
            <w:tcW w:type="dxa" w:w="43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Founder. One or two people maximum.</w:t>
            </w:r>
          </w:p>
        </w:tc>
      </w:tr>
      <w:tr>
        <w:tc>
          <w:tcPr>
            <w:tcW w:type="dxa" w:w="18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data_lead</w:t>
            </w:r>
          </w:p>
        </w:tc>
        <w:tc>
          <w:tcPr>
            <w:tcW w:type="dxa" w:w="3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Approves and rejects records; manages the queue and priorities; sees all dashboards</w:t>
            </w:r>
          </w:p>
        </w:tc>
        <w:tc>
          <w:tcPr>
            <w:tcW w:type="dxa" w:w="43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operational owner of data quality.</w:t>
            </w:r>
          </w:p>
        </w:tc>
      </w:tr>
      <w:tr>
        <w:tc>
          <w:tcPr>
            <w:tcW w:type="dxa" w:w="18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verifier</w:t>
            </w:r>
          </w:p>
        </w:tc>
        <w:tc>
          <w:tcPr>
            <w:tcW w:type="dxa" w:w="3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Reviews and approves records; acts as second reviewer on high-risk fields</w:t>
            </w:r>
          </w:p>
        </w:tc>
        <w:tc>
          <w:tcPr>
            <w:tcW w:type="dxa" w:w="43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Can be a trusted consultant, not necessarily technical.</w:t>
            </w:r>
          </w:p>
        </w:tc>
      </w:tr>
      <w:tr>
        <w:tc>
          <w:tcPr>
            <w:tcW w:type="dxa" w:w="18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contributor</w:t>
            </w:r>
          </w:p>
        </w:tc>
        <w:tc>
          <w:tcPr>
            <w:tcW w:type="dxa" w:w="3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Creates and edits drafts; cannot publish</w:t>
            </w:r>
          </w:p>
        </w:tc>
        <w:tc>
          <w:tcPr>
            <w:tcW w:type="dxa" w:w="43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researcher role. Deliberately unable to make anything live.</w:t>
            </w:r>
          </w:p>
        </w:tc>
      </w:tr>
      <w:tr>
        <w:tc>
          <w:tcPr>
            <w:tcW w:type="dxa" w:w="18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service_reader</w:t>
            </w:r>
          </w:p>
        </w:tc>
        <w:tc>
          <w:tcPr>
            <w:tcW w:type="dxa" w:w="3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Read-only access to verified rows via the Gateway only</w:t>
            </w:r>
          </w:p>
        </w:tc>
        <w:tc>
          <w:tcPr>
            <w:tcW w:type="dxa" w:w="43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Used by the student app. RLS makes draft rows literally unreachable.</w:t>
            </w:r>
          </w:p>
        </w:tc>
      </w:tr>
    </w:tbl>
    <w:p>
      <w:pPr>
        <w:pStyle w:val="Heading2"/>
        <w:spacing w:after="120" w:before="260"/>
      </w:pPr>
      <w:r>
        <w:rPr>
          <w:rFonts w:ascii="Calibri" w:cs="Calibri" w:eastAsia="Calibri" w:hAnsi="Calibri"/>
          <w:b/>
          <w:bCs/>
          <w:color w:val="1F4E79"/>
          <w:sz w:val="25"/>
          <w:szCs w:val="25"/>
        </w:rPr>
        <w:t xml:space="preserve">8.4 Required integrations</w:t>
      </w:r>
    </w:p>
    <w:p>
      <w:pPr>
        <w:pStyle w:val="ListParagraph"/>
        <w:numPr>
          <w:ilvl w:val="0"/>
          <w:numId w:val="2"/>
        </w:numPr>
        <w:spacing w:after="70" w:line="276"/>
      </w:pPr>
      <w:r>
        <w:rPr>
          <w:rFonts w:ascii="Calibri" w:cs="Calibri" w:eastAsia="Calibri" w:hAnsi="Calibri"/>
          <w:b/>
          <w:bCs/>
          <w:sz w:val="21"/>
          <w:szCs w:val="21"/>
        </w:rPr>
        <w:t xml:space="preserve">Claude API — </w:t>
      </w:r>
      <w:r>
        <w:rPr>
          <w:rFonts w:ascii="Calibri" w:cs="Calibri" w:eastAsia="Calibri" w:hAnsi="Calibri"/>
          <w:sz w:val="21"/>
          <w:szCs w:val="21"/>
        </w:rPr>
        <w:t xml:space="preserve">extraction assist and, downstream, the counselor. Required.</w:t>
      </w:r>
    </w:p>
    <w:p>
      <w:pPr>
        <w:pStyle w:val="ListParagraph"/>
        <w:numPr>
          <w:ilvl w:val="0"/>
          <w:numId w:val="2"/>
        </w:numPr>
        <w:spacing w:after="70" w:line="276"/>
      </w:pPr>
      <w:r>
        <w:rPr>
          <w:rFonts w:ascii="Calibri" w:cs="Calibri" w:eastAsia="Calibri" w:hAnsi="Calibri"/>
          <w:b/>
          <w:bCs/>
          <w:sz w:val="21"/>
          <w:szCs w:val="21"/>
        </w:rPr>
        <w:t xml:space="preserve">Supabase (Postgres, Auth, Storage) — </w:t>
      </w:r>
      <w:r>
        <w:rPr>
          <w:rFonts w:ascii="Calibri" w:cs="Calibri" w:eastAsia="Calibri" w:hAnsi="Calibri"/>
          <w:sz w:val="21"/>
          <w:szCs w:val="21"/>
        </w:rPr>
        <w:t xml:space="preserve">database, identity and snapshot storage. Required; fixed by the brief.</w:t>
      </w:r>
    </w:p>
    <w:p>
      <w:pPr>
        <w:pStyle w:val="ListParagraph"/>
        <w:numPr>
          <w:ilvl w:val="0"/>
          <w:numId w:val="2"/>
        </w:numPr>
        <w:spacing w:after="70" w:line="276"/>
      </w:pPr>
      <w:r>
        <w:rPr>
          <w:rFonts w:ascii="Calibri" w:cs="Calibri" w:eastAsia="Calibri" w:hAnsi="Calibri"/>
          <w:b/>
          <w:bCs/>
          <w:sz w:val="21"/>
          <w:szCs w:val="21"/>
        </w:rPr>
        <w:t xml:space="preserve">Source snapshot capture — </w:t>
      </w:r>
      <w:r>
        <w:rPr>
          <w:rFonts w:ascii="Calibri" w:cs="Calibri" w:eastAsia="Calibri" w:hAnsi="Calibri"/>
          <w:sz w:val="21"/>
          <w:szCs w:val="21"/>
        </w:rPr>
        <w:t xml:space="preserve">headless-browser or archiving service for HTML/PDF capture. Required.</w:t>
      </w:r>
    </w:p>
    <w:p>
      <w:pPr>
        <w:pStyle w:val="ListParagraph"/>
        <w:numPr>
          <w:ilvl w:val="0"/>
          <w:numId w:val="2"/>
        </w:numPr>
        <w:spacing w:after="70" w:line="276"/>
      </w:pPr>
      <w:r>
        <w:rPr>
          <w:rFonts w:ascii="Calibri" w:cs="Calibri" w:eastAsia="Calibri" w:hAnsi="Calibri"/>
          <w:b/>
          <w:bCs/>
          <w:sz w:val="21"/>
          <w:szCs w:val="21"/>
        </w:rPr>
        <w:t xml:space="preserve">Currency exchange rates — </w:t>
      </w:r>
      <w:r>
        <w:rPr>
          <w:rFonts w:ascii="Calibri" w:cs="Calibri" w:eastAsia="Calibri" w:hAnsi="Calibri"/>
          <w:sz w:val="21"/>
          <w:szCs w:val="21"/>
        </w:rPr>
        <w:t xml:space="preserve">daily rates for tuition normalisation across USD, EUR, PLN and others. Required for Financial Fit to compare candidates honestly.</w:t>
      </w:r>
    </w:p>
    <w:p>
      <w:pPr>
        <w:pStyle w:val="ListParagraph"/>
        <w:numPr>
          <w:ilvl w:val="0"/>
          <w:numId w:val="2"/>
        </w:numPr>
        <w:spacing w:after="70" w:line="276"/>
      </w:pPr>
      <w:r>
        <w:rPr>
          <w:rFonts w:ascii="Calibri" w:cs="Calibri" w:eastAsia="Calibri" w:hAnsi="Calibri"/>
          <w:b/>
          <w:bCs/>
          <w:sz w:val="21"/>
          <w:szCs w:val="21"/>
        </w:rPr>
        <w:t xml:space="preserve">Email notifications — </w:t>
      </w:r>
      <w:r>
        <w:rPr>
          <w:rFonts w:ascii="Calibri" w:cs="Calibri" w:eastAsia="Calibri" w:hAnsi="Calibri"/>
          <w:sz w:val="21"/>
          <w:szCs w:val="21"/>
        </w:rPr>
        <w:t xml:space="preserve">queue assignments and staleness alerts. Required, minimal.</w:t>
      </w:r>
    </w:p>
    <w:p>
      <w:pPr>
        <w:pStyle w:val="ListParagraph"/>
        <w:numPr>
          <w:ilvl w:val="0"/>
          <w:numId w:val="2"/>
        </w:numPr>
        <w:spacing w:after="70" w:line="276"/>
      </w:pPr>
      <w:r>
        <w:rPr>
          <w:rFonts w:ascii="Calibri" w:cs="Calibri" w:eastAsia="Calibri" w:hAnsi="Calibri"/>
          <w:b/>
          <w:bCs/>
          <w:sz w:val="21"/>
          <w:szCs w:val="21"/>
        </w:rPr>
        <w:t xml:space="preserve">Error monitoring (Sentry) — </w:t>
      </w:r>
      <w:r>
        <w:rPr>
          <w:rFonts w:ascii="Calibri" w:cs="Calibri" w:eastAsia="Calibri" w:hAnsi="Calibri"/>
          <w:sz w:val="21"/>
          <w:szCs w:val="21"/>
        </w:rPr>
        <w:t xml:space="preserve">required.</w:t>
      </w:r>
    </w:p>
    <w:p>
      <w:pPr>
        <w:spacing w:after="120" w:before="0" w:line="276"/>
      </w:pPr>
      <w:r>
        <w:rPr>
          <w:rFonts w:ascii="Calibri" w:cs="Calibri" w:eastAsia="Calibri" w:hAnsi="Calibri"/>
          <w:i/>
          <w:iCs/>
          <w:sz w:val="21"/>
          <w:szCs w:val="21"/>
        </w:rPr>
        <w:t xml:space="preserve">Explicitly not required for MVP: payments, CRM, analytics platforms, third-party university-data providers.</w:t>
      </w:r>
    </w:p>
    <w:p>
      <w:pPr>
        <w:pStyle w:val="Heading2"/>
        <w:spacing w:after="120" w:before="260"/>
      </w:pPr>
      <w:r>
        <w:rPr>
          <w:rFonts w:ascii="Calibri" w:cs="Calibri" w:eastAsia="Calibri" w:hAnsi="Calibri"/>
          <w:b/>
          <w:bCs/>
          <w:color w:val="1F4E79"/>
          <w:sz w:val="25"/>
          <w:szCs w:val="25"/>
        </w:rPr>
        <w:t xml:space="preserve">8.5 Testing approach</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2200"/>
        <w:gridCol w:w="3600"/>
        <w:gridCol w:w="3560"/>
      </w:tblGrid>
      <w:tr>
        <w:trPr>
          <w:tblHeader/>
        </w:trPr>
        <w:tc>
          <w:tcPr>
            <w:tcW w:type="dxa" w:w="22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Layer</w:t>
            </w:r>
          </w:p>
        </w:tc>
        <w:tc>
          <w:tcPr>
            <w:tcW w:type="dxa" w:w="36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Method</w:t>
            </w:r>
          </w:p>
        </w:tc>
        <w:tc>
          <w:tcPr>
            <w:tcW w:type="dxa" w:w="35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Gate</w:t>
            </w:r>
          </w:p>
        </w:tc>
      </w:tr>
      <w:tr>
        <w:tc>
          <w:tcPr>
            <w:tcW w:type="dxa" w:w="2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Φ engine</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Unit tests against worked examples from the EPIF paper</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Every documented example reproduces exactly. This is non-negotiable — divergence means the implementation is not EPIF.</w:t>
            </w:r>
          </w:p>
        </w:tc>
      </w:tr>
      <w:tr>
        <w:tc>
          <w:tcPr>
            <w:tcW w:type="dxa" w:w="2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Provenance constraints</w:t>
            </w:r>
          </w:p>
        </w:tc>
        <w:tc>
          <w:tcPr>
            <w:tcW w:type="dxa" w:w="36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Integration tests attempting to publish a record without a source</w:t>
            </w:r>
          </w:p>
        </w:tc>
        <w:tc>
          <w:tcPr>
            <w:tcW w:type="dxa" w:w="35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database rejects it. Verified at the RLS and constraint level, not in application code.</w:t>
            </w:r>
          </w:p>
        </w:tc>
      </w:tr>
      <w:tr>
        <w:tc>
          <w:tcPr>
            <w:tcW w:type="dxa" w:w="2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Grounding</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Golden-set eval of 50+ profiles including deliberate must-refuse cases, run in CI</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Zero uncited figures survive; 100 % of must-refuse cases refuse. A failing suite blocks the release.</w:t>
            </w:r>
          </w:p>
        </w:tc>
      </w:tr>
      <w:tr>
        <w:tc>
          <w:tcPr>
            <w:tcW w:type="dxa" w:w="2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Extraction accuracy</w:t>
            </w:r>
          </w:p>
        </w:tc>
        <w:tc>
          <w:tcPr>
            <w:tcW w:type="dxa" w:w="36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Manual audit of a random 10 % sample against source pages</w:t>
            </w:r>
          </w:p>
        </w:tc>
        <w:tc>
          <w:tcPr>
            <w:tcW w:type="dxa" w:w="35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 98 % field accuracy on verified records.</w:t>
            </w:r>
          </w:p>
        </w:tc>
      </w:tr>
      <w:tr>
        <w:tc>
          <w:tcPr>
            <w:tcW w:type="dxa" w:w="2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Access control</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Attempt to read draft rows using the service_reader credential</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Zero draft rows returned.</w:t>
            </w:r>
          </w:p>
        </w:tc>
      </w:tr>
      <w:tr>
        <w:tc>
          <w:tcPr>
            <w:tcW w:type="dxa" w:w="2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Throughput</w:t>
            </w:r>
          </w:p>
        </w:tc>
        <w:tc>
          <w:tcPr>
            <w:tcW w:type="dxa" w:w="36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Timed sessions against the Phase 1 manual baseline</w:t>
            </w:r>
          </w:p>
        </w:tc>
        <w:tc>
          <w:tcPr>
            <w:tcW w:type="dxa" w:w="35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At least 2× improvement in verified records per researcher-day.</w:t>
            </w:r>
          </w:p>
        </w:tc>
      </w:tr>
      <w:tr>
        <w:tc>
          <w:tcPr>
            <w:tcW w:type="dxa" w:w="2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Recovery</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Scheduled restore-from-backup drill</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Full restore completes within the documented recovery objective.</w:t>
            </w:r>
          </w:p>
        </w:tc>
      </w:tr>
    </w:tbl>
    <w:p>
      <w:pPr>
        <w:pStyle w:val="Heading2"/>
        <w:spacing w:after="120" w:before="260"/>
      </w:pPr>
      <w:r>
        <w:rPr>
          <w:rFonts w:ascii="Calibri" w:cs="Calibri" w:eastAsia="Calibri" w:hAnsi="Calibri"/>
          <w:b/>
          <w:bCs/>
          <w:color w:val="1F4E79"/>
          <w:sz w:val="25"/>
          <w:szCs w:val="25"/>
        </w:rPr>
        <w:t xml:space="preserve">8.6 Launch conditions</w:t>
      </w:r>
    </w:p>
    <w:p>
      <w:pPr>
        <w:pStyle w:val="ListParagraph"/>
        <w:numPr>
          <w:ilvl w:val="0"/>
          <w:numId w:val="4"/>
        </w:numPr>
        <w:spacing w:after="70" w:line="276"/>
      </w:pPr>
      <w:r>
        <w:rPr>
          <w:rFonts w:ascii="Calibri" w:cs="Calibri" w:eastAsia="Calibri" w:hAnsi="Calibri"/>
          <w:sz w:val="21"/>
          <w:szCs w:val="21"/>
        </w:rPr>
        <w:t xml:space="preserve">The Φ engine reproduces every worked example from the EPIF paper.</w:t>
      </w:r>
    </w:p>
    <w:p>
      <w:pPr>
        <w:pStyle w:val="ListParagraph"/>
        <w:numPr>
          <w:ilvl w:val="0"/>
          <w:numId w:val="4"/>
        </w:numPr>
        <w:spacing w:after="70" w:line="276"/>
      </w:pPr>
      <w:r>
        <w:rPr>
          <w:rFonts w:ascii="Calibri" w:cs="Calibri" w:eastAsia="Calibri" w:hAnsi="Calibri"/>
          <w:sz w:val="21"/>
          <w:szCs w:val="21"/>
        </w:rPr>
        <w:t xml:space="preserve">No record can reach the Gateway without a source and a named human verifier — demonstrated, not asserted.</w:t>
      </w:r>
    </w:p>
    <w:p>
      <w:pPr>
        <w:pStyle w:val="ListParagraph"/>
        <w:numPr>
          <w:ilvl w:val="0"/>
          <w:numId w:val="4"/>
        </w:numPr>
        <w:spacing w:after="70" w:line="276"/>
      </w:pPr>
      <w:r>
        <w:rPr>
          <w:rFonts w:ascii="Calibri" w:cs="Calibri" w:eastAsia="Calibri" w:hAnsi="Calibri"/>
          <w:sz w:val="21"/>
          <w:szCs w:val="21"/>
        </w:rPr>
        <w:t xml:space="preserve">The full eval suite passes, including every must-refuse case.</w:t>
      </w:r>
    </w:p>
    <w:p>
      <w:pPr>
        <w:pStyle w:val="ListParagraph"/>
        <w:numPr>
          <w:ilvl w:val="0"/>
          <w:numId w:val="4"/>
        </w:numPr>
        <w:spacing w:after="70" w:line="276"/>
      </w:pPr>
      <w:r>
        <w:rPr>
          <w:rFonts w:ascii="Calibri" w:cs="Calibri" w:eastAsia="Calibri" w:hAnsi="Calibri"/>
          <w:sz w:val="21"/>
          <w:szCs w:val="21"/>
        </w:rPr>
        <w:t xml:space="preserve">Ten universities are fully verified and a real profile returns a complete, cited pathway.</w:t>
      </w:r>
    </w:p>
    <w:p>
      <w:pPr>
        <w:pStyle w:val="ListParagraph"/>
        <w:numPr>
          <w:ilvl w:val="0"/>
          <w:numId w:val="4"/>
        </w:numPr>
        <w:spacing w:after="70" w:line="276"/>
      </w:pPr>
      <w:r>
        <w:rPr>
          <w:rFonts w:ascii="Calibri" w:cs="Calibri" w:eastAsia="Calibri" w:hAnsi="Calibri"/>
          <w:sz w:val="21"/>
          <w:szCs w:val="21"/>
        </w:rPr>
        <w:t xml:space="preserve">Throughput is measurably better than the manual baseline.</w:t>
      </w:r>
    </w:p>
    <w:p>
      <w:pPr>
        <w:pStyle w:val="ListParagraph"/>
        <w:numPr>
          <w:ilvl w:val="0"/>
          <w:numId w:val="4"/>
        </w:numPr>
        <w:spacing w:after="70" w:line="276"/>
      </w:pPr>
      <w:r>
        <w:rPr>
          <w:rFonts w:ascii="Calibri" w:cs="Calibri" w:eastAsia="Calibri" w:hAnsi="Calibri"/>
          <w:sz w:val="21"/>
          <w:szCs w:val="21"/>
        </w:rPr>
        <w:t xml:space="preserve">Backups are running and a restore has been performed successfully at least once.</w:t>
      </w:r>
    </w:p>
    <w:p>
      <w:pPr>
        <w:pStyle w:val="ListParagraph"/>
        <w:numPr>
          <w:ilvl w:val="0"/>
          <w:numId w:val="4"/>
        </w:numPr>
        <w:spacing w:after="70" w:line="276"/>
      </w:pPr>
      <w:r>
        <w:rPr>
          <w:rFonts w:ascii="Calibri" w:cs="Calibri" w:eastAsia="Calibri" w:hAnsi="Calibri"/>
          <w:sz w:val="21"/>
          <w:szCs w:val="21"/>
        </w:rPr>
        <w:t xml:space="preserve">The founder has confirmed that nothing in the implementation diverges from the EPIF paper or the public narrative.</w:t>
      </w:r>
    </w:p>
    <w:p>
      <w:pPr>
        <w:pStyle w:val="Heading2"/>
        <w:spacing w:after="120" w:before="260"/>
      </w:pPr>
      <w:r>
        <w:rPr>
          <w:rFonts w:ascii="Calibri" w:cs="Calibri" w:eastAsia="Calibri" w:hAnsi="Calibri"/>
          <w:b/>
          <w:bCs/>
          <w:color w:val="1F4E79"/>
          <w:sz w:val="25"/>
          <w:szCs w:val="25"/>
        </w:rPr>
        <w:t xml:space="preserve">8.7 How the MVP validates the idea</w:t>
      </w:r>
    </w:p>
    <w:p>
      <w:pPr>
        <w:spacing w:after="120" w:before="0" w:line="276"/>
      </w:pPr>
      <w:r>
        <w:rPr>
          <w:rFonts w:ascii="Calibri" w:cs="Calibri" w:eastAsia="Calibri" w:hAnsi="Calibri"/>
          <w:sz w:val="21"/>
          <w:szCs w:val="21"/>
        </w:rPr>
        <w:t xml:space="preserve">The MVP tests four falsifiable propositions. If any fails, the plan should change rather than proceed.</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4680"/>
        <w:gridCol w:w="4680"/>
      </w:tblGrid>
      <w:tr>
        <w:trPr>
          <w:tblHeader/>
        </w:trPr>
        <w:tc>
          <w:tcPr>
            <w:tcW w:type="dxa" w:w="468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Proposition</w:t>
            </w:r>
          </w:p>
        </w:tc>
        <w:tc>
          <w:tcPr>
            <w:tcW w:type="dxa" w:w="468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How the MVP answers it</w:t>
            </w:r>
          </w:p>
        </w:tc>
      </w:tr>
      <w:tr>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Sourcing at depth can be made fast enough to reach 300 universities with a small team.</w:t>
            </w:r>
          </w:p>
        </w:tc>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Measured throughput against the Phase 1 manual baseline. If the gain is under 2×, the Phase 5 timeline and researcher budget are both wrong and must be re-planned.</w:t>
            </w:r>
          </w:p>
        </w:tc>
      </w:tr>
      <w:tr>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Grounding can be enforced mechanically rather than by reviewer diligence.</w:t>
            </w:r>
          </w:p>
        </w:tc>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Red-team eval results. If uncited claims survive the validator, the Gateway architecture needs rework before any AI system ships.</w:t>
            </w:r>
          </w:p>
        </w:tc>
      </w:tr>
      <w:tr>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EPIF as written is implementable without invention.</w:t>
            </w:r>
          </w:p>
        </w:tc>
        <w:tc>
          <w:tcPr>
            <w:tcW w:type="dxa" w:w="468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Unit tests against the paper. Gaps found here are a signal that the paper needs a companion implementation spec — a genuinely useful finding either way.</w:t>
            </w:r>
          </w:p>
        </w:tc>
      </w:tr>
      <w:tr>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Operator knowledge can be structured into usable outcome records.</w:t>
            </w:r>
          </w:p>
        </w:tc>
        <w:tc>
          <w:tcPr>
            <w:tcW w:type="dxa" w:w="468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Founder and consultant sessions during Phases 1 and 5. If the knowledge proves too tacit or too sparse, the moat thesis weakens and positioning should be revisited honestly rather than repeated.</w:t>
            </w:r>
          </w:p>
        </w:tc>
      </w:tr>
    </w:tbl>
    <w:p>
      <w:r>
        <w:br w:type="page"/>
      </w:r>
    </w:p>
    <w:p>
      <w:pPr>
        <w:pStyle w:val="Heading1"/>
        <w:spacing w:after="160" w:before="360"/>
      </w:pPr>
      <w:r>
        <w:rPr>
          <w:rFonts w:ascii="Calibri" w:cs="Calibri" w:eastAsia="Calibri" w:hAnsi="Calibri"/>
          <w:b/>
          <w:bCs/>
          <w:color w:val="1F4E79"/>
          <w:sz w:val="30"/>
          <w:szCs w:val="30"/>
        </w:rPr>
        <w:t xml:space="preserve">9. Team, Budget, and Risks</w:t>
      </w:r>
    </w:p>
    <w:p>
      <w:pPr>
        <w:pStyle w:val="Heading2"/>
        <w:spacing w:after="120" w:before="260"/>
      </w:pPr>
      <w:r>
        <w:rPr>
          <w:rFonts w:ascii="Calibri" w:cs="Calibri" w:eastAsia="Calibri" w:hAnsi="Calibri"/>
          <w:b/>
          <w:bCs/>
          <w:color w:val="1F4E79"/>
          <w:sz w:val="25"/>
          <w:szCs w:val="25"/>
        </w:rPr>
        <w:t xml:space="preserve">9.1 Essential team roles</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2000"/>
        <w:gridCol w:w="2400"/>
        <w:gridCol w:w="1400"/>
        <w:gridCol w:w="3560"/>
      </w:tblGrid>
      <w:tr>
        <w:trPr>
          <w:tblHeader/>
        </w:trPr>
        <w:tc>
          <w:tcPr>
            <w:tcW w:type="dxa" w:w="20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Role</w:t>
            </w:r>
          </w:p>
        </w:tc>
        <w:tc>
          <w:tcPr>
            <w:tcW w:type="dxa" w:w="24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Responsibility</w:t>
            </w:r>
          </w:p>
        </w:tc>
        <w:tc>
          <w:tcPr>
            <w:tcW w:type="dxa" w:w="14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Commitment</w:t>
            </w:r>
          </w:p>
        </w:tc>
        <w:tc>
          <w:tcPr>
            <w:tcW w:type="dxa" w:w="35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Notes</w:t>
            </w:r>
          </w:p>
        </w:tc>
      </w:tr>
      <w:tr>
        <w:tc>
          <w:tcPr>
            <w:tcW w:type="dxa" w:w="20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Founder / Product owner</w:t>
            </w:r>
          </w:p>
        </w:tc>
        <w:tc>
          <w:tcPr>
            <w:tcW w:type="dxa" w:w="24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Product decisions, EPIF authority, Outcome Ledger, public-narrative consistency</w:t>
            </w:r>
          </w:p>
        </w:tc>
        <w:tc>
          <w:tcPr>
            <w:tcW w:type="dxa" w:w="14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Part-time, non-negotiable</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Abdiaziz. Per the brief, product direction is his. The Outcome Ledger cannot be delegated at the start — the knowledge is his.</w:t>
            </w:r>
          </w:p>
        </w:tc>
      </w:tr>
      <w:tr>
        <w:tc>
          <w:tcPr>
            <w:tcW w:type="dxa" w:w="2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Full-stack engineer</w:t>
            </w:r>
          </w:p>
        </w:tc>
        <w:tc>
          <w:tcPr>
            <w:tcW w:type="dxa" w:w="2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Console, Gateway, Φ engine, validator, infrastructure</w:t>
            </w:r>
          </w:p>
        </w:tc>
        <w:tc>
          <w:tcPr>
            <w:tcW w:type="dxa" w:w="1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Full-time</w:t>
            </w:r>
          </w:p>
        </w:tc>
        <w:tc>
          <w:tcPr>
            <w:tcW w:type="dxa" w:w="35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The critical hire. A generalist who is comfortable with Postgres constraints and RLS matters more than framework depth.</w:t>
            </w:r>
          </w:p>
        </w:tc>
      </w:tr>
      <w:tr>
        <w:tc>
          <w:tcPr>
            <w:tcW w:type="dxa" w:w="20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Data operations lead</w:t>
            </w:r>
          </w:p>
        </w:tc>
        <w:tc>
          <w:tcPr>
            <w:tcW w:type="dxa" w:w="24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Verification, queue and priority management, coverage ownership</w:t>
            </w:r>
          </w:p>
        </w:tc>
        <w:tc>
          <w:tcPr>
            <w:tcW w:type="dxa" w:w="14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Part-time → full-time in Phase 5</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Does not need to be technical. Needs to be rigorous. This role determines whether the 300 target is met.</w:t>
            </w:r>
          </w:p>
        </w:tc>
      </w:tr>
      <w:tr>
        <w:tc>
          <w:tcPr>
            <w:tcW w:type="dxa" w:w="2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Data researchers</w:t>
            </w:r>
          </w:p>
        </w:tc>
        <w:tc>
          <w:tcPr>
            <w:tcW w:type="dxa" w:w="2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Record creation and sourcing</w:t>
            </w:r>
          </w:p>
        </w:tc>
        <w:tc>
          <w:tcPr>
            <w:tcW w:type="dxa" w:w="1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Part-time / contract, 2 → 4 in Phase 5</w:t>
            </w:r>
          </w:p>
        </w:tc>
        <w:tc>
          <w:tcPr>
            <w:tcW w:type="dxa" w:w="35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Clearly outsourceable. Strong candidates: 4Prep alumni who already know the university landscape.</w:t>
            </w:r>
          </w:p>
        </w:tc>
      </w:tr>
      <w:tr>
        <w:tc>
          <w:tcPr>
            <w:tcW w:type="dxa" w:w="20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Prompt / AI engineer</w:t>
            </w:r>
          </w:p>
        </w:tc>
        <w:tc>
          <w:tcPr>
            <w:tcW w:type="dxa" w:w="24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Extraction prompts, counselor prompts, eval suite</w:t>
            </w:r>
          </w:p>
        </w:tc>
        <w:tc>
          <w:tcPr>
            <w:tcW w:type="dxa" w:w="14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Part-time</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Can be the full-stack engineer if they have the aptitude — the brief calls prompt engineering "our moat," so it should not be fully outsourced.</w:t>
            </w:r>
          </w:p>
        </w:tc>
      </w:tr>
      <w:tr>
        <w:tc>
          <w:tcPr>
            <w:tcW w:type="dxa" w:w="2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Designer</w:t>
            </w:r>
          </w:p>
        </w:tc>
        <w:tc>
          <w:tcPr>
            <w:tcW w:type="dxa" w:w="2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Console usability, dashboard clarity</w:t>
            </w:r>
          </w:p>
        </w:tc>
        <w:tc>
          <w:tcPr>
            <w:tcW w:type="dxa" w:w="1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Light, outsourced</w:t>
            </w:r>
          </w:p>
        </w:tc>
        <w:tc>
          <w:tcPr>
            <w:tcW w:type="dxa" w:w="35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Two short engagements. This is an internal tool; usability matters, visual polish does not.</w:t>
            </w:r>
          </w:p>
        </w:tc>
      </w:tr>
      <w:tr>
        <w:tc>
          <w:tcPr>
            <w:tcW w:type="dxa" w:w="20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Legal counsel</w:t>
            </w:r>
          </w:p>
        </w:tc>
        <w:tc>
          <w:tcPr>
            <w:tcW w:type="dxa" w:w="24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Data sourcing rights, student data privacy, consent for outcome records</w:t>
            </w:r>
          </w:p>
        </w:tc>
        <w:tc>
          <w:tcPr>
            <w:tcW w:type="dxa" w:w="14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One-off engagement, Phase 1</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Outsourced. Should not be skipped — see the risk register.</w:t>
            </w:r>
          </w:p>
        </w:tc>
      </w:tr>
      <w:tr>
        <w:tc>
          <w:tcPr>
            <w:tcW w:type="dxa" w:w="2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QA / red-team testers</w:t>
            </w:r>
          </w:p>
        </w:tc>
        <w:tc>
          <w:tcPr>
            <w:tcW w:type="dxa" w:w="2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Adversarial grounding tests, data accuracy audits</w:t>
            </w:r>
          </w:p>
        </w:tc>
        <w:tc>
          <w:tcPr>
            <w:tcW w:type="dxa" w:w="1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Contract, Phase 4</w:t>
            </w:r>
          </w:p>
        </w:tc>
        <w:tc>
          <w:tcPr>
            <w:tcW w:type="dxa" w:w="35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Outsourced. Fresh eyes are the point; the builders cannot red-team their own grounding.</w:t>
            </w:r>
          </w:p>
        </w:tc>
      </w:tr>
    </w:tbl>
    <w:p>
      <w:pPr>
        <w:pStyle w:val="Heading2"/>
        <w:spacing w:after="120" w:before="260"/>
      </w:pPr>
      <w:r>
        <w:rPr>
          <w:rFonts w:ascii="Calibri" w:cs="Calibri" w:eastAsia="Calibri" w:hAnsi="Calibri"/>
          <w:b/>
          <w:bCs/>
          <w:color w:val="1F4E79"/>
          <w:sz w:val="25"/>
          <w:szCs w:val="25"/>
        </w:rPr>
        <w:t xml:space="preserve">9.2 Budget framework (relative cost bands)</w:t>
      </w:r>
    </w:p>
    <w:tbl>
      <w:tblPr>
        <w:tblW w:type="dxa" w:w="9360"/>
        <w:tblBorders>
          <w:top w:val="single" w:color="E0A800" w:sz="6"/>
          <w:left w:val="single" w:color="E0A800" w:sz="6"/>
          <w:bottom w:val="single" w:color="E0A800" w:sz="6"/>
          <w:right w:val="single" w:color="E0A800" w:sz="6"/>
          <w:insideH w:val="none"/>
          <w:insideV w:val="none"/>
        </w:tblBorders>
      </w:tblPr>
      <w:tblGrid>
        <w:gridCol w:w="9360"/>
      </w:tblGrid>
      <w:tr>
        <w:tc>
          <w:tcPr>
            <w:tcW w:type="dxa" w:w="9360"/>
            <w:shd w:fill="EEF4FB" w:color="auto" w:val="clear"/>
            <w:tcMar>
              <w:top w:type="dxa" w:w="120"/>
              <w:left w:type="dxa" w:w="160"/>
              <w:bottom w:type="dxa" w:w="120"/>
              <w:right w:type="dxa" w:w="160"/>
            </w:tcMar>
          </w:tcPr>
          <w:p>
            <w:pPr>
              <w:spacing w:after="60"/>
            </w:pPr>
            <w:r>
              <w:rPr>
                <w:rFonts w:ascii="Calibri" w:cs="Calibri" w:eastAsia="Calibri" w:hAnsi="Calibri"/>
                <w:b/>
                <w:bCs/>
                <w:sz w:val="20"/>
                <w:szCs w:val="20"/>
              </w:rPr>
              <w:t xml:space="preserve">Basis</w:t>
            </w:r>
          </w:p>
          <w:p>
            <w:pPr>
              <w:spacing w:after="50" w:line="260"/>
            </w:pPr>
            <w:r>
              <w:rPr>
                <w:rFonts w:ascii="Calibri" w:cs="Calibri" w:eastAsia="Calibri" w:hAnsi="Calibri"/>
                <w:sz w:val="19"/>
                <w:szCs w:val="19"/>
              </w:rPr>
              <w:t xml:space="preserve">ASSUMPTION: no budget figure appears in the brief, so absolute costs cannot be estimated responsibly. Bands below are relative to each other within this project. Low = minor line item; Medium = material but expected; High = a primary driver of total cost.</w:t>
            </w:r>
          </w:p>
        </w:tc>
      </w:tr>
    </w:tbl>
    <w:p>
      <w:pPr>
        <w:spacing w:after="80"/>
      </w:pPr>
      <w:r>
        <w:rPr>
          <w:sz w:val="4"/>
          <w:szCs w:val="4"/>
        </w:rPr>
        <w:t xml:space="preserve"/>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2400"/>
        <w:gridCol w:w="1300"/>
        <w:gridCol w:w="5660"/>
      </w:tblGrid>
      <w:tr>
        <w:trPr>
          <w:tblHeader/>
        </w:trPr>
        <w:tc>
          <w:tcPr>
            <w:tcW w:type="dxa" w:w="24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Cost area</w:t>
            </w:r>
          </w:p>
        </w:tc>
        <w:tc>
          <w:tcPr>
            <w:tcW w:type="dxa" w:w="13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Band</w:t>
            </w:r>
          </w:p>
        </w:tc>
        <w:tc>
          <w:tcPr>
            <w:tcW w:type="dxa" w:w="56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Notes</w:t>
            </w:r>
          </w:p>
        </w:tc>
      </w:tr>
      <w:tr>
        <w:tc>
          <w:tcPr>
            <w:tcW w:type="dxa" w:w="2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Engineering (build, Phases 1–6)</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HIGH</w:t>
            </w:r>
          </w:p>
        </w:tc>
        <w:tc>
          <w:tcPr>
            <w:tcW w:type="dxa" w:w="56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One full-time engineer for roughly five months is the single largest line item.</w:t>
            </w:r>
          </w:p>
        </w:tc>
      </w:tr>
      <w:tr>
        <w:tc>
          <w:tcPr>
            <w:tcW w:type="dxa" w:w="2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Data researcher labour (Phase 5)</w:t>
            </w:r>
          </w:p>
        </w:tc>
        <w:tc>
          <w:tcPr>
            <w:tcW w:type="dxa" w:w="13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HIGH</w:t>
            </w:r>
          </w:p>
        </w:tc>
        <w:tc>
          <w:tcPr>
            <w:tcW w:type="dxa" w:w="56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300 universities at depth, with sourcing. The most commonly underestimated cost in this plan and the one the brief compresses into a single bullet.</w:t>
            </w:r>
          </w:p>
        </w:tc>
      </w:tr>
      <w:tr>
        <w:tc>
          <w:tcPr>
            <w:tcW w:type="dxa" w:w="2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Data operations lead</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MEDIUM</w:t>
            </w:r>
          </w:p>
        </w:tc>
        <w:tc>
          <w:tcPr>
            <w:tcW w:type="dxa" w:w="56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Part-time rising to full-time during the data fill.</w:t>
            </w:r>
          </w:p>
        </w:tc>
      </w:tr>
      <w:tr>
        <w:tc>
          <w:tcPr>
            <w:tcW w:type="dxa" w:w="2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Claude API usage</w:t>
            </w:r>
          </w:p>
        </w:tc>
        <w:tc>
          <w:tcPr>
            <w:tcW w:type="dxa" w:w="13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MEDIUM</w:t>
            </w:r>
          </w:p>
        </w:tc>
        <w:tc>
          <w:tcPr>
            <w:tcW w:type="dxa" w:w="56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Extraction is bursty and concentrated in Phase 5; counselor inference scales with users. Caching extraction results and capping retries controls this.</w:t>
            </w:r>
          </w:p>
        </w:tc>
      </w:tr>
      <w:tr>
        <w:tc>
          <w:tcPr>
            <w:tcW w:type="dxa" w:w="2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Infrastructure (Supabase, Vercel, hosting, storage)</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LOW</w:t>
            </w:r>
          </w:p>
        </w:tc>
        <w:tc>
          <w:tcPr>
            <w:tcW w:type="dxa" w:w="56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Modest at this scale. Snapshot storage grows steadily but stays small.</w:t>
            </w:r>
          </w:p>
        </w:tc>
      </w:tr>
      <w:tr>
        <w:tc>
          <w:tcPr>
            <w:tcW w:type="dxa" w:w="2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Design</w:t>
            </w:r>
          </w:p>
        </w:tc>
        <w:tc>
          <w:tcPr>
            <w:tcW w:type="dxa" w:w="13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LOW</w:t>
            </w:r>
          </w:p>
        </w:tc>
        <w:tc>
          <w:tcPr>
            <w:tcW w:type="dxa" w:w="56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Two short outsourced engagements.</w:t>
            </w:r>
          </w:p>
        </w:tc>
      </w:tr>
      <w:tr>
        <w:tc>
          <w:tcPr>
            <w:tcW w:type="dxa" w:w="2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Legal and privacy review</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LOW–MEDIUM</w:t>
            </w:r>
          </w:p>
        </w:tc>
        <w:tc>
          <w:tcPr>
            <w:tcW w:type="dxa" w:w="56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One engagement, but potentially higher if a cross-border privacy assessment is needed.</w:t>
            </w:r>
          </w:p>
        </w:tc>
      </w:tr>
      <w:tr>
        <w:tc>
          <w:tcPr>
            <w:tcW w:type="dxa" w:w="2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QA and red-teaming</w:t>
            </w:r>
          </w:p>
        </w:tc>
        <w:tc>
          <w:tcPr>
            <w:tcW w:type="dxa" w:w="13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LOW</w:t>
            </w:r>
          </w:p>
        </w:tc>
        <w:tc>
          <w:tcPr>
            <w:tcW w:type="dxa" w:w="56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Contract, time-boxed to Phase 4.</w:t>
            </w:r>
          </w:p>
        </w:tc>
      </w:tr>
      <w:tr>
        <w:tc>
          <w:tcPr>
            <w:tcW w:type="dxa" w:w="2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Monitoring, backups, security tooling</w:t>
            </w:r>
          </w:p>
        </w:tc>
        <w:tc>
          <w:tcPr>
            <w:tcW w:type="dxa" w:w="13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LOW</w:t>
            </w:r>
          </w:p>
        </w:tc>
        <w:tc>
          <w:tcPr>
            <w:tcW w:type="dxa" w:w="56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Mostly included in managed-service tiers.</w:t>
            </w:r>
          </w:p>
        </w:tc>
      </w:tr>
      <w:tr>
        <w:tc>
          <w:tcPr>
            <w:tcW w:type="dxa" w:w="2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Ongoing maintenance (Phase 7)</w:t>
            </w:r>
          </w:p>
        </w:tc>
        <w:tc>
          <w:tcPr>
            <w:tcW w:type="dxa" w:w="13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MEDIUM</w:t>
            </w:r>
          </w:p>
        </w:tc>
        <w:tc>
          <w:tcPr>
            <w:tcW w:type="dxa" w:w="56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Recurring. Freshness work never stops, though automation reduces it over time.</w:t>
            </w:r>
          </w:p>
        </w:tc>
      </w:tr>
    </w:tbl>
    <w:p>
      <w:pPr>
        <w:pStyle w:val="Heading2"/>
        <w:spacing w:after="120" w:before="260"/>
      </w:pPr>
      <w:r>
        <w:rPr>
          <w:rFonts w:ascii="Calibri" w:cs="Calibri" w:eastAsia="Calibri" w:hAnsi="Calibri"/>
          <w:b/>
          <w:bCs/>
          <w:color w:val="1F4E79"/>
          <w:sz w:val="25"/>
          <w:szCs w:val="25"/>
        </w:rPr>
        <w:t xml:space="preserve">9.3 Risk register</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1250"/>
        <w:gridCol w:w="2500"/>
        <w:gridCol w:w="700"/>
        <w:gridCol w:w="700"/>
        <w:gridCol w:w="3210"/>
        <w:gridCol w:w="1000"/>
      </w:tblGrid>
      <w:tr>
        <w:trPr>
          <w:tblHeader/>
        </w:trPr>
        <w:tc>
          <w:tcPr>
            <w:tcW w:type="dxa" w:w="1250"/>
            <w:shd w:fill="DCE6F1" w:color="auto" w:val="clear"/>
            <w:tcMar>
              <w:top w:type="dxa" w:w="70"/>
              <w:left w:type="dxa" w:w="110"/>
              <w:bottom w:type="dxa" w:w="70"/>
              <w:right w:type="dxa" w:w="110"/>
            </w:tcMar>
          </w:tcPr>
          <w:p>
            <w:pPr>
              <w:spacing w:after="0" w:line="250"/>
            </w:pPr>
            <w:r>
              <w:rPr>
                <w:rFonts w:ascii="Calibri" w:cs="Calibri" w:eastAsia="Calibri" w:hAnsi="Calibri"/>
                <w:b/>
                <w:bCs/>
                <w:sz w:val="16"/>
                <w:szCs w:val="16"/>
              </w:rPr>
              <w:t xml:space="preserve">Category</w:t>
            </w:r>
          </w:p>
        </w:tc>
        <w:tc>
          <w:tcPr>
            <w:tcW w:type="dxa" w:w="2500"/>
            <w:shd w:fill="DCE6F1" w:color="auto" w:val="clear"/>
            <w:tcMar>
              <w:top w:type="dxa" w:w="70"/>
              <w:left w:type="dxa" w:w="110"/>
              <w:bottom w:type="dxa" w:w="70"/>
              <w:right w:type="dxa" w:w="110"/>
            </w:tcMar>
          </w:tcPr>
          <w:p>
            <w:pPr>
              <w:spacing w:after="0" w:line="250"/>
            </w:pPr>
            <w:r>
              <w:rPr>
                <w:rFonts w:ascii="Calibri" w:cs="Calibri" w:eastAsia="Calibri" w:hAnsi="Calibri"/>
                <w:b/>
                <w:bCs/>
                <w:sz w:val="16"/>
                <w:szCs w:val="16"/>
              </w:rPr>
              <w:t xml:space="preserve">Risk</w:t>
            </w:r>
          </w:p>
        </w:tc>
        <w:tc>
          <w:tcPr>
            <w:tcW w:type="dxa" w:w="700"/>
            <w:shd w:fill="DCE6F1" w:color="auto" w:val="clear"/>
            <w:tcMar>
              <w:top w:type="dxa" w:w="70"/>
              <w:left w:type="dxa" w:w="110"/>
              <w:bottom w:type="dxa" w:w="70"/>
              <w:right w:type="dxa" w:w="110"/>
            </w:tcMar>
          </w:tcPr>
          <w:p>
            <w:pPr>
              <w:spacing w:after="0" w:line="250"/>
            </w:pPr>
            <w:r>
              <w:rPr>
                <w:rFonts w:ascii="Calibri" w:cs="Calibri" w:eastAsia="Calibri" w:hAnsi="Calibri"/>
                <w:b/>
                <w:bCs/>
                <w:sz w:val="16"/>
                <w:szCs w:val="16"/>
              </w:rPr>
              <w:t xml:space="preserve">Prob.</w:t>
            </w:r>
          </w:p>
        </w:tc>
        <w:tc>
          <w:tcPr>
            <w:tcW w:type="dxa" w:w="700"/>
            <w:shd w:fill="DCE6F1" w:color="auto" w:val="clear"/>
            <w:tcMar>
              <w:top w:type="dxa" w:w="70"/>
              <w:left w:type="dxa" w:w="110"/>
              <w:bottom w:type="dxa" w:w="70"/>
              <w:right w:type="dxa" w:w="110"/>
            </w:tcMar>
          </w:tcPr>
          <w:p>
            <w:pPr>
              <w:spacing w:after="0" w:line="250"/>
            </w:pPr>
            <w:r>
              <w:rPr>
                <w:rFonts w:ascii="Calibri" w:cs="Calibri" w:eastAsia="Calibri" w:hAnsi="Calibri"/>
                <w:b/>
                <w:bCs/>
                <w:sz w:val="16"/>
                <w:szCs w:val="16"/>
              </w:rPr>
              <w:t xml:space="preserve">Impact</w:t>
            </w:r>
          </w:p>
        </w:tc>
        <w:tc>
          <w:tcPr>
            <w:tcW w:type="dxa" w:w="3210"/>
            <w:shd w:fill="DCE6F1" w:color="auto" w:val="clear"/>
            <w:tcMar>
              <w:top w:type="dxa" w:w="70"/>
              <w:left w:type="dxa" w:w="110"/>
              <w:bottom w:type="dxa" w:w="70"/>
              <w:right w:type="dxa" w:w="110"/>
            </w:tcMar>
          </w:tcPr>
          <w:p>
            <w:pPr>
              <w:spacing w:after="0" w:line="250"/>
            </w:pPr>
            <w:r>
              <w:rPr>
                <w:rFonts w:ascii="Calibri" w:cs="Calibri" w:eastAsia="Calibri" w:hAnsi="Calibri"/>
                <w:b/>
                <w:bCs/>
                <w:sz w:val="16"/>
                <w:szCs w:val="16"/>
              </w:rPr>
              <w:t xml:space="preserve">Mitigation</w:t>
            </w:r>
          </w:p>
        </w:tc>
        <w:tc>
          <w:tcPr>
            <w:tcW w:type="dxa" w:w="1000"/>
            <w:shd w:fill="DCE6F1" w:color="auto" w:val="clear"/>
            <w:tcMar>
              <w:top w:type="dxa" w:w="70"/>
              <w:left w:type="dxa" w:w="110"/>
              <w:bottom w:type="dxa" w:w="70"/>
              <w:right w:type="dxa" w:w="110"/>
            </w:tcMar>
          </w:tcPr>
          <w:p>
            <w:pPr>
              <w:spacing w:after="0" w:line="250"/>
            </w:pPr>
            <w:r>
              <w:rPr>
                <w:rFonts w:ascii="Calibri" w:cs="Calibri" w:eastAsia="Calibri" w:hAnsi="Calibri"/>
                <w:b/>
                <w:bCs/>
                <w:sz w:val="16"/>
                <w:szCs w:val="16"/>
              </w:rPr>
              <w:t xml:space="preserve">Owner</w:t>
            </w:r>
          </w:p>
        </w:tc>
      </w:tr>
      <w:tr>
        <w:tc>
          <w:tcPr>
            <w:tcW w:type="dxa" w:w="125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Technical</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AI extraction accuracy too low to save meaningful time</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High</w:t>
            </w:r>
          </w:p>
        </w:tc>
        <w:tc>
          <w:tcPr>
            <w:tcW w:type="dxa" w:w="321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Measure on ten real pages in Phase 1 before committing. Fall back to a source-capture-only console, which still enforces provenance even without drafting.</w:t>
            </w:r>
          </w:p>
        </w:tc>
        <w:tc>
          <w:tcPr>
            <w:tcW w:type="dxa" w:w="10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Engineer</w:t>
            </w:r>
          </w:p>
        </w:tc>
      </w:tr>
      <w:tr>
        <w:tc>
          <w:tcPr>
            <w:tcW w:type="dxa" w:w="125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Technical</w:t>
            </w:r>
          </w:p>
        </w:tc>
        <w:tc>
          <w:tcPr>
            <w:tcW w:type="dxa" w:w="25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EPIF paper underspecifies normalisation, forcing implementation choices</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321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Extract exact equations in Phase 1; log every ambiguity and escalate to the founder rather than improvising. Version the resolution.</w:t>
            </w:r>
          </w:p>
        </w:tc>
        <w:tc>
          <w:tcPr>
            <w:tcW w:type="dxa" w:w="1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Engineer / Founder</w:t>
            </w:r>
          </w:p>
        </w:tc>
      </w:tr>
      <w:tr>
        <w:tc>
          <w:tcPr>
            <w:tcW w:type="dxa" w:w="125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Technical</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Validator strips legitimate content, making answers feel evasive</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321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Tune on the golden set; distinguish factual claims from narrative language; review refusal rate weekly during the pilot.</w:t>
            </w:r>
          </w:p>
        </w:tc>
        <w:tc>
          <w:tcPr>
            <w:tcW w:type="dxa" w:w="10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Prompt engineer</w:t>
            </w:r>
          </w:p>
        </w:tc>
      </w:tr>
      <w:tr>
        <w:tc>
          <w:tcPr>
            <w:tcW w:type="dxa" w:w="125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Technical</w:t>
            </w:r>
          </w:p>
        </w:tc>
        <w:tc>
          <w:tcPr>
            <w:tcW w:type="dxa" w:w="25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Schema churn after records exist</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High</w:t>
            </w:r>
          </w:p>
        </w:tc>
        <w:tc>
          <w:tcPr>
            <w:tcW w:type="dxa" w:w="321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Freeze v1 in Phase 2 with all five AI systems represented in the review. Use JSONB for genuinely variable structures such as eligibility rules.</w:t>
            </w:r>
          </w:p>
        </w:tc>
        <w:tc>
          <w:tcPr>
            <w:tcW w:type="dxa" w:w="1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Engineer</w:t>
            </w:r>
          </w:p>
        </w:tc>
      </w:tr>
      <w:tr>
        <w:tc>
          <w:tcPr>
            <w:tcW w:type="dxa" w:w="125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Financial</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Data-fill labour costs exceed expectations</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High</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High</w:t>
            </w:r>
          </w:p>
        </w:tc>
        <w:tc>
          <w:tcPr>
            <w:tcW w:type="dxa" w:w="321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Gate Phase 5 on a proven throughput multiple. Prioritise by student demand so partial coverage still serves most users. Treat 300 as a target, not a contract.</w:t>
            </w:r>
          </w:p>
        </w:tc>
        <w:tc>
          <w:tcPr>
            <w:tcW w:type="dxa" w:w="10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Founder</w:t>
            </w:r>
          </w:p>
        </w:tc>
      </w:tr>
      <w:tr>
        <w:tc>
          <w:tcPr>
            <w:tcW w:type="dxa" w:w="125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Financial</w:t>
            </w:r>
          </w:p>
        </w:tc>
        <w:tc>
          <w:tcPr>
            <w:tcW w:type="dxa" w:w="25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Claude API spend spikes during bulk extraction</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321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Cache by source URL and checksum; batch requests; set hard budget alerts; cap automatic retries.</w:t>
            </w:r>
          </w:p>
        </w:tc>
        <w:tc>
          <w:tcPr>
            <w:tcW w:type="dxa" w:w="1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Engineer</w:t>
            </w:r>
          </w:p>
        </w:tc>
      </w:tr>
      <w:tr>
        <w:tc>
          <w:tcPr>
            <w:tcW w:type="dxa" w:w="125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Operational</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Data researchers deliver inconsistent quality</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High</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321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Structured onboarding, a written sourcing standard, second review on high-risk fields, and a 10 % random accuracy audit per researcher.</w:t>
            </w:r>
          </w:p>
        </w:tc>
        <w:tc>
          <w:tcPr>
            <w:tcW w:type="dxa" w:w="10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Data lead</w:t>
            </w:r>
          </w:p>
        </w:tc>
      </w:tr>
      <w:tr>
        <w:tc>
          <w:tcPr>
            <w:tcW w:type="dxa" w:w="125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Operational</w:t>
            </w:r>
          </w:p>
        </w:tc>
        <w:tc>
          <w:tcPr>
            <w:tcW w:type="dxa" w:w="25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Founder becomes the bottleneck for the Outcome Ledger</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High</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321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Time-box entry sessions; build a fast bulk-entry form; train one consultant as a second entrant early rather than late.</w:t>
            </w:r>
          </w:p>
        </w:tc>
        <w:tc>
          <w:tcPr>
            <w:tcW w:type="dxa" w:w="1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Founder</w:t>
            </w:r>
          </w:p>
        </w:tc>
      </w:tr>
      <w:tr>
        <w:tc>
          <w:tcPr>
            <w:tcW w:type="dxa" w:w="125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Operational</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Freshness decays after launch</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High</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321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Expiry dates on every record from day one; monthly staleness review as a standing agenda item; automate in Phase 7.</w:t>
            </w:r>
          </w:p>
        </w:tc>
        <w:tc>
          <w:tcPr>
            <w:tcW w:type="dxa" w:w="10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Data lead</w:t>
            </w:r>
          </w:p>
        </w:tc>
      </w:tr>
      <w:tr>
        <w:tc>
          <w:tcPr>
            <w:tcW w:type="dxa" w:w="125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Adoption</w:t>
            </w:r>
          </w:p>
        </w:tc>
        <w:tc>
          <w:tcPr>
            <w:tcW w:type="dxa" w:w="25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Researchers work around the console in spreadsheets</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High</w:t>
            </w:r>
          </w:p>
        </w:tc>
        <w:tc>
          <w:tcPr>
            <w:tcW w:type="dxa" w:w="321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Optimise the editor for keyboard speed; route batch import through the same verification queue so there is no side door; measure time-per-record and fix the tool when it loses.</w:t>
            </w:r>
          </w:p>
        </w:tc>
        <w:tc>
          <w:tcPr>
            <w:tcW w:type="dxa" w:w="1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Data lead</w:t>
            </w:r>
          </w:p>
        </w:tc>
      </w:tr>
      <w:tr>
        <w:tc>
          <w:tcPr>
            <w:tcW w:type="dxa" w:w="125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Adoption</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Pilot users hit coverage gaps and disengage</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321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Sequence data entry by the profiles of actual pilot users; make the empty state honest and useful rather than blank.</w:t>
            </w:r>
          </w:p>
        </w:tc>
        <w:tc>
          <w:tcPr>
            <w:tcW w:type="dxa" w:w="10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Founder</w:t>
            </w:r>
          </w:p>
        </w:tc>
      </w:tr>
      <w:tr>
        <w:tc>
          <w:tcPr>
            <w:tcW w:type="dxa" w:w="125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Privacy</w:t>
            </w:r>
          </w:p>
        </w:tc>
        <w:tc>
          <w:tcPr>
            <w:tcW w:type="dxa" w:w="25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Historical applicant data stored without adequate consent or de-identification</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High</w:t>
            </w:r>
          </w:p>
        </w:tc>
        <w:tc>
          <w:tcPr>
            <w:tcW w:type="dxa" w:w="321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De-identify at write time — hashed reference, no names or contacts. Legal review in Phase 1. Documented retention policy. Do not proceed with the Ledger until this is cleared.</w:t>
            </w:r>
          </w:p>
        </w:tc>
        <w:tc>
          <w:tcPr>
            <w:tcW w:type="dxa" w:w="1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Founder / Legal</w:t>
            </w:r>
          </w:p>
        </w:tc>
      </w:tr>
      <w:tr>
        <w:tc>
          <w:tcPr>
            <w:tcW w:type="dxa" w:w="125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Privacy</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Student profiles (grades, budget, scores) inadequately protected</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High</w:t>
            </w:r>
          </w:p>
        </w:tc>
        <w:tc>
          <w:tcPr>
            <w:tcW w:type="dxa" w:w="321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RLS on all profile tables; encryption at rest; data minimisation; a published privacy policy before the soft launch, not after.</w:t>
            </w:r>
          </w:p>
        </w:tc>
        <w:tc>
          <w:tcPr>
            <w:tcW w:type="dxa" w:w="10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Engineer / Legal</w:t>
            </w:r>
          </w:p>
        </w:tc>
      </w:tr>
      <w:tr>
        <w:tc>
          <w:tcPr>
            <w:tcW w:type="dxa" w:w="125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Security</w:t>
            </w:r>
          </w:p>
        </w:tc>
        <w:tc>
          <w:tcPr>
            <w:tcW w:type="dxa" w:w="25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Service-role credential leaks, exposing the dataset</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Low</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High</w:t>
            </w:r>
          </w:p>
        </w:tc>
        <w:tc>
          <w:tcPr>
            <w:tcW w:type="dxa" w:w="321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Server-side only, never in client bundles; scoped keys; rotation schedule; secret scanning in CI.</w:t>
            </w:r>
          </w:p>
        </w:tc>
        <w:tc>
          <w:tcPr>
            <w:tcW w:type="dxa" w:w="1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Engineer</w:t>
            </w:r>
          </w:p>
        </w:tc>
      </w:tr>
      <w:tr>
        <w:tc>
          <w:tcPr>
            <w:tcW w:type="dxa" w:w="125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Security</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Loss of the dataset</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Low</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High</w:t>
            </w:r>
          </w:p>
        </w:tc>
        <w:tc>
          <w:tcPr>
            <w:tcW w:type="dxa" w:w="321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Daily automated backups plus point-in-time recovery; a nightly dump to independent storage; a tested restore drill. The dataset is the company asset.</w:t>
            </w:r>
          </w:p>
        </w:tc>
        <w:tc>
          <w:tcPr>
            <w:tcW w:type="dxa" w:w="10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Engineer</w:t>
            </w:r>
          </w:p>
        </w:tc>
      </w:tr>
      <w:tr>
        <w:tc>
          <w:tcPr>
            <w:tcW w:type="dxa" w:w="125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Legal</w:t>
            </w:r>
          </w:p>
        </w:tc>
        <w:tc>
          <w:tcPr>
            <w:tcW w:type="dxa" w:w="25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University sites' terms restrict republishing sourced data</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High</w:t>
            </w:r>
          </w:p>
        </w:tc>
        <w:tc>
          <w:tcPr>
            <w:tcW w:type="dxa" w:w="321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Phase 1 legal review; cite and link rather than mirror; store snapshots privately as evidence rather than republishing them; prefer official and public sources.</w:t>
            </w:r>
          </w:p>
        </w:tc>
        <w:tc>
          <w:tcPr>
            <w:tcW w:type="dxa" w:w="1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Founder / Legal</w:t>
            </w:r>
          </w:p>
        </w:tc>
      </w:tr>
      <w:tr>
        <w:tc>
          <w:tcPr>
            <w:tcW w:type="dxa" w:w="125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Legal</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Published figures turn out to be wrong and a student relies on them</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High</w:t>
            </w:r>
          </w:p>
        </w:tc>
        <w:tc>
          <w:tcPr>
            <w:tcW w:type="dxa" w:w="321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Show retrieval date and source link on every figure; clear "verify with the institution" guidance; documented correction workflow with an SLA.</w:t>
            </w:r>
          </w:p>
        </w:tc>
        <w:tc>
          <w:tcPr>
            <w:tcW w:type="dxa" w:w="10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Data lead</w:t>
            </w:r>
          </w:p>
        </w:tc>
      </w:tr>
      <w:tr>
        <w:tc>
          <w:tcPr>
            <w:tcW w:type="dxa" w:w="125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Reputational</w:t>
            </w:r>
          </w:p>
        </w:tc>
        <w:tc>
          <w:tcPr>
            <w:tcW w:type="dxa" w:w="25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A public claim outruns what the product actually does</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High</w:t>
            </w:r>
          </w:p>
        </w:tc>
        <w:tc>
          <w:tcPr>
            <w:tcW w:type="dxa" w:w="321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The brief's own rule: match the public narrative, and flag divergence to the founder before shipping. Keep the documentation log current with dated screenshots.</w:t>
            </w:r>
          </w:p>
        </w:tc>
        <w:tc>
          <w:tcPr>
            <w:tcW w:type="dxa" w:w="1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Founder</w:t>
            </w:r>
          </w:p>
        </w:tc>
      </w:tr>
      <w:tr>
        <w:tc>
          <w:tcPr>
            <w:tcW w:type="dxa" w:w="125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Sustainability</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Maintenance is deprioritised and the dataset decays</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High</w:t>
            </w:r>
          </w:p>
        </w:tc>
        <w:tc>
          <w:tcPr>
            <w:tcW w:type="dxa" w:w="7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High</w:t>
            </w:r>
          </w:p>
        </w:tc>
        <w:tc>
          <w:tcPr>
            <w:tcW w:type="dxa" w:w="321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Budget maintenance explicitly in Phase 7 rather than assuming it. Track a freshness metric on the main dashboard so decay is visible, not silent.</w:t>
            </w:r>
          </w:p>
        </w:tc>
        <w:tc>
          <w:tcPr>
            <w:tcW w:type="dxa" w:w="1000"/>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Data lead</w:t>
            </w:r>
          </w:p>
        </w:tc>
      </w:tr>
      <w:tr>
        <w:tc>
          <w:tcPr>
            <w:tcW w:type="dxa" w:w="125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Sustainability</w:t>
            </w:r>
          </w:p>
        </w:tc>
        <w:tc>
          <w:tcPr>
            <w:tcW w:type="dxa" w:w="25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Project depends entirely on one engineer</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Med</w:t>
            </w:r>
          </w:p>
        </w:tc>
        <w:tc>
          <w:tcPr>
            <w:tcW w:type="dxa" w:w="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High</w:t>
            </w:r>
          </w:p>
        </w:tc>
        <w:tc>
          <w:tcPr>
            <w:tcW w:type="dxa" w:w="321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Document as you build, per the brief. Keep the schema and Gateway contract as living documents. Avoid clever code in the Φ engine.</w:t>
            </w:r>
          </w:p>
        </w:tc>
        <w:tc>
          <w:tcPr>
            <w:tcW w:type="dxa" w:w="10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5"/>
                <w:szCs w:val="15"/>
              </w:rPr>
              <w:t xml:space="preserve">Founder</w:t>
            </w:r>
          </w:p>
        </w:tc>
      </w:tr>
    </w:tbl>
    <w:p>
      <w:r>
        <w:br w:type="page"/>
      </w:r>
    </w:p>
    <w:p>
      <w:pPr>
        <w:pStyle w:val="Heading1"/>
        <w:spacing w:after="160" w:before="360"/>
      </w:pPr>
      <w:r>
        <w:rPr>
          <w:rFonts w:ascii="Calibri" w:cs="Calibri" w:eastAsia="Calibri" w:hAnsi="Calibri"/>
          <w:b/>
          <w:bCs/>
          <w:color w:val="1F4E79"/>
          <w:sz w:val="30"/>
          <w:szCs w:val="30"/>
        </w:rPr>
        <w:t xml:space="preserve">10. Success and Validation</w:t>
      </w:r>
    </w:p>
    <w:p>
      <w:pPr>
        <w:pStyle w:val="Heading2"/>
        <w:spacing w:after="120" w:before="260"/>
      </w:pPr>
      <w:r>
        <w:rPr>
          <w:rFonts w:ascii="Calibri" w:cs="Calibri" w:eastAsia="Calibri" w:hAnsi="Calibri"/>
          <w:b/>
          <w:bCs/>
          <w:color w:val="1F4E79"/>
          <w:sz w:val="25"/>
          <w:szCs w:val="25"/>
        </w:rPr>
        <w:t xml:space="preserve">10.1 Measurable success indicators</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1700"/>
        <w:gridCol w:w="3300"/>
        <w:gridCol w:w="2200"/>
        <w:gridCol w:w="2160"/>
      </w:tblGrid>
      <w:tr>
        <w:trPr>
          <w:tblHeader/>
        </w:trPr>
        <w:tc>
          <w:tcPr>
            <w:tcW w:type="dxa" w:w="17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Dimension</w:t>
            </w:r>
          </w:p>
        </w:tc>
        <w:tc>
          <w:tcPr>
            <w:tcW w:type="dxa" w:w="33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Indicator</w:t>
            </w:r>
          </w:p>
        </w:tc>
        <w:tc>
          <w:tcPr>
            <w:tcW w:type="dxa" w:w="22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Target</w:t>
            </w:r>
          </w:p>
        </w:tc>
        <w:tc>
          <w:tcPr>
            <w:tcW w:type="dxa" w:w="21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Measured by</w:t>
            </w:r>
          </w:p>
        </w:tc>
      </w:tr>
      <w:tr>
        <w:tc>
          <w:tcPr>
            <w:tcW w:type="dxa" w:w="17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Adoption (internal)</w:t>
            </w:r>
          </w:p>
        </w:tc>
        <w:tc>
          <w:tcPr>
            <w:tcW w:type="dxa" w:w="33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Verified records created per researcher-day</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 2× the manual baseline</w:t>
            </w:r>
          </w:p>
        </w:tc>
        <w:tc>
          <w:tcPr>
            <w:tcW w:type="dxa" w:w="21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Console analytics vs. Phase 1 benchmark</w:t>
            </w:r>
          </w:p>
        </w:tc>
      </w:tr>
      <w:tr>
        <w:tc>
          <w:tcPr>
            <w:tcW w:type="dxa" w:w="1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Adoption (internal)</w:t>
            </w:r>
          </w:p>
        </w:tc>
        <w:tc>
          <w:tcPr>
            <w:tcW w:type="dxa" w:w="33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Share of records created in the console rather than imported ad hoc</w:t>
            </w:r>
          </w:p>
        </w:tc>
        <w:tc>
          <w:tcPr>
            <w:tcW w:type="dxa" w:w="2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&gt; 90 %</w:t>
            </w:r>
          </w:p>
        </w:tc>
        <w:tc>
          <w:tcPr>
            <w:tcW w:type="dxa" w:w="21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Record source-of-entry field</w:t>
            </w:r>
          </w:p>
        </w:tc>
      </w:tr>
      <w:tr>
        <w:tc>
          <w:tcPr>
            <w:tcW w:type="dxa" w:w="17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Adoption (student)</w:t>
            </w:r>
          </w:p>
        </w:tc>
        <w:tc>
          <w:tcPr>
            <w:tcW w:type="dxa" w:w="33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Pilot users who complete a pathway run</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 60 % of the invited cohort</w:t>
            </w:r>
          </w:p>
        </w:tc>
        <w:tc>
          <w:tcPr>
            <w:tcW w:type="dxa" w:w="21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Pathway run instrumentation</w:t>
            </w:r>
          </w:p>
        </w:tc>
      </w:tr>
      <w:tr>
        <w:tc>
          <w:tcPr>
            <w:tcW w:type="dxa" w:w="1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Engagement</w:t>
            </w:r>
          </w:p>
        </w:tc>
        <w:tc>
          <w:tcPr>
            <w:tcW w:type="dxa" w:w="33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Users who save a pathway and return within 14 days</w:t>
            </w:r>
          </w:p>
        </w:tc>
        <w:tc>
          <w:tcPr>
            <w:tcW w:type="dxa" w:w="2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 30 %</w:t>
            </w:r>
          </w:p>
        </w:tc>
        <w:tc>
          <w:tcPr>
            <w:tcW w:type="dxa" w:w="21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Auth + saved-plan events</w:t>
            </w:r>
          </w:p>
        </w:tc>
      </w:tr>
      <w:tr>
        <w:tc>
          <w:tcPr>
            <w:tcW w:type="dxa" w:w="17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Engagement</w:t>
            </w:r>
          </w:p>
        </w:tc>
        <w:tc>
          <w:tcPr>
            <w:tcW w:type="dxa" w:w="33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Citation link click-through rate</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Tracked; a rising trend indicates trust in sourcing</w:t>
            </w:r>
          </w:p>
        </w:tc>
        <w:tc>
          <w:tcPr>
            <w:tcW w:type="dxa" w:w="21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Front-end events</w:t>
            </w:r>
          </w:p>
        </w:tc>
      </w:tr>
      <w:tr>
        <w:tc>
          <w:tcPr>
            <w:tcW w:type="dxa" w:w="1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Satisfaction</w:t>
            </w:r>
          </w:p>
        </w:tc>
        <w:tc>
          <w:tcPr>
            <w:tcW w:type="dxa" w:w="33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Pilot users who report the recommendations felt trustworthy</w:t>
            </w:r>
          </w:p>
        </w:tc>
        <w:tc>
          <w:tcPr>
            <w:tcW w:type="dxa" w:w="2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 4 / 5 mean</w:t>
            </w:r>
          </w:p>
        </w:tc>
        <w:tc>
          <w:tcPr>
            <w:tcW w:type="dxa" w:w="21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Post-pathway survey</w:t>
            </w:r>
          </w:p>
        </w:tc>
      </w:tr>
      <w:tr>
        <w:tc>
          <w:tcPr>
            <w:tcW w:type="dxa" w:w="17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Satisfaction</w:t>
            </w:r>
          </w:p>
        </w:tc>
        <w:tc>
          <w:tcPr>
            <w:tcW w:type="dxa" w:w="33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Data corrections reported per 100 pathway runs</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Declining trend</w:t>
            </w:r>
          </w:p>
        </w:tc>
        <w:tc>
          <w:tcPr>
            <w:tcW w:type="dxa" w:w="21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Correction loop</w:t>
            </w:r>
          </w:p>
        </w:tc>
      </w:tr>
      <w:tr>
        <w:tc>
          <w:tcPr>
            <w:tcW w:type="dxa" w:w="1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Reliability</w:t>
            </w:r>
          </w:p>
        </w:tc>
        <w:tc>
          <w:tcPr>
            <w:tcW w:type="dxa" w:w="33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Uncited figures surviving the validator</w:t>
            </w:r>
          </w:p>
        </w:tc>
        <w:tc>
          <w:tcPr>
            <w:tcW w:type="dxa" w:w="2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Zero — a hard gate</w:t>
            </w:r>
          </w:p>
        </w:tc>
        <w:tc>
          <w:tcPr>
            <w:tcW w:type="dxa" w:w="21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CI eval suite</w:t>
            </w:r>
          </w:p>
        </w:tc>
      </w:tr>
      <w:tr>
        <w:tc>
          <w:tcPr>
            <w:tcW w:type="dxa" w:w="17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Reliability</w:t>
            </w:r>
          </w:p>
        </w:tc>
        <w:tc>
          <w:tcPr>
            <w:tcW w:type="dxa" w:w="33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Must-refuse cases producing a refusal</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100 %</w:t>
            </w:r>
          </w:p>
        </w:tc>
        <w:tc>
          <w:tcPr>
            <w:tcW w:type="dxa" w:w="21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CI eval suite</w:t>
            </w:r>
          </w:p>
        </w:tc>
      </w:tr>
      <w:tr>
        <w:tc>
          <w:tcPr>
            <w:tcW w:type="dxa" w:w="1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Reliability</w:t>
            </w:r>
          </w:p>
        </w:tc>
        <w:tc>
          <w:tcPr>
            <w:tcW w:type="dxa" w:w="33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Verified-record accuracy against source</w:t>
            </w:r>
          </w:p>
        </w:tc>
        <w:tc>
          <w:tcPr>
            <w:tcW w:type="dxa" w:w="2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 98 %</w:t>
            </w:r>
          </w:p>
        </w:tc>
        <w:tc>
          <w:tcPr>
            <w:tcW w:type="dxa" w:w="21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Random 10 % audit</w:t>
            </w:r>
          </w:p>
        </w:tc>
      </w:tr>
      <w:tr>
        <w:tc>
          <w:tcPr>
            <w:tcW w:type="dxa" w:w="17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Reliability</w:t>
            </w:r>
          </w:p>
        </w:tc>
        <w:tc>
          <w:tcPr>
            <w:tcW w:type="dxa" w:w="33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Gateway uptime and p95 latency</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 99.5 %; sub-second p95</w:t>
            </w:r>
          </w:p>
        </w:tc>
        <w:tc>
          <w:tcPr>
            <w:tcW w:type="dxa" w:w="21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Uptime monitor</w:t>
            </w:r>
          </w:p>
        </w:tc>
      </w:tr>
      <w:tr>
        <w:tc>
          <w:tcPr>
            <w:tcW w:type="dxa" w:w="1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Operational impact</w:t>
            </w:r>
          </w:p>
        </w:tc>
        <w:tc>
          <w:tcPr>
            <w:tcW w:type="dxa" w:w="33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Universities verified against the ~300 target</w:t>
            </w:r>
          </w:p>
        </w:tc>
        <w:tc>
          <w:tcPr>
            <w:tcW w:type="dxa" w:w="2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300</w:t>
            </w:r>
          </w:p>
        </w:tc>
        <w:tc>
          <w:tcPr>
            <w:tcW w:type="dxa" w:w="21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Coverage dashboard</w:t>
            </w:r>
          </w:p>
        </w:tc>
      </w:tr>
      <w:tr>
        <w:tc>
          <w:tcPr>
            <w:tcW w:type="dxa" w:w="17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Operational impact</w:t>
            </w:r>
          </w:p>
        </w:tc>
        <w:tc>
          <w:tcPr>
            <w:tcW w:type="dxa" w:w="33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Records past their expiry date</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&lt; 5 % at any time</w:t>
            </w:r>
          </w:p>
        </w:tc>
        <w:tc>
          <w:tcPr>
            <w:tcW w:type="dxa" w:w="21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Staleness report</w:t>
            </w:r>
          </w:p>
        </w:tc>
      </w:tr>
      <w:tr>
        <w:tc>
          <w:tcPr>
            <w:tcW w:type="dxa" w:w="1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Operational impact</w:t>
            </w:r>
          </w:p>
        </w:tc>
        <w:tc>
          <w:tcPr>
            <w:tcW w:type="dxa" w:w="33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Profiles that hit a coverage gap</w:t>
            </w:r>
          </w:p>
        </w:tc>
        <w:tc>
          <w:tcPr>
            <w:tcW w:type="dxa" w:w="2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Declining; &lt; 10 % at full launch</w:t>
            </w:r>
          </w:p>
        </w:tc>
        <w:tc>
          <w:tcPr>
            <w:tcW w:type="dxa" w:w="21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Gateway miss logging</w:t>
            </w:r>
          </w:p>
        </w:tc>
      </w:tr>
      <w:tr>
        <w:tc>
          <w:tcPr>
            <w:tcW w:type="dxa" w:w="17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Sustainability</w:t>
            </w:r>
          </w:p>
        </w:tc>
        <w:tc>
          <w:tcPr>
            <w:tcW w:type="dxa" w:w="33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Outcome records added per admission cycle</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Growing</w:t>
            </w:r>
          </w:p>
        </w:tc>
        <w:tc>
          <w:tcPr>
            <w:tcW w:type="dxa" w:w="21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Outcome Ledger</w:t>
            </w:r>
          </w:p>
        </w:tc>
      </w:tr>
      <w:tr>
        <w:tc>
          <w:tcPr>
            <w:tcW w:type="dxa" w:w="17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Sustainability</w:t>
            </w:r>
          </w:p>
        </w:tc>
        <w:tc>
          <w:tcPr>
            <w:tcW w:type="dxa" w:w="33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Φ prediction error against actual outcomes</w:t>
            </w:r>
          </w:p>
        </w:tc>
        <w:tc>
          <w:tcPr>
            <w:tcW w:type="dxa" w:w="2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Falling year over year</w:t>
            </w:r>
          </w:p>
        </w:tc>
        <w:tc>
          <w:tcPr>
            <w:tcW w:type="dxa" w:w="21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Calibration report</w:t>
            </w:r>
          </w:p>
        </w:tc>
      </w:tr>
      <w:tr>
        <w:tc>
          <w:tcPr>
            <w:tcW w:type="dxa" w:w="17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Sustainability</w:t>
            </w:r>
          </w:p>
        </w:tc>
        <w:tc>
          <w:tcPr>
            <w:tcW w:type="dxa" w:w="33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Maintenance hours per 100 records</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Falling year over year</w:t>
            </w:r>
          </w:p>
        </w:tc>
        <w:tc>
          <w:tcPr>
            <w:tcW w:type="dxa" w:w="2160"/>
            <w:tcMar>
              <w:top w:type="dxa" w:w="70"/>
              <w:left w:type="dxa" w:w="110"/>
              <w:bottom w:type="dxa" w:w="70"/>
              <w:right w:type="dxa" w:w="110"/>
            </w:tcMar>
          </w:tcPr>
          <w:p>
            <w:pPr>
              <w:spacing w:after="0" w:line="250"/>
            </w:pPr>
            <w:r>
              <w:rPr>
                <w:rFonts w:ascii="Calibri" w:cs="Calibri" w:eastAsia="Calibri" w:hAnsi="Calibri"/>
                <w:b w:val="false"/>
                <w:bCs w:val="false"/>
                <w:sz w:val="17"/>
                <w:szCs w:val="17"/>
              </w:rPr>
              <w:t xml:space="preserve">Time tracking</w:t>
            </w:r>
          </w:p>
        </w:tc>
      </w:tr>
    </w:tbl>
    <w:p>
      <w:pPr>
        <w:pStyle w:val="Heading2"/>
        <w:spacing w:after="120" w:before="260"/>
      </w:pPr>
      <w:r>
        <w:rPr>
          <w:rFonts w:ascii="Calibri" w:cs="Calibri" w:eastAsia="Calibri" w:hAnsi="Calibri"/>
          <w:b/>
          <w:bCs/>
          <w:color w:val="1F4E79"/>
          <w:sz w:val="25"/>
          <w:szCs w:val="25"/>
        </w:rPr>
        <w:t xml:space="preserve">10.2 Validation methods</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1900"/>
        <w:gridCol w:w="3200"/>
        <w:gridCol w:w="4260"/>
      </w:tblGrid>
      <w:tr>
        <w:trPr>
          <w:tblHeader/>
        </w:trPr>
        <w:tc>
          <w:tcPr>
            <w:tcW w:type="dxa" w:w="19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Method</w:t>
            </w:r>
          </w:p>
        </w:tc>
        <w:tc>
          <w:tcPr>
            <w:tcW w:type="dxa" w:w="32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What to do</w:t>
            </w:r>
          </w:p>
        </w:tc>
        <w:tc>
          <w:tcPr>
            <w:tcW w:type="dxa" w:w="42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What it proves or disproves</w:t>
            </w:r>
          </w:p>
        </w:tc>
      </w:tr>
      <w:tr>
        <w:tc>
          <w:tcPr>
            <w:tcW w:type="dxa" w:w="19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Interviews</w:t>
            </w:r>
          </w:p>
        </w:tc>
        <w:tc>
          <w:tcPr>
            <w:tcW w:type="dxa" w:w="3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Founder plus two consultants on how operator knowledge is actually held; three past students on how they made their decision and what they distrusted.</w:t>
            </w:r>
          </w:p>
        </w:tc>
        <w:tc>
          <w:tcPr>
            <w:tcW w:type="dxa" w:w="42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Whether the Outcome Ledger is feasible, and whether sourcing visibly changes perceived trust or is invisible to students.</w:t>
            </w:r>
          </w:p>
        </w:tc>
      </w:tr>
      <w:tr>
        <w:tc>
          <w:tcPr>
            <w:tcW w:type="dxa" w:w="1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Surveys</w:t>
            </w:r>
          </w:p>
        </w:tc>
        <w:tc>
          <w:tcPr>
            <w:tcW w:type="dxa" w:w="3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Short survey to the existing 4Prep lead list on decision blockers, budget sensitivity and current information sources.</w:t>
            </w:r>
          </w:p>
        </w:tc>
        <w:tc>
          <w:tcPr>
            <w:tcW w:type="dxa" w:w="42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Which fields matter most — and therefore which fields to source first, since sourcing everything is not affordable up front.</w:t>
            </w:r>
          </w:p>
        </w:tc>
      </w:tr>
      <w:tr>
        <w:tc>
          <w:tcPr>
            <w:tcW w:type="dxa" w:w="19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Prototype testing</w:t>
            </w:r>
          </w:p>
        </w:tc>
        <w:tc>
          <w:tcPr>
            <w:tcW w:type="dxa" w:w="3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A clickable console prototype timed against manual entry on five real universities.</w:t>
            </w:r>
          </w:p>
        </w:tc>
        <w:tc>
          <w:tcPr>
            <w:tcW w:type="dxa" w:w="42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Whether the interaction model is genuinely faster. If researchers are slower in the tool, they will leave it.</w:t>
            </w:r>
          </w:p>
        </w:tc>
      </w:tr>
      <w:tr>
        <w:tc>
          <w:tcPr>
            <w:tcW w:type="dxa" w:w="1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Technical proof of concept</w:t>
            </w:r>
          </w:p>
        </w:tc>
        <w:tc>
          <w:tcPr>
            <w:tcW w:type="dxa" w:w="3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Run extraction on ten real university pages across varied formats — HTML, PDF prospectus, multi-page fee tables — and measure field-level accuracy and abstention behaviour.</w:t>
            </w:r>
          </w:p>
        </w:tc>
        <w:tc>
          <w:tcPr>
            <w:tcW w:type="dxa" w:w="42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The single largest technical assumption in the plan. Do this in Phase 1, before committing to the build.</w:t>
            </w:r>
          </w:p>
        </w:tc>
      </w:tr>
      <w:tr>
        <w:tc>
          <w:tcPr>
            <w:tcW w:type="dxa" w:w="19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Φ reproduction test</w:t>
            </w:r>
          </w:p>
        </w:tc>
        <w:tc>
          <w:tcPr>
            <w:tcW w:type="dxa" w:w="3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Implement the paper's worked examples as unit tests before building anything around them.</w:t>
            </w:r>
          </w:p>
        </w:tc>
        <w:tc>
          <w:tcPr>
            <w:tcW w:type="dxa" w:w="42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Whether EPIF is implementable as written. A cheap test with a high-value answer either way.</w:t>
            </w:r>
          </w:p>
        </w:tc>
      </w:tr>
      <w:tr>
        <w:tc>
          <w:tcPr>
            <w:tcW w:type="dxa" w:w="19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Red-team testing</w:t>
            </w:r>
          </w:p>
        </w:tc>
        <w:tc>
          <w:tcPr>
            <w:tcW w:type="dxa" w:w="3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External testers construct profiles designed to induce fabrication.</w:t>
            </w:r>
          </w:p>
        </w:tc>
        <w:tc>
          <w:tcPr>
            <w:tcW w:type="dxa" w:w="42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Whether grounding holds adversarially rather than only on happy paths.</w:t>
            </w:r>
          </w:p>
        </w:tc>
      </w:tr>
      <w:tr>
        <w:tc>
          <w:tcPr>
            <w:tcW w:type="dxa" w:w="19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Pilot</w:t>
            </w:r>
          </w:p>
        </w:tc>
        <w:tc>
          <w:tcPr>
            <w:tcW w:type="dxa" w:w="3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Soft launch to existing 4Prep leads and students, per the brief. Instrument everything; weekly sampled human review of AI responses.</w:t>
            </w:r>
          </w:p>
        </w:tc>
        <w:tc>
          <w:tcPr>
            <w:tcW w:type="dxa" w:w="42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Whether the whole chain — verified data → Φ → grounded narrative → student decision — actually helps a real person.</w:t>
            </w:r>
          </w:p>
        </w:tc>
      </w:tr>
    </w:tbl>
    <w:p>
      <w:r>
        <w:br w:type="page"/>
      </w:r>
    </w:p>
    <w:p>
      <w:pPr>
        <w:pStyle w:val="Heading1"/>
        <w:spacing w:after="160" w:before="360"/>
      </w:pPr>
      <w:r>
        <w:rPr>
          <w:rFonts w:ascii="Calibri" w:cs="Calibri" w:eastAsia="Calibri" w:hAnsi="Calibri"/>
          <w:b/>
          <w:bCs/>
          <w:color w:val="1F4E79"/>
          <w:sz w:val="30"/>
          <w:szCs w:val="30"/>
        </w:rPr>
        <w:t xml:space="preserve">11. Final Recommendation</w:t>
      </w:r>
    </w:p>
    <w:p>
      <w:pPr>
        <w:pStyle w:val="Heading2"/>
        <w:spacing w:after="120" w:before="260"/>
      </w:pPr>
      <w:r>
        <w:rPr>
          <w:rFonts w:ascii="Calibri" w:cs="Calibri" w:eastAsia="Calibri" w:hAnsi="Calibri"/>
          <w:b/>
          <w:bCs/>
          <w:color w:val="1F4E79"/>
          <w:sz w:val="25"/>
          <w:szCs w:val="25"/>
        </w:rPr>
        <w:t xml:space="preserve">11.1 Why this project should be pursued</w:t>
      </w:r>
    </w:p>
    <w:p>
      <w:pPr>
        <w:spacing w:after="120" w:before="0" w:line="276"/>
      </w:pPr>
      <w:r>
        <w:rPr>
          <w:rFonts w:ascii="Calibri" w:cs="Calibri" w:eastAsia="Calibri" w:hAnsi="Calibri"/>
          <w:sz w:val="21"/>
          <w:szCs w:val="21"/>
        </w:rPr>
        <w:t xml:space="preserve">The brief already contains the argument. It names Layer 1 thinness as the most likely cause of failure. It sets a Phase 2 gate — "cites only universities/scholarships that exist in our database, and never invents data" — that cannot currently be demonstrated, only spot-checked. It sets a Phase 4 requirement that every record must have a source, and allocates that requirement one bullet. And Section 1 raises the stakes above ordinary product risk: the product underwrites published articles, an academic paper and a professional record, so "real, sourced, and defensible" is a hard constraint, not a quality preference.</w:t>
      </w:r>
    </w:p>
    <w:p>
      <w:pPr>
        <w:spacing w:after="120" w:before="0" w:line="276"/>
      </w:pPr>
      <w:r>
        <w:rPr>
          <w:rFonts w:ascii="Calibri" w:cs="Calibri" w:eastAsia="Calibri" w:hAnsi="Calibri"/>
          <w:sz w:val="21"/>
          <w:szCs w:val="21"/>
        </w:rPr>
        <w:t xml:space="preserve">Ground Truth is the machinery that makes those commitments hold without depending on anyone's vigilance. It is also the honest reckoning with the largest hidden cost in the roadmap: 300 universities at depth, each field sourced, is a data-operations programme. Building the tooling first is what makes that programme finishable by a small team.</w:t>
      </w:r>
    </w:p>
    <w:p>
      <w:pPr>
        <w:spacing w:after="60"/>
      </w:pPr>
      <w:r>
        <w:rPr>
          <w:sz w:val="4"/>
          <w:szCs w:val="4"/>
        </w:rPr>
        <w:t xml:space="preserve"/>
      </w:r>
    </w:p>
    <w:p>
      <w:pPr>
        <w:spacing w:after="120" w:before="0" w:line="276"/>
      </w:pPr>
      <w:r>
        <w:rPr>
          <w:rFonts w:ascii="Calibri" w:cs="Calibri" w:eastAsia="Calibri" w:hAnsi="Calibri"/>
          <w:i/>
          <w:iCs/>
          <w:sz w:val="21"/>
          <w:szCs w:val="21"/>
        </w:rPr>
        <w:t xml:space="preserve">The argument against, stated fairly: this is infrastructure, and infrastructure is invisible. It produces no screenshot for an article and no feature to demo. A founder under narrative pressure could reasonably prefer to build the Pathway Generator and fill data by hand.</w:t>
      </w:r>
    </w:p>
    <w:p>
      <w:pPr>
        <w:spacing w:after="120" w:before="0" w:line="276"/>
      </w:pPr>
      <w:r>
        <w:rPr>
          <w:rFonts w:ascii="Calibri" w:cs="Calibri" w:eastAsia="Calibri" w:hAnsi="Calibri"/>
          <w:sz w:val="21"/>
          <w:szCs w:val="21"/>
        </w:rPr>
        <w:t xml:space="preserve">That objection is answered by sequencing rather than by disagreement. Ground Truth is built during Phases 1–2 alongside the visible product, and the data fill happens in Phase 4 exactly where the brief puts it. It does not displace the roadmap; it makes the roadmap's own gates achievable. And the brief's warning cuts both ways — do not gold-plate infrastructure any more than visuals. Six weeks of build, then it earns its keep or it does not.</w:t>
      </w:r>
    </w:p>
    <w:p>
      <w:pPr>
        <w:pStyle w:val="Heading2"/>
        <w:spacing w:after="120" w:before="260"/>
      </w:pPr>
      <w:r>
        <w:rPr>
          <w:rFonts w:ascii="Calibri" w:cs="Calibri" w:eastAsia="Calibri" w:hAnsi="Calibri"/>
          <w:b/>
          <w:bCs/>
          <w:color w:val="1F4E79"/>
          <w:sz w:val="25"/>
          <w:szCs w:val="25"/>
        </w:rPr>
        <w:t xml:space="preserve">11.2 First five actions</w:t>
      </w:r>
    </w:p>
    <w:tbl>
      <w:tblPr>
        <w:tblW w:type="dxa" w:w="9360"/>
        <w:tblBorders>
          <w:top w:val="single" w:color="AEBECF" w:sz="4"/>
          <w:left w:val="single" w:color="AEBECF" w:sz="4"/>
          <w:bottom w:val="single" w:color="AEBECF" w:sz="4"/>
          <w:right w:val="single" w:color="AEBECF" w:sz="4"/>
          <w:insideH w:val="single" w:color="CCD6E0" w:sz="3"/>
          <w:insideV w:val="single" w:color="CCD6E0" w:sz="3"/>
        </w:tblBorders>
      </w:tblPr>
      <w:tblGrid>
        <w:gridCol w:w="600"/>
        <w:gridCol w:w="4400"/>
        <w:gridCol w:w="2200"/>
        <w:gridCol w:w="2160"/>
      </w:tblGrid>
      <w:tr>
        <w:trPr>
          <w:tblHeader/>
        </w:trPr>
        <w:tc>
          <w:tcPr>
            <w:tcW w:type="dxa" w:w="6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w:t>
            </w:r>
          </w:p>
        </w:tc>
        <w:tc>
          <w:tcPr>
            <w:tcW w:type="dxa" w:w="44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Action</w:t>
            </w:r>
          </w:p>
        </w:tc>
        <w:tc>
          <w:tcPr>
            <w:tcW w:type="dxa" w:w="220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Owner</w:t>
            </w:r>
          </w:p>
        </w:tc>
        <w:tc>
          <w:tcPr>
            <w:tcW w:type="dxa" w:w="2160"/>
            <w:shd w:fill="DCE6F1"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Timing</w:t>
            </w:r>
          </w:p>
        </w:tc>
      </w:tr>
      <w:tr>
        <w:tc>
          <w:tcPr>
            <w:tcW w:type="dxa" w:w="6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1</w:t>
            </w:r>
          </w:p>
        </w:tc>
        <w:tc>
          <w:tcPr>
            <w:tcW w:type="dxa" w:w="4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Extract the exact Φ equations, weights and normalisation from the EPIF paper into an implementation spec, and log every ambiguity for founder resolution.</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Engineer + Founder</w:t>
            </w:r>
          </w:p>
        </w:tc>
        <w:tc>
          <w:tcPr>
            <w:tcW w:type="dxa" w:w="21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Week 1</w:t>
            </w:r>
          </w:p>
        </w:tc>
      </w:tr>
      <w:tr>
        <w:tc>
          <w:tcPr>
            <w:tcW w:type="dxa" w:w="6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2</w:t>
            </w:r>
          </w:p>
        </w:tc>
        <w:tc>
          <w:tcPr>
            <w:tcW w:type="dxa" w:w="4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Manually source five universities end to end and time it. This produces the baseline every throughput claim in this plan is measured against — without it, none of the estimates are testable.</w:t>
            </w:r>
          </w:p>
        </w:tc>
        <w:tc>
          <w:tcPr>
            <w:tcW w:type="dxa" w:w="2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Data lead</w:t>
            </w:r>
          </w:p>
        </w:tc>
        <w:tc>
          <w:tcPr>
            <w:tcW w:type="dxa" w:w="21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Week 1</w:t>
            </w:r>
          </w:p>
        </w:tc>
      </w:tr>
      <w:tr>
        <w:tc>
          <w:tcPr>
            <w:tcW w:type="dxa" w:w="6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3</w:t>
            </w:r>
          </w:p>
        </w:tc>
        <w:tc>
          <w:tcPr>
            <w:tcW w:type="dxa" w:w="4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Run the extraction proof of concept on ten real university pages across varied formats; measure field accuracy and abstention.</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Engineer</w:t>
            </w:r>
          </w:p>
        </w:tc>
        <w:tc>
          <w:tcPr>
            <w:tcW w:type="dxa" w:w="21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Week 1–2</w:t>
            </w:r>
          </w:p>
        </w:tc>
      </w:tr>
      <w:tr>
        <w:tc>
          <w:tcPr>
            <w:tcW w:type="dxa" w:w="6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4</w:t>
            </w:r>
          </w:p>
        </w:tc>
        <w:tc>
          <w:tcPr>
            <w:tcW w:type="dxa" w:w="44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Write the "300 universities that matter" selection rubric and produce a prioritized first 50.</w:t>
            </w:r>
          </w:p>
        </w:tc>
        <w:tc>
          <w:tcPr>
            <w:tcW w:type="dxa" w:w="220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Founder</w:t>
            </w:r>
          </w:p>
        </w:tc>
        <w:tc>
          <w:tcPr>
            <w:tcW w:type="dxa" w:w="2160"/>
            <w:shd w:fill="F7F9FC" w:color="auto" w:val="clear"/>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Week 1–2</w:t>
            </w:r>
          </w:p>
        </w:tc>
      </w:tr>
      <w:tr>
        <w:tc>
          <w:tcPr>
            <w:tcW w:type="dxa" w:w="6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5</w:t>
            </w:r>
          </w:p>
        </w:tc>
        <w:tc>
          <w:tcPr>
            <w:tcW w:type="dxa" w:w="44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Obtain a legal read on republishing sourced university data and on storing de-identified historical applicant outcomes.</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Founder + Legal</w:t>
            </w:r>
          </w:p>
        </w:tc>
        <w:tc>
          <w:tcPr>
            <w:tcW w:type="dxa" w:w="2160"/>
            <w:tcMar>
              <w:top w:type="dxa" w:w="70"/>
              <w:left w:type="dxa" w:w="110"/>
              <w:bottom w:type="dxa" w:w="70"/>
              <w:right w:type="dxa" w:w="110"/>
            </w:tcMar>
          </w:tcPr>
          <w:p>
            <w:pPr>
              <w:spacing w:after="0" w:line="250"/>
            </w:pPr>
            <w:r>
              <w:rPr>
                <w:rFonts w:ascii="Calibri" w:cs="Calibri" w:eastAsia="Calibri" w:hAnsi="Calibri"/>
                <w:b w:val="false"/>
                <w:bCs w:val="false"/>
                <w:sz w:val="18"/>
                <w:szCs w:val="18"/>
              </w:rPr>
              <w:t xml:space="preserve">Week 1–2</w:t>
            </w:r>
          </w:p>
        </w:tc>
      </w:tr>
    </w:tbl>
    <w:p>
      <w:pPr>
        <w:spacing w:after="120" w:before="0" w:line="276"/>
      </w:pPr>
      <w:r>
        <w:rPr>
          <w:rFonts w:ascii="Calibri" w:cs="Calibri" w:eastAsia="Calibri" w:hAnsi="Calibri"/>
          <w:i/>
          <w:iCs/>
          <w:sz w:val="21"/>
          <w:szCs w:val="21"/>
        </w:rPr>
        <w:t xml:space="preserve">All five are discovery actions costing roughly two weeks and no committed build. If action 3 fails, the project scope changes before money is spent. That is the point of ordering them this way.</w:t>
      </w:r>
    </w:p>
    <w:p>
      <w:pPr>
        <w:pStyle w:val="Heading2"/>
        <w:spacing w:after="120" w:before="260"/>
      </w:pPr>
      <w:r>
        <w:rPr>
          <w:rFonts w:ascii="Calibri" w:cs="Calibri" w:eastAsia="Calibri" w:hAnsi="Calibri"/>
          <w:b/>
          <w:bCs/>
          <w:color w:val="1F4E79"/>
          <w:sz w:val="25"/>
          <w:szCs w:val="25"/>
        </w:rPr>
        <w:t xml:space="preserve">11.3 The biggest technical uncertainty</w:t>
      </w:r>
    </w:p>
    <w:tbl>
      <w:tblPr>
        <w:tblW w:type="dxa" w:w="9360"/>
        <w:tblBorders>
          <w:top w:val="single" w:color="E0A800" w:sz="6"/>
          <w:left w:val="single" w:color="E0A800" w:sz="6"/>
          <w:bottom w:val="single" w:color="E0A800" w:sz="6"/>
          <w:right w:val="single" w:color="E0A800" w:sz="6"/>
          <w:insideH w:val="none"/>
          <w:insideV w:val="none"/>
        </w:tblBorders>
      </w:tblPr>
      <w:tblGrid>
        <w:gridCol w:w="9360"/>
      </w:tblGrid>
      <w:tr>
        <w:tc>
          <w:tcPr>
            <w:tcW w:type="dxa" w:w="9360"/>
            <w:shd w:fill="FFF4E5" w:color="auto" w:val="clear"/>
            <w:tcMar>
              <w:top w:type="dxa" w:w="120"/>
              <w:left w:type="dxa" w:w="160"/>
              <w:bottom w:type="dxa" w:w="120"/>
              <w:right w:type="dxa" w:w="160"/>
            </w:tcMar>
          </w:tcPr>
          <w:p>
            <w:pPr>
              <w:spacing w:after="60"/>
            </w:pPr>
            <w:r>
              <w:rPr>
                <w:rFonts w:ascii="Calibri" w:cs="Calibri" w:eastAsia="Calibri" w:hAnsi="Calibri"/>
                <w:b/>
                <w:bCs/>
                <w:sz w:val="20"/>
                <w:szCs w:val="20"/>
              </w:rPr>
              <w:t xml:space="preserve">Extraction accuracy on heterogeneous real-world sources</w:t>
            </w:r>
          </w:p>
          <w:p>
            <w:pPr>
              <w:spacing w:after="50" w:line="260"/>
            </w:pPr>
            <w:r>
              <w:rPr>
                <w:rFonts w:ascii="Calibri" w:cs="Calibri" w:eastAsia="Calibri" w:hAnsi="Calibri"/>
                <w:sz w:val="19"/>
                <w:szCs w:val="19"/>
              </w:rPr>
              <w:t xml:space="preserve">University fee and admissions pages are inconsistent by nature: PDFs, multi-year fee tables, domestic-versus-international distinctions, footnoted conditions, figures split across pages. The entire economic case rests on AI drafting being materially faster than manual entry at equal or better accuracy.</w:t>
            </w:r>
          </w:p>
          <w:p>
            <w:pPr>
              <w:spacing w:after="50" w:line="260"/>
            </w:pPr>
            <w:r>
              <w:rPr>
                <w:rFonts w:ascii="Calibri" w:cs="Calibri" w:eastAsia="Calibri" w:hAnsi="Calibri"/>
                <w:sz w:val="19"/>
                <w:szCs w:val="19"/>
              </w:rPr>
              <w:t xml:space="preserve">If accuracy lands too low, every draft needs full manual verification and the throughput gain largely disappears — which pushes Phase 5 cost and duration up substantially.</w:t>
            </w:r>
          </w:p>
          <w:p>
            <w:pPr>
              <w:spacing w:after="50" w:line="260"/>
            </w:pPr>
            <w:r>
              <w:rPr>
                <w:rFonts w:ascii="Calibri" w:cs="Calibri" w:eastAsia="Calibri" w:hAnsi="Calibri"/>
                <w:sz w:val="19"/>
                <w:szCs w:val="19"/>
              </w:rPr>
              <w:t xml:space="preserve">This is why action 3 comes first. It is a two-day test that de-risks the largest assumption in the plan, and the fallback is real: a source-capture-only console still enforces provenance and still beats spreadsheets, just with a weaker economic case.</w:t>
            </w:r>
          </w:p>
        </w:tc>
      </w:tr>
    </w:tbl>
    <w:p>
      <w:pPr>
        <w:pStyle w:val="Heading2"/>
        <w:spacing w:after="120" w:before="260"/>
      </w:pPr>
      <w:r>
        <w:rPr>
          <w:rFonts w:ascii="Calibri" w:cs="Calibri" w:eastAsia="Calibri" w:hAnsi="Calibri"/>
          <w:b/>
          <w:bCs/>
          <w:color w:val="1F4E79"/>
          <w:sz w:val="25"/>
          <w:szCs w:val="25"/>
        </w:rPr>
        <w:t xml:space="preserve">11.4 The biggest non-technical uncertainty</w:t>
      </w:r>
    </w:p>
    <w:tbl>
      <w:tblPr>
        <w:tblW w:type="dxa" w:w="9360"/>
        <w:tblBorders>
          <w:top w:val="single" w:color="E0A800" w:sz="6"/>
          <w:left w:val="single" w:color="E0A800" w:sz="6"/>
          <w:bottom w:val="single" w:color="E0A800" w:sz="6"/>
          <w:right w:val="single" w:color="E0A800" w:sz="6"/>
          <w:insideH w:val="none"/>
          <w:insideV w:val="none"/>
        </w:tblBorders>
      </w:tblPr>
      <w:tblGrid>
        <w:gridCol w:w="9360"/>
      </w:tblGrid>
      <w:tr>
        <w:tc>
          <w:tcPr>
            <w:tcW w:type="dxa" w:w="9360"/>
            <w:shd w:fill="FFF4E5" w:color="auto" w:val="clear"/>
            <w:tcMar>
              <w:top w:type="dxa" w:w="120"/>
              <w:left w:type="dxa" w:w="160"/>
              <w:bottom w:type="dxa" w:w="120"/>
              <w:right w:type="dxa" w:w="160"/>
            </w:tcMar>
          </w:tcPr>
          <w:p>
            <w:pPr>
              <w:spacing w:after="60"/>
            </w:pPr>
            <w:r>
              <w:rPr>
                <w:rFonts w:ascii="Calibri" w:cs="Calibri" w:eastAsia="Calibri" w:hAnsi="Calibri"/>
                <w:b/>
                <w:bCs/>
                <w:sz w:val="20"/>
                <w:szCs w:val="20"/>
              </w:rPr>
              <w:t xml:space="preserve">Whether six years of operator knowledge can actually be structured</w:t>
            </w:r>
          </w:p>
          <w:p>
            <w:pPr>
              <w:spacing w:after="50" w:line="260"/>
            </w:pPr>
            <w:r>
              <w:rPr>
                <w:rFonts w:ascii="Calibri" w:cs="Calibri" w:eastAsia="Calibri" w:hAnsi="Calibri"/>
                <w:sz w:val="19"/>
                <w:szCs w:val="19"/>
              </w:rPr>
              <w:t xml:space="preserve">The brief calls this "our unfair advantage" and it is the strategic core of the Outcome Ledger — and of the positioning "built on real student outcomes." But the brief does not say what form this knowledge is in. It may be in a CRM, in spreadsheets, in old email threads, or largely in the founder's and consultants' heads.</w:t>
            </w:r>
          </w:p>
          <w:p>
            <w:pPr>
              <w:spacing w:after="50" w:line="260"/>
            </w:pPr>
            <w:r>
              <w:rPr>
                <w:rFonts w:ascii="Calibri" w:cs="Calibri" w:eastAsia="Calibri" w:hAnsi="Calibri"/>
                <w:sz w:val="19"/>
                <w:szCs w:val="19"/>
              </w:rPr>
              <w:t xml:space="preserve">If it is tacit and inconsistent, it can still be captured — but slowly, through structured interview sessions, competing for the scarcest resource in the project: founder time.</w:t>
            </w:r>
          </w:p>
          <w:p>
            <w:pPr>
              <w:spacing w:after="50" w:line="260"/>
            </w:pPr>
            <w:r>
              <w:rPr>
                <w:rFonts w:ascii="Calibri" w:cs="Calibri" w:eastAsia="Calibri" w:hAnsi="Calibri"/>
                <w:sz w:val="19"/>
                <w:szCs w:val="19"/>
              </w:rPr>
              <w:t xml:space="preserve">This does not block the MVP. Ground Truth's data pipeline and grounding enforcement stand on their own. But it does bear on how strongly the outcome-calibration claim can be made publicly, and per the brief's own rule — nothing gets claimed before it exists — that is worth knowing early rather than late.</w:t>
            </w:r>
          </w:p>
        </w:tc>
      </w:tr>
    </w:tbl>
    <w:p>
      <w:pPr>
        <w:pStyle w:val="Heading2"/>
        <w:spacing w:after="120" w:before="260"/>
      </w:pPr>
      <w:r>
        <w:rPr>
          <w:rFonts w:ascii="Calibri" w:cs="Calibri" w:eastAsia="Calibri" w:hAnsi="Calibri"/>
          <w:b/>
          <w:bCs/>
          <w:color w:val="1F4E79"/>
          <w:sz w:val="25"/>
          <w:szCs w:val="25"/>
        </w:rPr>
        <w:t xml:space="preserve">11.5 Final recommendation</w:t>
      </w:r>
    </w:p>
    <w:tbl>
      <w:tblPr>
        <w:tblW w:type="dxa" w:w="9360"/>
        <w:tblBorders>
          <w:top w:val="single" w:color="E0A800" w:sz="6"/>
          <w:left w:val="single" w:color="E0A800" w:sz="6"/>
          <w:bottom w:val="single" w:color="E0A800" w:sz="6"/>
          <w:right w:val="single" w:color="E0A800" w:sz="6"/>
          <w:insideH w:val="none"/>
          <w:insideV w:val="none"/>
        </w:tblBorders>
      </w:tblPr>
      <w:tblGrid>
        <w:gridCol w:w="9360"/>
      </w:tblGrid>
      <w:tr>
        <w:tc>
          <w:tcPr>
            <w:tcW w:type="dxa" w:w="9360"/>
            <w:shd w:fill="EAF5EE" w:color="auto" w:val="clear"/>
            <w:tcMar>
              <w:top w:type="dxa" w:w="120"/>
              <w:left w:type="dxa" w:w="160"/>
              <w:bottom w:type="dxa" w:w="120"/>
              <w:right w:type="dxa" w:w="160"/>
            </w:tcMar>
          </w:tcPr>
          <w:p>
            <w:pPr>
              <w:spacing w:after="60"/>
            </w:pPr>
            <w:r>
              <w:rPr>
                <w:rFonts w:ascii="Calibri" w:cs="Calibri" w:eastAsia="Calibri" w:hAnsi="Calibri"/>
                <w:b/>
                <w:bCs/>
                <w:sz w:val="20"/>
                <w:szCs w:val="20"/>
              </w:rPr>
              <w:t xml:space="preserve">PROCEED WITH CONDITIONS</w:t>
            </w:r>
          </w:p>
          <w:p>
            <w:pPr>
              <w:spacing w:after="50" w:line="260"/>
            </w:pPr>
            <w:r>
              <w:rPr>
                <w:rFonts w:ascii="Calibri" w:cs="Calibri" w:eastAsia="Calibri" w:hAnsi="Calibri"/>
                <w:sz w:val="19"/>
                <w:szCs w:val="19"/>
              </w:rPr>
              <w:t xml:space="preserve">Proceed to Phase 1 discovery immediately — two weeks, minimal cost, and it resolves the questions that determine whether the rest of the plan is sound.</w:t>
            </w:r>
          </w:p>
          <w:p>
            <w:pPr>
              <w:spacing w:after="50" w:line="260"/>
            </w:pPr>
            <w:r>
              <w:rPr>
                <w:rFonts w:ascii="Calibri" w:cs="Calibri" w:eastAsia="Calibri" w:hAnsi="Calibri"/>
                <w:sz w:val="19"/>
                <w:szCs w:val="19"/>
              </w:rPr>
              <w:t xml:space="preserve">Condition 1 — Extraction proof of concept must show a material throughput gain over the manual baseline. If not, rescope to a source-capture-only console and re-plan the Phase 5 budget and timeline before proceeding.</w:t>
            </w:r>
          </w:p>
          <w:p>
            <w:pPr>
              <w:spacing w:after="50" w:line="260"/>
            </w:pPr>
            <w:r>
              <w:rPr>
                <w:rFonts w:ascii="Calibri" w:cs="Calibri" w:eastAsia="Calibri" w:hAnsi="Calibri"/>
                <w:sz w:val="19"/>
                <w:szCs w:val="19"/>
              </w:rPr>
              <w:t xml:space="preserve">Condition 2 — Legal review must clear both data sourcing and the de-identified outcome ledger. If the outcome ledger cannot be cleared, drop it from scope and revisit the "built on real student outcomes" positioning honestly. The brief's own rule applies: nothing gets claimed before it exists.</w:t>
            </w:r>
          </w:p>
          <w:p>
            <w:pPr>
              <w:spacing w:after="50" w:line="260"/>
            </w:pPr>
            <w:r>
              <w:rPr>
                <w:rFonts w:ascii="Calibri" w:cs="Calibri" w:eastAsia="Calibri" w:hAnsi="Calibri"/>
                <w:sz w:val="19"/>
                <w:szCs w:val="19"/>
              </w:rPr>
              <w:t xml:space="preserve">Condition 3 — The EPIF paper must yield an implementable specification. Where it is ambiguous, the founder resolves it and the resolution is versioned — the implementation must not quietly invent its own scoring, which the brief expressly forbids.</w:t>
            </w:r>
          </w:p>
          <w:p>
            <w:pPr>
              <w:spacing w:after="50" w:line="260"/>
            </w:pPr>
            <w:r>
              <w:rPr>
                <w:rFonts w:ascii="Calibri" w:cs="Calibri" w:eastAsia="Calibri" w:hAnsi="Calibri"/>
                <w:sz w:val="19"/>
                <w:szCs w:val="19"/>
              </w:rPr>
              <w:t xml:space="preserve">Condition 4 — Ground Truth must not displace the visible roadmap. It runs alongside Phases 1–2 and is time-boxed to roughly six weeks of build. If it slips materially beyond that, cut secondary features rather than extending; the MVP nine are what matter.</w:t>
            </w:r>
          </w:p>
          <w:p>
            <w:pPr>
              <w:spacing w:after="50" w:line="260"/>
            </w:pPr>
            <w:r>
              <w:rPr>
                <w:rFonts w:ascii="Calibri" w:cs="Calibri" w:eastAsia="Calibri" w:hAnsi="Calibri"/>
                <w:sz w:val="19"/>
                <w:szCs w:val="19"/>
              </w:rPr>
              <w:t xml:space="preserve">Condition 5 — Confirm team and budget before Phase 3. Every duration in this document assumes roughly one full-time engineer plus part-time data support. The brief states no headcount and no budget, so these estimates are provisional until it does.</w:t>
            </w:r>
          </w:p>
        </w:tc>
      </w:tr>
    </w:tbl>
    <w:p>
      <w:pPr>
        <w:spacing w:after="200"/>
      </w:pPr>
      <w:r>
        <w:rPr>
          <w:sz w:val="4"/>
          <w:szCs w:val="4"/>
        </w:rPr>
        <w:t xml:space="preserve"/>
      </w:r>
    </w:p>
    <w:p>
      <w:pPr>
        <w:pBdr>
          <w:top w:val="single" w:color="1F4E79" w:sz="6" w:space="8"/>
        </w:pBdr>
        <w:spacing w:before="240"/>
      </w:pPr>
      <w:r>
        <w:rPr>
          <w:sz w:val="4"/>
          <w:szCs w:val="4"/>
        </w:rPr>
        <w:t xml:space="preserve"/>
      </w:r>
    </w:p>
    <w:p>
      <w:pPr>
        <w:spacing w:after="120" w:before="0" w:line="276"/>
      </w:pPr>
      <w:r>
        <w:rPr>
          <w:rFonts w:ascii="Calibri" w:cs="Calibri" w:eastAsia="Calibri" w:hAnsi="Calibri"/>
          <w:i/>
          <w:iCs/>
          <w:color w:val="666666"/>
          <w:sz w:val="18"/>
          <w:szCs w:val="18"/>
        </w:rPr>
        <w:t xml:space="preserve">Prepared from 4Prep_AI_Roadmap_Brief.docx v1.0. Section 4 ("What Already Exists") was excluded from analysis by instruction. Items marked ASSUMPTION are inferences requiring confirmation and should not be treated as established facts about the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 Truth — Project Proposal &amp; Implementation Plan</dc:title>
  <dc:creator>4Prep.ai</dc:creator>
  <dc:description>Project proposal derived from the 4Prep.ai Roadmap &amp; Context Brief</dc:description>
  <cp:lastModifiedBy>Un-named</cp:lastModifiedBy>
  <cp:revision>1</cp:revision>
  <dcterms:created xsi:type="dcterms:W3CDTF">2026-07-22T04:35:04.348Z</dcterms:created>
  <dcterms:modified xsi:type="dcterms:W3CDTF">2026-07-22T04:35:04.349Z</dcterms:modified>
</cp:coreProperties>
</file>

<file path=docProps/custom.xml><?xml version="1.0" encoding="utf-8"?>
<Properties xmlns="http://schemas.openxmlformats.org/officeDocument/2006/custom-properties" xmlns:vt="http://schemas.openxmlformats.org/officeDocument/2006/docPropsVTypes"/>
</file>