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3A5C"/>
          <w:sz w:val="52"/>
          <w:szCs w:val="52"/>
        </w:rPr>
        <w:t xml:space="preserve">4PREP.AI</w:t>
      </w:r>
    </w:p>
    <w:p>
      <w:pPr>
        <w:spacing w:after="60"/>
      </w:pPr>
      <w:r>
        <w:rPr>
          <w:rFonts w:ascii="Calibri" w:cs="Calibri" w:eastAsia="Calibri" w:hAnsi="Calibri"/>
          <w:color w:val="0E7C7B"/>
          <w:sz w:val="30"/>
          <w:szCs w:val="30"/>
        </w:rPr>
        <w:t xml:space="preserve">Product Roadmap &amp; Context Brief</w:t>
      </w:r>
    </w:p>
    <w:p>
      <w:pPr>
        <w:spacing w:after="300"/>
      </w:pPr>
      <w:r>
        <w:rPr>
          <w:rFonts w:ascii="Calibri" w:cs="Calibri" w:eastAsia="Calibri" w:hAnsi="Calibri"/>
          <w:i/>
          <w:iCs/>
          <w:color w:val="555555"/>
          <w:sz w:val="20"/>
          <w:szCs w:val="20"/>
        </w:rPr>
        <w:t xml:space="preserve">Prepared by Abdiaziz Abdishukurov, Founder &amp; CEO — 4Prep Academy / 4Prep.ai  ·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DD" w:sz="2"/>
              <w:left w:val="single" w:color="BBCCDD" w:sz="2"/>
              <w:bottom w:val="single" w:color="BBCCDD" w:sz="2"/>
              <w:right w:val="single" w:color="BBCCDD" w:sz="2"/>
            </w:tcBorders>
            <w:shd w:fill="EEF4F8" w:val="clear"/>
            <w:tcMar>
              <w:top w:type="dxa" w:w="90"/>
              <w:left w:type="dxa" w:w="140"/>
              <w:bottom w:type="dxa" w:w="90"/>
              <w:right w:type="dxa" w:w="140"/>
            </w:tcMar>
          </w:tcPr>
          <w:p>
            <w:pPr>
              <w:spacing w:after="0" w:line="276"/>
            </w:pPr>
            <w:r>
              <w:rPr>
                <w:rFonts w:ascii="Calibri" w:cs="Calibri" w:eastAsia="Calibri" w:hAnsi="Calibri"/>
                <w:b/>
                <w:bCs/>
                <w:color w:val="1B3A5C"/>
                <w:sz w:val="22"/>
                <w:szCs w:val="22"/>
              </w:rPr>
              <w:t xml:space="preserve">Read this entire document before writing a single line of code or a single Lovable prompt. It explains WHAT we are building, WHY it exists, and the ORDER in which we build it. When in doubt, come back to this document.</w:t>
            </w:r>
          </w:p>
        </w:tc>
      </w:tr>
    </w:tbl>
    <w:p>
      <w:pPr>
        <w:spacing w:after="120"/>
      </w:pPr>
    </w:p>
    <w:p>
      <w:pPr>
        <w:pStyle w:val="Heading1"/>
        <w:spacing w:after="160" w:before="320"/>
      </w:pPr>
      <w:r>
        <w:rPr>
          <w:rFonts w:ascii="Calibri" w:cs="Calibri" w:eastAsia="Calibri" w:hAnsi="Calibri"/>
          <w:b/>
          <w:bCs/>
          <w:color w:val="1B3A5C"/>
          <w:sz w:val="30"/>
          <w:szCs w:val="30"/>
        </w:rPr>
        <w:t xml:space="preserve">1. Why This Project Exists</w:t>
      </w:r>
    </w:p>
    <w:p>
      <w:pPr>
        <w:spacing w:after="160" w:line="276"/>
      </w:pPr>
      <w:r>
        <w:rPr>
          <w:rFonts w:ascii="Calibri" w:cs="Calibri" w:eastAsia="Calibri" w:hAnsi="Calibri"/>
          <w:sz w:val="22"/>
          <w:szCs w:val="22"/>
        </w:rPr>
        <w:t xml:space="preserve">4Prep Academy has spent six years placing Central Asian students into US and European universities through hands-on consulting. That experience — thousands of real student cases, admission outcomes, scholarship results, and visa pathways — is data nobody else in this market has. 4Prep.ai is the product that turns that operator knowledge into software.</w:t>
      </w:r>
    </w:p>
    <w:p>
      <w:pPr>
        <w:spacing w:after="160" w:line="276"/>
      </w:pPr>
      <w:r>
        <w:rPr>
          <w:rFonts w:ascii="Calibri" w:cs="Calibri" w:eastAsia="Calibri" w:hAnsi="Calibri"/>
          <w:sz w:val="22"/>
          <w:szCs w:val="22"/>
        </w:rPr>
        <w:t xml:space="preserve">The positioning, which has already been established publicly, is this: 4Prep.ai is an AI-powered university admissions platform — think “Niche.com for Central Asian students, with an AI counselor built in.” A student enters their profile (grades, budget, English level, goals) and receives a personalized, ranked pathway: which universities fit, why, what scholarships exist, and what to do month by month.</w:t>
      </w:r>
    </w:p>
    <w:p>
      <w:pPr>
        <w:pStyle w:val="Heading2"/>
        <w:spacing w:after="120" w:before="240"/>
      </w:pPr>
      <w:r>
        <w:rPr>
          <w:rFonts w:ascii="Calibri" w:cs="Calibri" w:eastAsia="Calibri" w:hAnsi="Calibri"/>
          <w:b/>
          <w:bCs/>
          <w:color w:val="0E7C7B"/>
          <w:sz w:val="25"/>
          <w:szCs w:val="25"/>
        </w:rPr>
        <w:t xml:space="preserve">The public record this product must live up to</w:t>
      </w:r>
    </w:p>
    <w:p>
      <w:pPr>
        <w:spacing w:after="160" w:line="276"/>
      </w:pPr>
      <w:r>
        <w:rPr>
          <w:rFonts w:ascii="Calibri" w:cs="Calibri" w:eastAsia="Calibri" w:hAnsi="Calibri"/>
          <w:sz w:val="22"/>
          <w:szCs w:val="22"/>
        </w:rPr>
        <w:t xml:space="preserve">This product is not just an internal experiment. It is referenced in three places that define what it must be:</w:t>
      </w:r>
    </w:p>
    <w:p>
      <w:pPr>
        <w:pStyle w:val="ListParagraph"/>
        <w:numPr>
          <w:ilvl w:val="0"/>
          <w:numId w:val="2"/>
        </w:numPr>
        <w:spacing w:after="90" w:line="276"/>
      </w:pPr>
      <w:r>
        <w:rPr>
          <w:rFonts w:ascii="Calibri" w:cs="Calibri" w:eastAsia="Calibri" w:hAnsi="Calibri"/>
          <w:b w:val="false"/>
          <w:bCs w:val="false"/>
          <w:sz w:val="22"/>
          <w:szCs w:val="22"/>
        </w:rPr>
        <w:t xml:space="preserve">Published articles. Media pieces about Abdiaziz and 4Prep describe 4Prep.ai as “ChatGPT for university admissions, built on real student outcomes” — an admissions decision-support tool trained on six years of real 4Prep case data.</w:t>
      </w:r>
    </w:p>
    <w:p>
      <w:pPr>
        <w:pStyle w:val="ListParagraph"/>
        <w:numPr>
          <w:ilvl w:val="0"/>
          <w:numId w:val="2"/>
        </w:numPr>
        <w:spacing w:after="90" w:line="276"/>
      </w:pPr>
      <w:r>
        <w:rPr>
          <w:rFonts w:ascii="Calibri" w:cs="Calibri" w:eastAsia="Calibri" w:hAnsi="Calibri"/>
          <w:b w:val="false"/>
          <w:bCs w:val="false"/>
          <w:sz w:val="22"/>
          <w:szCs w:val="22"/>
        </w:rPr>
        <w:t xml:space="preserve">An academic paper. Abdiaziz has authored a conference paper on the Educational Pathway Intelligence Framework (EPIF) — the formal methodology behind the product. The paper defines a scoring model (Φ) that combines five components: Academic Fit, Financial Fit, Language Readiness, Career Alignment, and Geographic Alignment. 4Prep.ai is the working prototype that instantiates this framework.</w:t>
      </w:r>
    </w:p>
    <w:p>
      <w:pPr>
        <w:pStyle w:val="ListParagraph"/>
        <w:numPr>
          <w:ilvl w:val="0"/>
          <w:numId w:val="2"/>
        </w:numPr>
        <w:spacing w:after="90" w:line="276"/>
      </w:pPr>
      <w:r>
        <w:rPr>
          <w:rFonts w:ascii="Calibri" w:cs="Calibri" w:eastAsia="Calibri" w:hAnsi="Calibri"/>
          <w:b w:val="false"/>
          <w:bCs w:val="false"/>
          <w:sz w:val="22"/>
          <w:szCs w:val="22"/>
        </w:rPr>
        <w:t xml:space="preserve">Abdiaziz's professional record. As part of his extraordinary-ability immigration petition (EB-1A), 4Prep.ai stands as evidence of original contribution to the field of international education consulting and EdTech. This means the product must be REAL, functional, and demonstrable — working features, real data, real screenshots, real users. Nothing gets faked, padded, or claimed before it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DD" w:sz="2"/>
              <w:left w:val="single" w:color="BBCCDD" w:sz="2"/>
              <w:bottom w:val="single" w:color="BBCCDD" w:sz="2"/>
              <w:right w:val="single" w:color="BBCCDD" w:sz="2"/>
            </w:tcBorders>
            <w:shd w:fill="EEF4F8" w:val="clear"/>
            <w:tcMar>
              <w:top w:type="dxa" w:w="90"/>
              <w:left w:type="dxa" w:w="140"/>
              <w:bottom w:type="dxa" w:w="90"/>
              <w:right w:type="dxa" w:w="140"/>
            </w:tcMar>
          </w:tcPr>
          <w:p>
            <w:pPr>
              <w:spacing w:after="0" w:line="276"/>
            </w:pPr>
            <w:r>
              <w:rPr>
                <w:rFonts w:ascii="Calibri" w:cs="Calibri" w:eastAsia="Calibri" w:hAnsi="Calibri"/>
                <w:b/>
                <w:bCs/>
                <w:color w:val="1B3A5C"/>
                <w:sz w:val="22"/>
                <w:szCs w:val="22"/>
              </w:rPr>
              <w:t xml:space="preserve">Golden rule: everything we ship must match what has been publicly described — and everything publicly described must actually work. A real, modest product beats an impressive fake one every time.</w:t>
            </w:r>
          </w:p>
        </w:tc>
      </w:tr>
    </w:tbl>
    <w:p>
      <w:pPr>
        <w:spacing w:after="120"/>
      </w:pPr>
    </w:p>
    <w:p>
      <w:pPr>
        <w:pStyle w:val="Heading1"/>
        <w:spacing w:after="160" w:before="320"/>
      </w:pPr>
      <w:r>
        <w:rPr>
          <w:rFonts w:ascii="Calibri" w:cs="Calibri" w:eastAsia="Calibri" w:hAnsi="Calibri"/>
          <w:b/>
          <w:bCs/>
          <w:color w:val="1B3A5C"/>
          <w:sz w:val="30"/>
          <w:szCs w:val="30"/>
        </w:rPr>
        <w:t xml:space="preserve">2. The Product in One Sentence</w:t>
      </w:r>
    </w:p>
    <w:p>
      <w:pPr>
        <w:spacing w:after="160" w:line="276"/>
      </w:pPr>
      <w:r>
        <w:rPr>
          <w:rFonts w:ascii="Calibri" w:cs="Calibri" w:eastAsia="Calibri" w:hAnsi="Calibri"/>
          <w:sz w:val="22"/>
          <w:szCs w:val="22"/>
        </w:rPr>
        <w:t xml:space="preserve">A database of universities with a transparent scoring methodology, wrapped in an AI counselor that turns a student's profile into a personalized, ranked pathway.</w:t>
      </w:r>
    </w:p>
    <w:p>
      <w:pPr>
        <w:spacing w:after="160" w:line="276"/>
      </w:pPr>
      <w:r>
        <w:rPr>
          <w:rFonts w:ascii="Calibri" w:cs="Calibri" w:eastAsia="Calibri" w:hAnsi="Calibri"/>
          <w:sz w:val="22"/>
          <w:szCs w:val="22"/>
        </w:rPr>
        <w:t xml:space="preserve">Two references define the quality bar:</w:t>
      </w:r>
    </w:p>
    <w:p>
      <w:pPr>
        <w:pStyle w:val="ListParagraph"/>
        <w:numPr>
          <w:ilvl w:val="0"/>
          <w:numId w:val="2"/>
        </w:numPr>
        <w:spacing w:after="90" w:line="276"/>
      </w:pPr>
      <w:r>
        <w:rPr>
          <w:rFonts w:ascii="Calibri" w:cs="Calibri" w:eastAsia="Calibri" w:hAnsi="Calibri"/>
          <w:b w:val="false"/>
          <w:bCs w:val="false"/>
          <w:sz w:val="22"/>
          <w:szCs w:val="22"/>
        </w:rPr>
        <w:t xml:space="preserve">Niche.com — for search, filters, university profile pages, and comparison. Their strength is data depth plus a methodology students trust.</w:t>
      </w:r>
    </w:p>
    <w:p>
      <w:pPr>
        <w:pStyle w:val="ListParagraph"/>
        <w:numPr>
          <w:ilvl w:val="0"/>
          <w:numId w:val="2"/>
        </w:numPr>
        <w:spacing w:after="90" w:line="276"/>
      </w:pPr>
      <w:r>
        <w:rPr>
          <w:rFonts w:ascii="Calibri" w:cs="Calibri" w:eastAsia="Calibri" w:hAnsi="Calibri"/>
          <w:b w:val="false"/>
          <w:bCs w:val="false"/>
          <w:sz w:val="22"/>
          <w:szCs w:val="22"/>
        </w:rPr>
        <w:t xml:space="preserve">Notion AI — for how the AI is embedded. The AI works INSIDE the product on real user context and real database records, not as a generic chatbot bolted on the side.</w:t>
      </w:r>
    </w:p>
    <w:p>
      <w:pPr>
        <w:spacing w:after="160" w:line="276"/>
      </w:pPr>
      <w:r>
        <w:rPr>
          <w:rFonts w:ascii="Calibri" w:cs="Calibri" w:eastAsia="Calibri" w:hAnsi="Calibri"/>
          <w:sz w:val="22"/>
          <w:szCs w:val="22"/>
        </w:rPr>
        <w:t xml:space="preserve">We do not need 10,000 universities. We need roughly 300 universities that actually matter to Central Asian students — covered with a depth (scholarships, real admission difficulty, visa outcomes, costs) that nobody else offers this audience.</w:t>
      </w:r>
    </w:p>
    <w:p>
      <w:pPr>
        <w:pStyle w:val="Heading1"/>
        <w:spacing w:after="160" w:before="320"/>
      </w:pPr>
      <w:r>
        <w:rPr>
          <w:rFonts w:ascii="Calibri" w:cs="Calibri" w:eastAsia="Calibri" w:hAnsi="Calibri"/>
          <w:b/>
          <w:bCs/>
          <w:color w:val="1B3A5C"/>
          <w:sz w:val="30"/>
          <w:szCs w:val="30"/>
        </w:rPr>
        <w:t xml:space="preserve">3. The Four-Layer Architecture</w:t>
      </w:r>
    </w:p>
    <w:p>
      <w:pPr>
        <w:spacing w:after="160" w:line="276"/>
      </w:pPr>
      <w:r>
        <w:rPr>
          <w:rFonts w:ascii="Calibri" w:cs="Calibri" w:eastAsia="Calibri" w:hAnsi="Calibri"/>
          <w:sz w:val="22"/>
          <w:szCs w:val="22"/>
        </w:rPr>
        <w:t xml:space="preserve">Every task you receive maps to one of these four layers. When something feels broken, ask first: which layer is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c>
          <w:tcPr>
            <w:tcW w:type="dxa" w:w="1100"/>
            <w:tcBorders>
              <w:top w:val="single" w:color="BBCCDD" w:sz="2"/>
              <w:left w:val="single" w:color="BBCCDD" w:sz="2"/>
              <w:bottom w:val="single" w:color="BBCCDD" w:sz="2"/>
              <w:right w:val="single" w:color="BBCCDD" w:sz="2"/>
            </w:tcBorders>
            <w:shd w:fill="1B3A5C" w:val="clear"/>
            <w:tcMar>
              <w:top w:type="dxa" w:w="90"/>
              <w:left w:type="dxa" w:w="140"/>
              <w:bottom w:type="dxa" w:w="90"/>
              <w:right w:type="dxa" w:w="140"/>
            </w:tcMar>
          </w:tcPr>
          <w:p>
            <w:pPr>
              <w:spacing w:after="0" w:line="260"/>
            </w:pPr>
            <w:r>
              <w:rPr>
                <w:rFonts w:ascii="Calibri" w:cs="Calibri" w:eastAsia="Calibri" w:hAnsi="Calibri"/>
                <w:b/>
                <w:bCs/>
                <w:color w:val="FFFFFF"/>
                <w:sz w:val="20"/>
                <w:szCs w:val="20"/>
              </w:rPr>
              <w:t xml:space="preserve">Layer</w:t>
            </w:r>
          </w:p>
        </w:tc>
        <w:tc>
          <w:tcPr>
            <w:tcW w:type="dxa" w:w="2400"/>
            <w:tcBorders>
              <w:top w:val="single" w:color="BBCCDD" w:sz="2"/>
              <w:left w:val="single" w:color="BBCCDD" w:sz="2"/>
              <w:bottom w:val="single" w:color="BBCCDD" w:sz="2"/>
              <w:right w:val="single" w:color="BBCCDD" w:sz="2"/>
            </w:tcBorders>
            <w:shd w:fill="1B3A5C" w:val="clear"/>
            <w:tcMar>
              <w:top w:type="dxa" w:w="90"/>
              <w:left w:type="dxa" w:w="140"/>
              <w:bottom w:type="dxa" w:w="90"/>
              <w:right w:type="dxa" w:w="140"/>
            </w:tcMar>
          </w:tcPr>
          <w:p>
            <w:pPr>
              <w:spacing w:after="0" w:line="260"/>
            </w:pPr>
            <w:r>
              <w:rPr>
                <w:rFonts w:ascii="Calibri" w:cs="Calibri" w:eastAsia="Calibri" w:hAnsi="Calibri"/>
                <w:b/>
                <w:bCs/>
                <w:color w:val="FFFFFF"/>
                <w:sz w:val="20"/>
                <w:szCs w:val="20"/>
              </w:rPr>
              <w:t xml:space="preserve">Name</w:t>
            </w:r>
          </w:p>
        </w:tc>
        <w:tc>
          <w:tcPr>
            <w:tcW w:type="dxa" w:w="5860"/>
            <w:tcBorders>
              <w:top w:val="single" w:color="BBCCDD" w:sz="2"/>
              <w:left w:val="single" w:color="BBCCDD" w:sz="2"/>
              <w:bottom w:val="single" w:color="BBCCDD" w:sz="2"/>
              <w:right w:val="single" w:color="BBCCDD" w:sz="2"/>
            </w:tcBorders>
            <w:shd w:fill="1B3A5C" w:val="clear"/>
            <w:tcMar>
              <w:top w:type="dxa" w:w="90"/>
              <w:left w:type="dxa" w:w="140"/>
              <w:bottom w:type="dxa" w:w="90"/>
              <w:right w:type="dxa" w:w="140"/>
            </w:tcMar>
          </w:tcPr>
          <w:p>
            <w:pPr>
              <w:spacing w:after="0" w:line="260"/>
            </w:pPr>
            <w:r>
              <w:rPr>
                <w:rFonts w:ascii="Calibri" w:cs="Calibri" w:eastAsia="Calibri" w:hAnsi="Calibri"/>
                <w:b/>
                <w:bCs/>
                <w:color w:val="FFFFFF"/>
                <w:sz w:val="20"/>
                <w:szCs w:val="20"/>
              </w:rPr>
              <w:t xml:space="preserve">What it is</w:t>
            </w:r>
          </w:p>
        </w:tc>
      </w:tr>
      <w:tr>
        <w:tc>
          <w:tcPr>
            <w:tcW w:type="dxa" w:w="1100"/>
            <w:tcBorders>
              <w:top w:val="single" w:color="BBCCDD" w:sz="2"/>
              <w:left w:val="single" w:color="BBCCDD" w:sz="2"/>
              <w:bottom w:val="single" w:color="BBCCDD" w:sz="2"/>
              <w:right w:val="single" w:color="BBCCDD" w:sz="2"/>
            </w:tcBorders>
            <w:tcMar>
              <w:top w:type="dxa" w:w="90"/>
              <w:left w:type="dxa" w:w="140"/>
              <w:bottom w:type="dxa" w:w="90"/>
              <w:right w:type="dxa" w:w="140"/>
            </w:tcMar>
          </w:tcPr>
          <w:p>
            <w:pPr>
              <w:spacing w:after="0" w:line="260"/>
            </w:pPr>
            <w:r>
              <w:rPr>
                <w:rFonts w:ascii="Calibri" w:cs="Calibri" w:eastAsia="Calibri" w:hAnsi="Calibri"/>
                <w:b w:val="false"/>
                <w:bCs w:val="false"/>
                <w:color w:val="000000"/>
                <w:sz w:val="20"/>
                <w:szCs w:val="20"/>
              </w:rPr>
              <w:t xml:space="preserve">1</w:t>
            </w:r>
          </w:p>
        </w:tc>
        <w:tc>
          <w:tcPr>
            <w:tcW w:type="dxa" w:w="2400"/>
            <w:tcBorders>
              <w:top w:val="single" w:color="BBCCDD" w:sz="2"/>
              <w:left w:val="single" w:color="BBCCDD" w:sz="2"/>
              <w:bottom w:val="single" w:color="BBCCDD" w:sz="2"/>
              <w:right w:val="single" w:color="BBCCDD" w:sz="2"/>
            </w:tcBorders>
            <w:tcMar>
              <w:top w:type="dxa" w:w="90"/>
              <w:left w:type="dxa" w:w="140"/>
              <w:bottom w:type="dxa" w:w="90"/>
              <w:right w:type="dxa" w:w="140"/>
            </w:tcMar>
          </w:tcPr>
          <w:p>
            <w:pPr>
              <w:spacing w:after="0" w:line="260"/>
            </w:pPr>
            <w:r>
              <w:rPr>
                <w:rFonts w:ascii="Calibri" w:cs="Calibri" w:eastAsia="Calibri" w:hAnsi="Calibri"/>
                <w:b w:val="false"/>
                <w:bCs w:val="false"/>
                <w:color w:val="000000"/>
                <w:sz w:val="20"/>
                <w:szCs w:val="20"/>
              </w:rPr>
              <w:t xml:space="preserve">Data (Supabase)</w:t>
            </w:r>
          </w:p>
        </w:tc>
        <w:tc>
          <w:tcPr>
            <w:tcW w:type="dxa" w:w="5860"/>
            <w:tcBorders>
              <w:top w:val="single" w:color="BBCCDD" w:sz="2"/>
              <w:left w:val="single" w:color="BBCCDD" w:sz="2"/>
              <w:bottom w:val="single" w:color="BBCCDD" w:sz="2"/>
              <w:right w:val="single" w:color="BBCCDD" w:sz="2"/>
            </w:tcBorders>
            <w:tcMar>
              <w:top w:type="dxa" w:w="90"/>
              <w:left w:type="dxa" w:w="140"/>
              <w:bottom w:type="dxa" w:w="90"/>
              <w:right w:type="dxa" w:w="140"/>
            </w:tcMar>
          </w:tcPr>
          <w:p>
            <w:pPr>
              <w:spacing w:after="0" w:line="260"/>
            </w:pPr>
            <w:r>
              <w:rPr>
                <w:rFonts w:ascii="Calibri" w:cs="Calibri" w:eastAsia="Calibri" w:hAnsi="Calibri"/>
                <w:b w:val="false"/>
                <w:bCs w:val="false"/>
                <w:color w:val="000000"/>
                <w:sz w:val="20"/>
                <w:szCs w:val="20"/>
              </w:rPr>
              <w:t xml:space="preserve">The university database: programs, tuition, scholarships, admission requirements, deadlines, locations. The foundation. If this layer is thin, the AI hallucinates and the whole product feels fake.</w:t>
            </w:r>
          </w:p>
        </w:tc>
      </w:tr>
      <w:tr>
        <w:tc>
          <w:tcPr>
            <w:tcW w:type="dxa" w:w="1100"/>
            <w:tcBorders>
              <w:top w:val="single" w:color="BBCCDD" w:sz="2"/>
              <w:left w:val="single" w:color="BBCCDD" w:sz="2"/>
              <w:bottom w:val="single" w:color="BBCCDD" w:sz="2"/>
              <w:right w:val="single" w:color="BBCCDD" w:sz="2"/>
            </w:tcBorders>
            <w:tcMar>
              <w:top w:type="dxa" w:w="90"/>
              <w:left w:type="dxa" w:w="140"/>
              <w:bottom w:type="dxa" w:w="90"/>
              <w:right w:type="dxa" w:w="140"/>
            </w:tcMar>
          </w:tcPr>
          <w:p>
            <w:pPr>
              <w:spacing w:after="0" w:line="260"/>
            </w:pPr>
            <w:r>
              <w:rPr>
                <w:rFonts w:ascii="Calibri" w:cs="Calibri" w:eastAsia="Calibri" w:hAnsi="Calibri"/>
                <w:b w:val="false"/>
                <w:bCs w:val="false"/>
                <w:color w:val="000000"/>
                <w:sz w:val="20"/>
                <w:szCs w:val="20"/>
              </w:rPr>
              <w:t xml:space="preserve">2</w:t>
            </w:r>
          </w:p>
        </w:tc>
        <w:tc>
          <w:tcPr>
            <w:tcW w:type="dxa" w:w="2400"/>
            <w:tcBorders>
              <w:top w:val="single" w:color="BBCCDD" w:sz="2"/>
              <w:left w:val="single" w:color="BBCCDD" w:sz="2"/>
              <w:bottom w:val="single" w:color="BBCCDD" w:sz="2"/>
              <w:right w:val="single" w:color="BBCCDD" w:sz="2"/>
            </w:tcBorders>
            <w:tcMar>
              <w:top w:type="dxa" w:w="90"/>
              <w:left w:type="dxa" w:w="140"/>
              <w:bottom w:type="dxa" w:w="90"/>
              <w:right w:type="dxa" w:w="140"/>
            </w:tcMar>
          </w:tcPr>
          <w:p>
            <w:pPr>
              <w:spacing w:after="0" w:line="260"/>
            </w:pPr>
            <w:r>
              <w:rPr>
                <w:rFonts w:ascii="Calibri" w:cs="Calibri" w:eastAsia="Calibri" w:hAnsi="Calibri"/>
                <w:b w:val="false"/>
                <w:bCs w:val="false"/>
                <w:color w:val="000000"/>
                <w:sz w:val="20"/>
                <w:szCs w:val="20"/>
              </w:rPr>
              <w:t xml:space="preserve">Methodology (EPIF)</w:t>
            </w:r>
          </w:p>
        </w:tc>
        <w:tc>
          <w:tcPr>
            <w:tcW w:type="dxa" w:w="5860"/>
            <w:tcBorders>
              <w:top w:val="single" w:color="BBCCDD" w:sz="2"/>
              <w:left w:val="single" w:color="BBCCDD" w:sz="2"/>
              <w:bottom w:val="single" w:color="BBCCDD" w:sz="2"/>
              <w:right w:val="single" w:color="BBCCDD" w:sz="2"/>
            </w:tcBorders>
            <w:tcMar>
              <w:top w:type="dxa" w:w="90"/>
              <w:left w:type="dxa" w:w="140"/>
              <w:bottom w:type="dxa" w:w="90"/>
              <w:right w:type="dxa" w:w="140"/>
            </w:tcMar>
          </w:tcPr>
          <w:p>
            <w:pPr>
              <w:spacing w:after="0" w:line="260"/>
            </w:pPr>
            <w:r>
              <w:rPr>
                <w:rFonts w:ascii="Calibri" w:cs="Calibri" w:eastAsia="Calibri" w:hAnsi="Calibri"/>
                <w:b w:val="false"/>
                <w:bCs w:val="false"/>
                <w:color w:val="000000"/>
                <w:sz w:val="20"/>
                <w:szCs w:val="20"/>
              </w:rPr>
              <w:t xml:space="preserve">The scoring rubric. The EPIF Φ score converts raw university data + a student profile into a defensible fit score across five components (academic, financial, language, career, geographic). This is what makes recommendations trustworthy — our 'Princeton Review method.'</w:t>
            </w:r>
          </w:p>
        </w:tc>
      </w:tr>
      <w:tr>
        <w:tc>
          <w:tcPr>
            <w:tcW w:type="dxa" w:w="1100"/>
            <w:tcBorders>
              <w:top w:val="single" w:color="BBCCDD" w:sz="2"/>
              <w:left w:val="single" w:color="BBCCDD" w:sz="2"/>
              <w:bottom w:val="single" w:color="BBCCDD" w:sz="2"/>
              <w:right w:val="single" w:color="BBCCDD" w:sz="2"/>
            </w:tcBorders>
            <w:tcMar>
              <w:top w:type="dxa" w:w="90"/>
              <w:left w:type="dxa" w:w="140"/>
              <w:bottom w:type="dxa" w:w="90"/>
              <w:right w:type="dxa" w:w="140"/>
            </w:tcMar>
          </w:tcPr>
          <w:p>
            <w:pPr>
              <w:spacing w:after="0" w:line="260"/>
            </w:pPr>
            <w:r>
              <w:rPr>
                <w:rFonts w:ascii="Calibri" w:cs="Calibri" w:eastAsia="Calibri" w:hAnsi="Calibri"/>
                <w:b w:val="false"/>
                <w:bCs w:val="false"/>
                <w:color w:val="000000"/>
                <w:sz w:val="20"/>
                <w:szCs w:val="20"/>
              </w:rPr>
              <w:t xml:space="preserve">3</w:t>
            </w:r>
          </w:p>
        </w:tc>
        <w:tc>
          <w:tcPr>
            <w:tcW w:type="dxa" w:w="2400"/>
            <w:tcBorders>
              <w:top w:val="single" w:color="BBCCDD" w:sz="2"/>
              <w:left w:val="single" w:color="BBCCDD" w:sz="2"/>
              <w:bottom w:val="single" w:color="BBCCDD" w:sz="2"/>
              <w:right w:val="single" w:color="BBCCDD" w:sz="2"/>
            </w:tcBorders>
            <w:tcMar>
              <w:top w:type="dxa" w:w="90"/>
              <w:left w:type="dxa" w:w="140"/>
              <w:bottom w:type="dxa" w:w="90"/>
              <w:right w:type="dxa" w:w="140"/>
            </w:tcMar>
          </w:tcPr>
          <w:p>
            <w:pPr>
              <w:spacing w:after="0" w:line="260"/>
            </w:pPr>
            <w:r>
              <w:rPr>
                <w:rFonts w:ascii="Calibri" w:cs="Calibri" w:eastAsia="Calibri" w:hAnsi="Calibri"/>
                <w:b w:val="false"/>
                <w:bCs w:val="false"/>
                <w:color w:val="000000"/>
                <w:sz w:val="20"/>
                <w:szCs w:val="20"/>
              </w:rPr>
              <w:t xml:space="preserve">Search &amp; Browse (UI)</w:t>
            </w:r>
          </w:p>
        </w:tc>
        <w:tc>
          <w:tcPr>
            <w:tcW w:type="dxa" w:w="5860"/>
            <w:tcBorders>
              <w:top w:val="single" w:color="BBCCDD" w:sz="2"/>
              <w:left w:val="single" w:color="BBCCDD" w:sz="2"/>
              <w:bottom w:val="single" w:color="BBCCDD" w:sz="2"/>
              <w:right w:val="single" w:color="BBCCDD" w:sz="2"/>
            </w:tcBorders>
            <w:tcMar>
              <w:top w:type="dxa" w:w="90"/>
              <w:left w:type="dxa" w:w="140"/>
              <w:bottom w:type="dxa" w:w="90"/>
              <w:right w:type="dxa" w:w="140"/>
            </w:tcMar>
          </w:tcPr>
          <w:p>
            <w:pPr>
              <w:spacing w:after="0" w:line="260"/>
            </w:pPr>
            <w:r>
              <w:rPr>
                <w:rFonts w:ascii="Calibri" w:cs="Calibri" w:eastAsia="Calibri" w:hAnsi="Calibri"/>
                <w:b w:val="false"/>
                <w:bCs w:val="false"/>
                <w:color w:val="000000"/>
                <w:sz w:val="20"/>
                <w:szCs w:val="20"/>
              </w:rPr>
              <w:t xml:space="preserve">The Niche.com-style interface: search, filters, university profile pages, side-by-side comparison. Built in Lovable on top of the Supabase database.</w:t>
            </w:r>
          </w:p>
        </w:tc>
      </w:tr>
      <w:tr>
        <w:tc>
          <w:tcPr>
            <w:tcW w:type="dxa" w:w="1100"/>
            <w:tcBorders>
              <w:top w:val="single" w:color="BBCCDD" w:sz="2"/>
              <w:left w:val="single" w:color="BBCCDD" w:sz="2"/>
              <w:bottom w:val="single" w:color="BBCCDD" w:sz="2"/>
              <w:right w:val="single" w:color="BBCCDD" w:sz="2"/>
            </w:tcBorders>
            <w:tcMar>
              <w:top w:type="dxa" w:w="90"/>
              <w:left w:type="dxa" w:w="140"/>
              <w:bottom w:type="dxa" w:w="90"/>
              <w:right w:type="dxa" w:w="140"/>
            </w:tcMar>
          </w:tcPr>
          <w:p>
            <w:pPr>
              <w:spacing w:after="0" w:line="260"/>
            </w:pPr>
            <w:r>
              <w:rPr>
                <w:rFonts w:ascii="Calibri" w:cs="Calibri" w:eastAsia="Calibri" w:hAnsi="Calibri"/>
                <w:b w:val="false"/>
                <w:bCs w:val="false"/>
                <w:color w:val="000000"/>
                <w:sz w:val="20"/>
                <w:szCs w:val="20"/>
              </w:rPr>
              <w:t xml:space="preserve">4</w:t>
            </w:r>
          </w:p>
        </w:tc>
        <w:tc>
          <w:tcPr>
            <w:tcW w:type="dxa" w:w="2400"/>
            <w:tcBorders>
              <w:top w:val="single" w:color="BBCCDD" w:sz="2"/>
              <w:left w:val="single" w:color="BBCCDD" w:sz="2"/>
              <w:bottom w:val="single" w:color="BBCCDD" w:sz="2"/>
              <w:right w:val="single" w:color="BBCCDD" w:sz="2"/>
            </w:tcBorders>
            <w:tcMar>
              <w:top w:type="dxa" w:w="90"/>
              <w:left w:type="dxa" w:w="140"/>
              <w:bottom w:type="dxa" w:w="90"/>
              <w:right w:type="dxa" w:w="140"/>
            </w:tcMar>
          </w:tcPr>
          <w:p>
            <w:pPr>
              <w:spacing w:after="0" w:line="260"/>
            </w:pPr>
            <w:r>
              <w:rPr>
                <w:rFonts w:ascii="Calibri" w:cs="Calibri" w:eastAsia="Calibri" w:hAnsi="Calibri"/>
                <w:b w:val="false"/>
                <w:bCs w:val="false"/>
                <w:color w:val="000000"/>
                <w:sz w:val="20"/>
                <w:szCs w:val="20"/>
              </w:rPr>
              <w:t xml:space="preserve">AI Orchestration (Claude API)</w:t>
            </w:r>
          </w:p>
        </w:tc>
        <w:tc>
          <w:tcPr>
            <w:tcW w:type="dxa" w:w="5860"/>
            <w:tcBorders>
              <w:top w:val="single" w:color="BBCCDD" w:sz="2"/>
              <w:left w:val="single" w:color="BBCCDD" w:sz="2"/>
              <w:bottom w:val="single" w:color="BBCCDD" w:sz="2"/>
              <w:right w:val="single" w:color="BBCCDD" w:sz="2"/>
            </w:tcBorders>
            <w:tcMar>
              <w:top w:type="dxa" w:w="90"/>
              <w:left w:type="dxa" w:w="140"/>
              <w:bottom w:type="dxa" w:w="90"/>
              <w:right w:type="dxa" w:w="140"/>
            </w:tcMar>
          </w:tcPr>
          <w:p>
            <w:pPr>
              <w:spacing w:after="0" w:line="260"/>
            </w:pPr>
            <w:r>
              <w:rPr>
                <w:rFonts w:ascii="Calibri" w:cs="Calibri" w:eastAsia="Calibri" w:hAnsi="Calibri"/>
                <w:b w:val="false"/>
                <w:bCs w:val="false"/>
                <w:color w:val="000000"/>
                <w:sz w:val="20"/>
                <w:szCs w:val="20"/>
              </w:rPr>
              <w:t xml:space="preserve">The AI counselor. Claude receives the student profile + database query results + the EPIF methodology, and returns structured pathway recommendations. Prompt engineering here is our moat.</w:t>
            </w:r>
          </w:p>
        </w:tc>
      </w:tr>
    </w:tbl>
    <w:p>
      <w:pPr>
        <w:spacing w:after="120"/>
      </w:pPr>
    </w:p>
    <w:p>
      <w:pPr>
        <w:spacing w:after="160" w:line="276"/>
      </w:pPr>
      <w:r>
        <w:rPr>
          <w:rFonts w:ascii="Calibri" w:cs="Calibri" w:eastAsia="Calibri" w:hAnsi="Calibri"/>
          <w:sz w:val="22"/>
          <w:szCs w:val="22"/>
        </w:rPr>
        <w:t xml:space="preserve">Diagnostic shortcut: most problems are Layer 1 (not enough real data) or Layer 4 (prompts not structured well). Layer 2 is conceptual work already defined in the EPIF paper. Layer 3 is UI that Lovable iterates on quickly.</w:t>
      </w:r>
    </w:p>
    <w:p>
      <w:pPr>
        <w:pStyle w:val="Heading1"/>
        <w:spacing w:after="160" w:before="320"/>
      </w:pPr>
      <w:r>
        <w:rPr>
          <w:rFonts w:ascii="Calibri" w:cs="Calibri" w:eastAsia="Calibri" w:hAnsi="Calibri"/>
          <w:b/>
          <w:bCs/>
          <w:color w:val="1B3A5C"/>
          <w:sz w:val="30"/>
          <w:szCs w:val="30"/>
        </w:rPr>
        <w:t xml:space="preserve">4. What Already Exists</w:t>
      </w:r>
    </w:p>
    <w:p>
      <w:pPr>
        <w:pStyle w:val="ListParagraph"/>
        <w:numPr>
          <w:ilvl w:val="0"/>
          <w:numId w:val="2"/>
        </w:numPr>
        <w:spacing w:after="90" w:line="276"/>
      </w:pPr>
      <w:r>
        <w:rPr>
          <w:rFonts w:ascii="Calibri" w:cs="Calibri" w:eastAsia="Calibri" w:hAnsi="Calibri"/>
          <w:b w:val="false"/>
          <w:bCs w:val="false"/>
          <w:sz w:val="22"/>
          <w:szCs w:val="22"/>
        </w:rPr>
        <w:t xml:space="preserve">Domain: 4prep.ai (purchased on Namecheap, DNS managed via Hostinger). Marketing site lives at 4prep.ai; the product app lives at app.4prep.ai.</w:t>
      </w:r>
    </w:p>
    <w:p>
      <w:pPr>
        <w:pStyle w:val="ListParagraph"/>
        <w:numPr>
          <w:ilvl w:val="0"/>
          <w:numId w:val="2"/>
        </w:numPr>
        <w:spacing w:after="90" w:line="276"/>
      </w:pPr>
      <w:r>
        <w:rPr>
          <w:rFonts w:ascii="Calibri" w:cs="Calibri" w:eastAsia="Calibri" w:hAnsi="Calibri"/>
          <w:b w:val="false"/>
          <w:bCs w:val="false"/>
          <w:sz w:val="22"/>
          <w:szCs w:val="22"/>
        </w:rPr>
        <w:t xml:space="preserve">Lovable project: the product app (search + AI flow) is being built in Lovable, connected to Supabase.</w:t>
      </w:r>
    </w:p>
    <w:p>
      <w:pPr>
        <w:pStyle w:val="ListParagraph"/>
        <w:numPr>
          <w:ilvl w:val="0"/>
          <w:numId w:val="2"/>
        </w:numPr>
        <w:spacing w:after="90" w:line="276"/>
      </w:pPr>
      <w:r>
        <w:rPr>
          <w:rFonts w:ascii="Calibri" w:cs="Calibri" w:eastAsia="Calibri" w:hAnsi="Calibri"/>
          <w:b w:val="false"/>
          <w:bCs w:val="false"/>
          <w:sz w:val="22"/>
          <w:szCs w:val="22"/>
        </w:rPr>
        <w:t xml:space="preserve">Site architecture decision: marketing site (4prep.ai) is separate from the product (app.4prep.ai). Marketing polish may be rebuilt in Framer; the app stays in Lovable.</w:t>
      </w:r>
    </w:p>
    <w:p>
      <w:pPr>
        <w:pStyle w:val="ListParagraph"/>
        <w:numPr>
          <w:ilvl w:val="0"/>
          <w:numId w:val="2"/>
        </w:numPr>
        <w:spacing w:after="90" w:line="276"/>
      </w:pPr>
      <w:r>
        <w:rPr>
          <w:rFonts w:ascii="Calibri" w:cs="Calibri" w:eastAsia="Calibri" w:hAnsi="Calibri"/>
          <w:b w:val="false"/>
          <w:bCs w:val="false"/>
          <w:sz w:val="22"/>
          <w:szCs w:val="22"/>
        </w:rPr>
        <w:t xml:space="preserve">EPIF methodology: the scoring model with equations is fully written in the academic paper — use it as the spec for Layer 2. Do not invent a new scoring system.</w:t>
      </w:r>
    </w:p>
    <w:p>
      <w:pPr>
        <w:pStyle w:val="ListParagraph"/>
        <w:numPr>
          <w:ilvl w:val="0"/>
          <w:numId w:val="2"/>
        </w:numPr>
        <w:spacing w:after="90" w:line="276"/>
      </w:pPr>
      <w:r>
        <w:rPr>
          <w:rFonts w:ascii="Calibri" w:cs="Calibri" w:eastAsia="Calibri" w:hAnsi="Calibri"/>
          <w:b w:val="false"/>
          <w:bCs w:val="false"/>
          <w:sz w:val="22"/>
          <w:szCs w:val="22"/>
        </w:rPr>
        <w:t xml:space="preserve">Separate project — do not confuse them: the private Student Portal (Next.js, Prisma, PostgreSQL, Pusher, S3) for ENROLLED 4Prep students (homework, documents, chat, pipeline tracking) is a different codebase, planned for portal.4prep.ai. 4Prep.ai is the PUBLIC product for anyone.</w:t>
      </w:r>
    </w:p>
    <w:p>
      <w:pPr>
        <w:pStyle w:val="ListParagraph"/>
        <w:numPr>
          <w:ilvl w:val="0"/>
          <w:numId w:val="2"/>
        </w:numPr>
        <w:spacing w:after="90" w:line="276"/>
      </w:pPr>
      <w:r>
        <w:rPr>
          <w:rFonts w:ascii="Calibri" w:cs="Calibri" w:eastAsia="Calibri" w:hAnsi="Calibri"/>
          <w:b w:val="false"/>
          <w:bCs w:val="false"/>
          <w:sz w:val="22"/>
          <w:szCs w:val="22"/>
        </w:rPr>
        <w:t xml:space="preserve">Operator data: six years of real 4Prep case knowledge (which universities admit which profiles, scholarship outcomes, visa pathways). This gets encoded into the database and the AI prompts — it is our unfair advantage.</w:t>
      </w:r>
    </w:p>
    <w:p>
      <w:pPr>
        <w:pStyle w:val="Heading1"/>
        <w:spacing w:after="160" w:before="320"/>
      </w:pPr>
      <w:r>
        <w:rPr>
          <w:rFonts w:ascii="Calibri" w:cs="Calibri" w:eastAsia="Calibri" w:hAnsi="Calibri"/>
          <w:b/>
          <w:bCs/>
          <w:color w:val="1B3A5C"/>
          <w:sz w:val="30"/>
          <w:szCs w:val="30"/>
        </w:rPr>
        <w:t xml:space="preserve">5. The Roadmap — Four Phases</w:t>
      </w:r>
    </w:p>
    <w:p>
      <w:pPr>
        <w:pStyle w:val="Heading2"/>
        <w:spacing w:after="120" w:before="240"/>
      </w:pPr>
      <w:r>
        <w:rPr>
          <w:rFonts w:ascii="Calibri" w:cs="Calibri" w:eastAsia="Calibri" w:hAnsi="Calibri"/>
          <w:b/>
          <w:bCs/>
          <w:color w:val="0E7C7B"/>
          <w:sz w:val="25"/>
          <w:szCs w:val="25"/>
        </w:rPr>
        <w:t xml:space="preserve">Phase 1 — Perception &amp; Foundation</w:t>
      </w:r>
    </w:p>
    <w:p>
      <w:pPr>
        <w:spacing w:after="160" w:line="276"/>
      </w:pPr>
      <w:r>
        <w:rPr>
          <w:rFonts w:ascii="Calibri" w:cs="Calibri" w:eastAsia="Calibri" w:hAnsi="Calibri"/>
          <w:sz w:val="22"/>
          <w:szCs w:val="22"/>
        </w:rPr>
        <w:t xml:space="preserve">Goal: a visitor landing on 4prep.ai immediately trusts the product, and the technical foundation is in place.</w:t>
      </w:r>
    </w:p>
    <w:p>
      <w:pPr>
        <w:pStyle w:val="ListParagraph"/>
        <w:numPr>
          <w:ilvl w:val="0"/>
          <w:numId w:val="2"/>
        </w:numPr>
        <w:spacing w:after="90" w:line="276"/>
      </w:pPr>
      <w:r>
        <w:rPr>
          <w:rFonts w:ascii="Calibri" w:cs="Calibri" w:eastAsia="Calibri" w:hAnsi="Calibri"/>
          <w:b w:val="false"/>
          <w:bCs w:val="false"/>
          <w:sz w:val="22"/>
          <w:szCs w:val="22"/>
        </w:rPr>
        <w:t xml:space="preserve">Polish the marketing landing page (4prep.ai): infrastructure-grade copy (“pathway intelligence,” not “we help students”), trust signals (students served, countries, scholarship totals), preview of the AI dashboard.</w:t>
      </w:r>
    </w:p>
    <w:p>
      <w:pPr>
        <w:pStyle w:val="ListParagraph"/>
        <w:numPr>
          <w:ilvl w:val="0"/>
          <w:numId w:val="2"/>
        </w:numPr>
        <w:spacing w:after="90" w:line="276"/>
      </w:pPr>
      <w:r>
        <w:rPr>
          <w:rFonts w:ascii="Calibri" w:cs="Calibri" w:eastAsia="Calibri" w:hAnsi="Calibri"/>
          <w:b w:val="false"/>
          <w:bCs w:val="false"/>
          <w:sz w:val="22"/>
          <w:szCs w:val="22"/>
        </w:rPr>
        <w:t xml:space="preserve">Confirm domain wiring: 4prep.ai → marketing, app.4prep.ai → Lovable product.</w:t>
      </w:r>
    </w:p>
    <w:p>
      <w:pPr>
        <w:pStyle w:val="ListParagraph"/>
        <w:numPr>
          <w:ilvl w:val="0"/>
          <w:numId w:val="2"/>
        </w:numPr>
        <w:spacing w:after="90" w:line="276"/>
      </w:pPr>
      <w:r>
        <w:rPr>
          <w:rFonts w:ascii="Calibri" w:cs="Calibri" w:eastAsia="Calibri" w:hAnsi="Calibri"/>
          <w:b w:val="false"/>
          <w:bCs w:val="false"/>
          <w:sz w:val="22"/>
          <w:szCs w:val="22"/>
        </w:rPr>
        <w:t xml:space="preserve">Set up the Supabase schema for universities, programs, and scholarships (Layer 1 skeleton).</w:t>
      </w:r>
    </w:p>
    <w:p>
      <w:pPr>
        <w:spacing w:after="160" w:line="276"/>
      </w:pPr>
      <w:r>
        <w:rPr>
          <w:rFonts w:ascii="Calibri" w:cs="Calibri" w:eastAsia="Calibri" w:hAnsi="Calibri"/>
          <w:sz w:val="22"/>
          <w:szCs w:val="22"/>
        </w:rPr>
        <w:t xml:space="preserve">Done when: the landing page looks credible on mobile and desktop, and the empty database schema is live and documented.</w:t>
      </w:r>
    </w:p>
    <w:p>
      <w:pPr>
        <w:pStyle w:val="Heading2"/>
        <w:spacing w:after="120" w:before="240"/>
      </w:pPr>
      <w:r>
        <w:rPr>
          <w:rFonts w:ascii="Calibri" w:cs="Calibri" w:eastAsia="Calibri" w:hAnsi="Calibri"/>
          <w:b/>
          <w:bCs/>
          <w:color w:val="0E7C7B"/>
          <w:sz w:val="25"/>
          <w:szCs w:val="25"/>
        </w:rPr>
        <w:t xml:space="preserve">Phase 2 — Product Depth (the five AI systems)</w:t>
      </w:r>
    </w:p>
    <w:p>
      <w:pPr>
        <w:spacing w:after="160" w:line="276"/>
      </w:pPr>
      <w:r>
        <w:rPr>
          <w:rFonts w:ascii="Calibri" w:cs="Calibri" w:eastAsia="Calibri" w:hAnsi="Calibri"/>
          <w:sz w:val="22"/>
          <w:szCs w:val="22"/>
        </w:rPr>
        <w:t xml:space="preserve">Goal: the app stops being a single chat flow and becomes a real multi-tool product. Five AI systems, all grounded in the database and the EPIF rubric:</w:t>
      </w:r>
    </w:p>
    <w:p>
      <w:pPr>
        <w:pStyle w:val="ListParagraph"/>
        <w:numPr>
          <w:ilvl w:val="0"/>
          <w:numId w:val="2"/>
        </w:numPr>
        <w:spacing w:after="90" w:line="276"/>
      </w:pPr>
      <w:r>
        <w:rPr>
          <w:rFonts w:ascii="Calibri" w:cs="Calibri" w:eastAsia="Calibri" w:hAnsi="Calibri"/>
          <w:b w:val="false"/>
          <w:bCs w:val="false"/>
          <w:sz w:val="22"/>
          <w:szCs w:val="22"/>
        </w:rPr>
        <w:t xml:space="preserve">Pathway Generator — profile in, ranked month-by-month pathway out (the core EPIF flow).</w:t>
      </w:r>
    </w:p>
    <w:p>
      <w:pPr>
        <w:pStyle w:val="ListParagraph"/>
        <w:numPr>
          <w:ilvl w:val="0"/>
          <w:numId w:val="2"/>
        </w:numPr>
        <w:spacing w:after="90" w:line="276"/>
      </w:pPr>
      <w:r>
        <w:rPr>
          <w:rFonts w:ascii="Calibri" w:cs="Calibri" w:eastAsia="Calibri" w:hAnsi="Calibri"/>
          <w:b w:val="false"/>
          <w:bCs w:val="false"/>
          <w:sz w:val="22"/>
          <w:szCs w:val="22"/>
        </w:rPr>
        <w:t xml:space="preserve">Scholarship Finder — matches profile to real scholarships in the database.</w:t>
      </w:r>
    </w:p>
    <w:p>
      <w:pPr>
        <w:pStyle w:val="ListParagraph"/>
        <w:numPr>
          <w:ilvl w:val="0"/>
          <w:numId w:val="2"/>
        </w:numPr>
        <w:spacing w:after="90" w:line="276"/>
      </w:pPr>
      <w:r>
        <w:rPr>
          <w:rFonts w:ascii="Calibri" w:cs="Calibri" w:eastAsia="Calibri" w:hAnsi="Calibri"/>
          <w:b w:val="false"/>
          <w:bCs w:val="false"/>
          <w:sz w:val="22"/>
          <w:szCs w:val="22"/>
        </w:rPr>
        <w:t xml:space="preserve">Skill Gap Analyzer — what the student must improve (tests, English, portfolio) to reach target schools.</w:t>
      </w:r>
    </w:p>
    <w:p>
      <w:pPr>
        <w:pStyle w:val="ListParagraph"/>
        <w:numPr>
          <w:ilvl w:val="0"/>
          <w:numId w:val="2"/>
        </w:numPr>
        <w:spacing w:after="90" w:line="276"/>
      </w:pPr>
      <w:r>
        <w:rPr>
          <w:rFonts w:ascii="Calibri" w:cs="Calibri" w:eastAsia="Calibri" w:hAnsi="Calibri"/>
          <w:b w:val="false"/>
          <w:bCs w:val="false"/>
          <w:sz w:val="22"/>
          <w:szCs w:val="22"/>
        </w:rPr>
        <w:t xml:space="preserve">Country Fit — US vs. Europe vs. alternatives, given budget and visa realities.</w:t>
      </w:r>
    </w:p>
    <w:p>
      <w:pPr>
        <w:pStyle w:val="ListParagraph"/>
        <w:numPr>
          <w:ilvl w:val="0"/>
          <w:numId w:val="2"/>
        </w:numPr>
        <w:spacing w:after="90" w:line="276"/>
      </w:pPr>
      <w:r>
        <w:rPr>
          <w:rFonts w:ascii="Calibri" w:cs="Calibri" w:eastAsia="Calibri" w:hAnsi="Calibri"/>
          <w:b w:val="false"/>
          <w:bCs w:val="false"/>
          <w:sz w:val="22"/>
          <w:szCs w:val="22"/>
        </w:rPr>
        <w:t xml:space="preserve">Career Projection — what each pathway leads to after graduation.</w:t>
      </w:r>
    </w:p>
    <w:p>
      <w:pPr>
        <w:spacing w:after="160" w:line="276"/>
      </w:pPr>
      <w:r>
        <w:rPr>
          <w:rFonts w:ascii="Calibri" w:cs="Calibri" w:eastAsia="Calibri" w:hAnsi="Calibri"/>
          <w:sz w:val="22"/>
          <w:szCs w:val="22"/>
        </w:rPr>
        <w:t xml:space="preserve">Done when: each of the five flows works end-to-end with structured output, cites only universities/scholarships that exist in our database, and never invents data.</w:t>
      </w:r>
    </w:p>
    <w:p>
      <w:pPr>
        <w:pStyle w:val="Heading2"/>
        <w:spacing w:after="120" w:before="240"/>
      </w:pPr>
      <w:r>
        <w:rPr>
          <w:rFonts w:ascii="Calibri" w:cs="Calibri" w:eastAsia="Calibri" w:hAnsi="Calibri"/>
          <w:b/>
          <w:bCs/>
          <w:color w:val="0E7C7B"/>
          <w:sz w:val="25"/>
          <w:szCs w:val="25"/>
        </w:rPr>
        <w:t xml:space="preserve">Phase 3 — Accounts &amp; Dashboard</w:t>
      </w:r>
    </w:p>
    <w:p>
      <w:pPr>
        <w:spacing w:after="160" w:line="276"/>
      </w:pPr>
      <w:r>
        <w:rPr>
          <w:rFonts w:ascii="Calibri" w:cs="Calibri" w:eastAsia="Calibri" w:hAnsi="Calibri"/>
          <w:sz w:val="22"/>
          <w:szCs w:val="22"/>
        </w:rPr>
        <w:t xml:space="preserve">Goal: users can log in, save pathways, compare options, and return.</w:t>
      </w:r>
    </w:p>
    <w:p>
      <w:pPr>
        <w:pStyle w:val="ListParagraph"/>
        <w:numPr>
          <w:ilvl w:val="0"/>
          <w:numId w:val="2"/>
        </w:numPr>
        <w:spacing w:after="90" w:line="276"/>
      </w:pPr>
      <w:r>
        <w:rPr>
          <w:rFonts w:ascii="Calibri" w:cs="Calibri" w:eastAsia="Calibri" w:hAnsi="Calibri"/>
          <w:b w:val="false"/>
          <w:bCs w:val="false"/>
          <w:sz w:val="22"/>
          <w:szCs w:val="22"/>
        </w:rPr>
        <w:t xml:space="preserve">Supabase auth (email login), user dashboard, saved plans, side-by-side pathway comparison.</w:t>
      </w:r>
    </w:p>
    <w:p>
      <w:pPr>
        <w:spacing w:after="160" w:line="276"/>
      </w:pPr>
      <w:r>
        <w:rPr>
          <w:rFonts w:ascii="Calibri" w:cs="Calibri" w:eastAsia="Calibri" w:hAnsi="Calibri"/>
          <w:sz w:val="22"/>
          <w:szCs w:val="22"/>
        </w:rPr>
        <w:t xml:space="preserve">Done when: a real student can sign up, run a pathway, save it, log out, and find it again tomorrow.</w:t>
      </w:r>
    </w:p>
    <w:p>
      <w:pPr>
        <w:pStyle w:val="Heading2"/>
        <w:spacing w:after="120" w:before="240"/>
      </w:pPr>
      <w:r>
        <w:rPr>
          <w:rFonts w:ascii="Calibri" w:cs="Calibri" w:eastAsia="Calibri" w:hAnsi="Calibri"/>
          <w:b/>
          <w:bCs/>
          <w:color w:val="0E7C7B"/>
          <w:sz w:val="25"/>
          <w:szCs w:val="25"/>
        </w:rPr>
        <w:t xml:space="preserve">Phase 4 — Real Data &amp; Soft Launch</w:t>
      </w:r>
    </w:p>
    <w:p>
      <w:pPr>
        <w:spacing w:after="160" w:line="276"/>
      </w:pPr>
      <w:r>
        <w:rPr>
          <w:rFonts w:ascii="Calibri" w:cs="Calibri" w:eastAsia="Calibri" w:hAnsi="Calibri"/>
          <w:sz w:val="22"/>
          <w:szCs w:val="22"/>
        </w:rPr>
        <w:t xml:space="preserve">Goal: fill Layer 1 with the ~300 universities that matter to our students, then launch to a small real audience.</w:t>
      </w:r>
    </w:p>
    <w:p>
      <w:pPr>
        <w:pStyle w:val="ListParagraph"/>
        <w:numPr>
          <w:ilvl w:val="0"/>
          <w:numId w:val="2"/>
        </w:numPr>
        <w:spacing w:after="90" w:line="276"/>
      </w:pPr>
      <w:r>
        <w:rPr>
          <w:rFonts w:ascii="Calibri" w:cs="Calibri" w:eastAsia="Calibri" w:hAnsi="Calibri"/>
          <w:b w:val="false"/>
          <w:bCs w:val="false"/>
          <w:sz w:val="22"/>
          <w:szCs w:val="22"/>
        </w:rPr>
        <w:t xml:space="preserve">Data entry in batches: verified tuition, scholarships, requirements, deadlines. Every record must have a source.</w:t>
      </w:r>
    </w:p>
    <w:p>
      <w:pPr>
        <w:pStyle w:val="ListParagraph"/>
        <w:numPr>
          <w:ilvl w:val="0"/>
          <w:numId w:val="2"/>
        </w:numPr>
        <w:spacing w:after="90" w:line="276"/>
      </w:pPr>
      <w:r>
        <w:rPr>
          <w:rFonts w:ascii="Calibri" w:cs="Calibri" w:eastAsia="Calibri" w:hAnsi="Calibri"/>
          <w:b w:val="false"/>
          <w:bCs w:val="false"/>
          <w:sz w:val="22"/>
          <w:szCs w:val="22"/>
        </w:rPr>
        <w:t xml:space="preserve">Soft launch to a controlled group (existing 4Prep leads/students). Collect real usage data.</w:t>
      </w:r>
    </w:p>
    <w:p>
      <w:pPr>
        <w:pStyle w:val="ListParagraph"/>
        <w:numPr>
          <w:ilvl w:val="0"/>
          <w:numId w:val="2"/>
        </w:numPr>
        <w:spacing w:after="90" w:line="276"/>
      </w:pPr>
      <w:r>
        <w:rPr>
          <w:rFonts w:ascii="Calibri" w:cs="Calibri" w:eastAsia="Calibri" w:hAnsi="Calibri"/>
          <w:b w:val="false"/>
          <w:bCs w:val="false"/>
          <w:sz w:val="22"/>
          <w:szCs w:val="22"/>
        </w:rPr>
        <w:t xml:space="preserve">Document everything as we go: screenshots, user counts, feature demos. This documentation matters — see Section 1.</w:t>
      </w:r>
    </w:p>
    <w:p>
      <w:pPr>
        <w:spacing w:after="160" w:line="276"/>
      </w:pPr>
      <w:r>
        <w:rPr>
          <w:rFonts w:ascii="Calibri" w:cs="Calibri" w:eastAsia="Calibri" w:hAnsi="Calibri"/>
          <w:sz w:val="22"/>
          <w:szCs w:val="22"/>
        </w:rPr>
        <w:t xml:space="preserve">Done when: 300 verified universities are in the database and at least a first cohort of real users has generated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DD" w:sz="2"/>
              <w:left w:val="single" w:color="BBCCDD" w:sz="2"/>
              <w:bottom w:val="single" w:color="BBCCDD" w:sz="2"/>
              <w:right w:val="single" w:color="BBCCDD" w:sz="2"/>
            </w:tcBorders>
            <w:shd w:fill="EEF4F8" w:val="clear"/>
            <w:tcMar>
              <w:top w:type="dxa" w:w="90"/>
              <w:left w:type="dxa" w:w="140"/>
              <w:bottom w:type="dxa" w:w="90"/>
              <w:right w:type="dxa" w:w="140"/>
            </w:tcMar>
          </w:tcPr>
          <w:p>
            <w:pPr>
              <w:spacing w:after="0" w:line="276"/>
            </w:pPr>
            <w:r>
              <w:rPr>
                <w:rFonts w:ascii="Calibri" w:cs="Calibri" w:eastAsia="Calibri" w:hAnsi="Calibri"/>
                <w:b/>
                <w:bCs/>
                <w:color w:val="1B3A5C"/>
                <w:sz w:val="22"/>
                <w:szCs w:val="22"/>
              </w:rPr>
              <w:t xml:space="preserve">Order matters. Do not jump to Phase 4 data entry before Phase 2 flows exist, and do not gold-plate Phase 1 visuals for weeks. The soft launch will feel premature — launch anyway. Real user data is worth more than another week of polish.</w:t>
            </w:r>
          </w:p>
        </w:tc>
      </w:tr>
    </w:tbl>
    <w:p>
      <w:pPr>
        <w:spacing w:after="120"/>
      </w:pPr>
    </w:p>
    <w:p>
      <w:pPr>
        <w:pStyle w:val="Heading1"/>
        <w:spacing w:after="160" w:before="320"/>
      </w:pPr>
      <w:r>
        <w:rPr>
          <w:rFonts w:ascii="Calibri" w:cs="Calibri" w:eastAsia="Calibri" w:hAnsi="Calibri"/>
          <w:b/>
          <w:bCs/>
          <w:color w:val="1B3A5C"/>
          <w:sz w:val="30"/>
          <w:szCs w:val="30"/>
        </w:rPr>
        <w:t xml:space="preserve">6. Working Rules</w:t>
      </w:r>
    </w:p>
    <w:p>
      <w:pPr>
        <w:pStyle w:val="ListParagraph"/>
        <w:numPr>
          <w:ilvl w:val="0"/>
          <w:numId w:val="2"/>
        </w:numPr>
        <w:spacing w:after="90" w:line="276"/>
      </w:pPr>
      <w:r>
        <w:rPr>
          <w:rFonts w:ascii="Calibri" w:cs="Calibri" w:eastAsia="Calibri" w:hAnsi="Calibri"/>
          <w:b w:val="false"/>
          <w:bCs w:val="false"/>
          <w:sz w:val="22"/>
          <w:szCs w:val="22"/>
        </w:rPr>
        <w:t xml:space="preserve">Never fabricate. No fake universities, fake scholarships, fake stats, fake testimonials, or invented numbers anywhere — in the product, the marketing site, or the data. If we don't have a number, we don't show one.</w:t>
      </w:r>
    </w:p>
    <w:p>
      <w:pPr>
        <w:pStyle w:val="ListParagraph"/>
        <w:numPr>
          <w:ilvl w:val="0"/>
          <w:numId w:val="2"/>
        </w:numPr>
        <w:spacing w:after="90" w:line="276"/>
      </w:pPr>
      <w:r>
        <w:rPr>
          <w:rFonts w:ascii="Calibri" w:cs="Calibri" w:eastAsia="Calibri" w:hAnsi="Calibri"/>
          <w:b w:val="false"/>
          <w:bCs w:val="false"/>
          <w:sz w:val="22"/>
          <w:szCs w:val="22"/>
        </w:rPr>
        <w:t xml:space="preserve">AI must be grounded. Every AI answer must trace back to database records or the EPIF rubric. If the database can't answer, the AI says so and asks for more info — it never guesses a tuition figure.</w:t>
      </w:r>
    </w:p>
    <w:p>
      <w:pPr>
        <w:pStyle w:val="ListParagraph"/>
        <w:numPr>
          <w:ilvl w:val="0"/>
          <w:numId w:val="2"/>
        </w:numPr>
        <w:spacing w:after="90" w:line="276"/>
      </w:pPr>
      <w:r>
        <w:rPr>
          <w:rFonts w:ascii="Calibri" w:cs="Calibri" w:eastAsia="Calibri" w:hAnsi="Calibri"/>
          <w:b w:val="false"/>
          <w:bCs w:val="false"/>
          <w:sz w:val="22"/>
          <w:szCs w:val="22"/>
        </w:rPr>
        <w:t xml:space="preserve">Match the public narrative. Feature names and descriptions should be consistent with how 4Prep.ai is described in the articles and the EPIF paper. If you think something should be described differently, flag it to Abdiaziz first — don't silently diverge.</w:t>
      </w:r>
    </w:p>
    <w:p>
      <w:pPr>
        <w:pStyle w:val="ListParagraph"/>
        <w:numPr>
          <w:ilvl w:val="0"/>
          <w:numId w:val="2"/>
        </w:numPr>
        <w:spacing w:after="90" w:line="276"/>
      </w:pPr>
      <w:r>
        <w:rPr>
          <w:rFonts w:ascii="Calibri" w:cs="Calibri" w:eastAsia="Calibri" w:hAnsi="Calibri"/>
          <w:b w:val="false"/>
          <w:bCs w:val="false"/>
          <w:sz w:val="22"/>
          <w:szCs w:val="22"/>
        </w:rPr>
        <w:t xml:space="preserve">Document as you build. Keep a running log (Notion) of what shipped and when, with screenshots. This is part of the deliverable, not an afterthought.</w:t>
      </w:r>
    </w:p>
    <w:p>
      <w:pPr>
        <w:pStyle w:val="ListParagraph"/>
        <w:numPr>
          <w:ilvl w:val="0"/>
          <w:numId w:val="2"/>
        </w:numPr>
        <w:spacing w:after="90" w:line="276"/>
      </w:pPr>
      <w:r>
        <w:rPr>
          <w:rFonts w:ascii="Calibri" w:cs="Calibri" w:eastAsia="Calibri" w:hAnsi="Calibri"/>
          <w:b w:val="false"/>
          <w:bCs w:val="false"/>
          <w:sz w:val="22"/>
          <w:szCs w:val="22"/>
        </w:rPr>
        <w:t xml:space="preserve">Ship small, ship often. Daily or every-other-day check-ins with what's live, what's blocked, what's next. Decisions on product direction go to Abdiaziz; execution details are yours.</w:t>
      </w:r>
    </w:p>
    <w:p>
      <w:pPr>
        <w:pStyle w:val="ListParagraph"/>
        <w:numPr>
          <w:ilvl w:val="0"/>
          <w:numId w:val="2"/>
        </w:numPr>
        <w:spacing w:after="90" w:line="276"/>
      </w:pPr>
      <w:r>
        <w:rPr>
          <w:rFonts w:ascii="Calibri" w:cs="Calibri" w:eastAsia="Calibri" w:hAnsi="Calibri"/>
          <w:b w:val="false"/>
          <w:bCs w:val="false"/>
          <w:sz w:val="22"/>
          <w:szCs w:val="22"/>
        </w:rPr>
        <w:t xml:space="preserve">One source of truth per layer. Database schema questions → Supabase schema doc. Scoring questions → the EPIF paper. UI questions → the Lovable project. Don't create parallel versions.</w:t>
      </w:r>
    </w:p>
    <w:p>
      <w:pPr>
        <w:pStyle w:val="Heading1"/>
        <w:spacing w:after="160" w:before="320"/>
      </w:pPr>
      <w:r>
        <w:rPr>
          <w:rFonts w:ascii="Calibri" w:cs="Calibri" w:eastAsia="Calibri" w:hAnsi="Calibri"/>
          <w:b/>
          <w:bCs/>
          <w:color w:val="1B3A5C"/>
          <w:sz w:val="30"/>
          <w:szCs w:val="30"/>
        </w:rPr>
        <w:t xml:space="preserve">7. Success — What “Finished” Looks Like</w:t>
      </w:r>
    </w:p>
    <w:p>
      <w:pPr>
        <w:spacing w:after="160" w:line="276"/>
      </w:pPr>
      <w:r>
        <w:rPr>
          <w:rFonts w:ascii="Calibri" w:cs="Calibri" w:eastAsia="Calibri" w:hAnsi="Calibri"/>
          <w:sz w:val="22"/>
          <w:szCs w:val="22"/>
        </w:rPr>
        <w:t xml:space="preserve">Three months from now, a student from Tashkent opens app.4prep.ai on her phone. She enters her grades, her budget, and her IELTS score. In under a minute she sees five universities ranked by a fit score she can understand, three scholarships she actually qualifies for, and a month-by-month plan from today to her first day on campus. Every fact on that screen is real, sourced, and defensible. She creates an account and saves the plan.</w:t>
      </w:r>
    </w:p>
    <w:p>
      <w:pPr>
        <w:spacing w:after="160" w:line="276"/>
      </w:pPr>
      <w:r>
        <w:rPr>
          <w:rFonts w:ascii="Calibri" w:cs="Calibri" w:eastAsia="Calibri" w:hAnsi="Calibri"/>
          <w:sz w:val="22"/>
          <w:szCs w:val="22"/>
        </w:rPr>
        <w:t xml:space="preserve">If we build that, we will have built the first serious pathway-intelligence product for Central Asian students — and everything written publicly about 4Prep.ai will be provably true.</w:t>
      </w:r>
    </w:p>
    <w:p>
      <w:pPr>
        <w:spacing w:after="120"/>
      </w:pPr>
    </w:p>
    <w:p>
      <w:pPr>
        <w:spacing w:before="200"/>
      </w:pPr>
      <w:r>
        <w:rPr>
          <w:rFonts w:ascii="Calibri" w:cs="Calibri" w:eastAsia="Calibri" w:hAnsi="Calibri"/>
          <w:i/>
          <w:iCs/>
          <w:color w:val="555555"/>
          <w:sz w:val="20"/>
          <w:szCs w:val="20"/>
        </w:rPr>
        <w:t xml:space="preserve">Questions → Abdiaziz directly. This document is v1.0 and will be updated as phases complete.</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2026-07-20T05:10:32.777Z</dcterms:created>
  <dcterms:modified xsi:type="dcterms:W3CDTF">2026-07-20T05:10:32.791Z</dcterms:modified>
</cp:coreProperties>
</file>

<file path=docProps/custom.xml><?xml version="1.0" encoding="utf-8"?>
<Properties xmlns="http://schemas.openxmlformats.org/officeDocument/2006/custom-properties" xmlns:vt="http://schemas.openxmlformats.org/officeDocument/2006/docPropsVTypes"/>
</file>