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ToothGrowth</w:t>
      </w:r>
      <w:r>
        <w:t xml:space="preserve"> </w:t>
      </w:r>
      <w:r>
        <w:t xml:space="preserve">data</w:t>
      </w:r>
    </w:p>
    <w:p>
      <w:pPr>
        <w:pStyle w:val="Authors"/>
      </w:pPr>
      <w:r>
        <w:t xml:space="preserve">J.</w:t>
      </w:r>
      <w:r>
        <w:t xml:space="preserve"> </w:t>
      </w:r>
      <w:r>
        <w:t xml:space="preserve">Thatcher</w:t>
      </w:r>
    </w:p>
    <w:p>
      <w:r>
        <w:t xml:space="preserve">Load the ToothGrowth data</w:t>
      </w:r>
    </w:p>
    <w:p>
      <w:r>
        <w:t xml:space="preserve">There are three variables in the toothgrowth dataset. They are length (len, levels = continuous), supplement (supp, levels = OJ and VC), and dose (dose, levels = 0.5, 1.0, and 2.0). We can quickly look to see any correlation between the variables by pairwise plots of each variable.</w:t>
      </w:r>
    </w:p>
    <w:p>
      <w:pPr>
        <w:pStyle w:val="SourceCode"/>
      </w:pPr>
      <w:r>
        <w:rPr>
          <w:rStyle w:val="VerbatimChar"/>
        </w:rPr>
        <w:t xml:space="preserve">## Loading required package: grid</w:t>
      </w:r>
    </w:p>
    <w:p>
      <w:r>
        <w:drawing>
          <wp:inline>
            <wp:extent cx="5994400" cy="2108200"/>
            <wp:effectExtent b="0" l="0" r="0" t="0"/>
            <wp:docPr descr="" id="1" name="Picture"/>
            <a:graphic>
              <a:graphicData uri="http://schemas.openxmlformats.org/drawingml/2006/picture">
                <pic:pic>
                  <pic:nvPicPr>
                    <pic:cNvPr descr="CourseProject_Part2_12222015_files/figure-docx/unnamed-chunk-2-1.png" id="0" name="Picture"/>
                    <pic:cNvPicPr>
                      <a:picLocks noChangeArrowheads="1" noChangeAspect="1"/>
                    </pic:cNvPicPr>
                  </pic:nvPicPr>
                  <pic:blipFill>
                    <a:blip r:embed="rId21"/>
                    <a:stretch>
                      <a:fillRect/>
                    </a:stretch>
                  </pic:blipFill>
                  <pic:spPr bwMode="auto">
                    <a:xfrm>
                      <a:off x="0" y="0"/>
                      <a:ext cx="5994400" cy="2108200"/>
                    </a:xfrm>
                    <a:prstGeom prst="rect">
                      <a:avLst/>
                    </a:prstGeom>
                    <a:noFill/>
                    <a:ln w="9525">
                      <a:noFill/>
                      <a:headEnd/>
                      <a:tailEnd/>
                    </a:ln>
                  </pic:spPr>
                </pic:pic>
              </a:graphicData>
            </a:graphic>
          </wp:inline>
        </w:drawing>
      </w:r>
    </w:p>
    <w:p>
      <w:r>
        <w:t xml:space="preserve">There appears to be positive correlation between the dose and length variables. Which means that length of the tooth can be predicted by the dose. Furthermore, the supp variable also seems to have a minor correlation with len. This becomes more obvious when we separate the dose ~ len plot by the factor supp in the following plot:</w:t>
      </w:r>
    </w:p>
    <w:p>
      <w:r>
        <w:drawing>
          <wp:inline>
            <wp:extent cx="4610100" cy="2298700"/>
            <wp:effectExtent b="0" l="0" r="0" t="0"/>
            <wp:docPr descr="" id="1" name="Picture"/>
            <a:graphic>
              <a:graphicData uri="http://schemas.openxmlformats.org/drawingml/2006/picture">
                <pic:pic>
                  <pic:nvPicPr>
                    <pic:cNvPr descr="CourseProject_Part2_12222015_files/figure-docx/unnamed-chunk-3-1.png" id="0" name="Picture"/>
                    <pic:cNvPicPr>
                      <a:picLocks noChangeArrowheads="1" noChangeAspect="1"/>
                    </pic:cNvPicPr>
                  </pic:nvPicPr>
                  <pic:blipFill>
                    <a:blip r:embed="rId22"/>
                    <a:stretch>
                      <a:fillRect/>
                    </a:stretch>
                  </pic:blipFill>
                  <pic:spPr bwMode="auto">
                    <a:xfrm>
                      <a:off x="0" y="0"/>
                      <a:ext cx="4610100" cy="2298700"/>
                    </a:xfrm>
                    <a:prstGeom prst="rect">
                      <a:avLst/>
                    </a:prstGeom>
                    <a:noFill/>
                    <a:ln w="9525">
                      <a:noFill/>
                      <a:headEnd/>
                      <a:tailEnd/>
                    </a:ln>
                  </pic:spPr>
                </pic:pic>
              </a:graphicData>
            </a:graphic>
          </wp:inline>
        </w:drawing>
      </w:r>
    </w:p>
    <w:bookmarkStart w:id="23" w:name="hypotheses"/>
    <w:p>
      <w:pPr>
        <w:pStyle w:val="Heading2"/>
      </w:pPr>
      <w:r>
        <w:t xml:space="preserve">Hypotheses</w:t>
      </w:r>
    </w:p>
    <w:bookmarkEnd w:id="23"/>
    <w:p>
      <w:r>
        <w:t xml:space="preserve">The following hypotheses are relevant to this dataset:</w:t>
      </w:r>
    </w:p>
    <w:p>
      <w:r>
        <w:t xml:space="preserve">For the supp variable</w:t>
      </w:r>
    </w:p>
    <w:p>
      <w:r>
        <w:t xml:space="preserve">H0: the effect of supp OJ = the effect of supp VC on tooth length</w:t>
      </w:r>
      <w:r>
        <w:br w:type="textWrapping"/>
      </w:r>
      <w:r>
        <w:t xml:space="preserve">H1: the effect of supp OJ != the effect of supp VC on tooth length</w:t>
      </w:r>
    </w:p>
    <w:p>
      <w:r>
        <w:t xml:space="preserve">For all pairwise comparisons of the dose variable</w:t>
      </w:r>
    </w:p>
    <w:p>
      <w:r>
        <w:t xml:space="preserve">H0: the effect of dose A = the effect of dose B on tooth length</w:t>
      </w:r>
      <w:r>
        <w:br w:type="textWrapping"/>
      </w:r>
      <w:r>
        <w:t xml:space="preserve">H1: the effect of dose A != the effect of dose B on tooth length</w:t>
      </w:r>
    </w:p>
    <w:p>
      <w:r>
        <w:t xml:space="preserve">For all pairwise comparisons of the supp variable within a single level of the dose variable</w:t>
      </w:r>
    </w:p>
    <w:p>
      <w:r>
        <w:t xml:space="preserve">H0: the effect of supp OJ = the effect of supp VC on tooth length</w:t>
      </w:r>
      <w:r>
        <w:br w:type="textWrapping"/>
      </w:r>
      <w:r>
        <w:t xml:space="preserve">H1: the effect of supp OJ != the effect of supp VC on tooth length</w:t>
      </w:r>
    </w:p>
    <w:bookmarkStart w:id="24" w:name="the-effect-of-supp"/>
    <w:p>
      <w:pPr>
        <w:pStyle w:val="Heading2"/>
      </w:pPr>
      <w:r>
        <w:t xml:space="preserve">The effect of supp</w:t>
      </w:r>
    </w:p>
    <w:bookmarkEnd w:id="24"/>
    <w:p>
      <w:r>
        <w:t xml:space="preserve">For the first set of hypotheses:</w:t>
      </w:r>
      <w:r>
        <w:br w:type="textWrapping"/>
      </w:r>
      <w:r>
        <w:t xml:space="preserve">H0: the effect of supp OJ = the effect of supp VC on tooth length</w:t>
      </w:r>
      <w:r>
        <w:br w:type="textWrapping"/>
      </w:r>
      <w:r>
        <w:t xml:space="preserve">H1: the effect of supp OJ != the effect of supp VC on tooth length</w:t>
      </w:r>
    </w:p>
    <w:p>
      <w:r>
        <w:t xml:space="preserve">First we will ask, does the mean of the supp OJ fall within the mean of the supp VC?</w:t>
      </w:r>
    </w:p>
    <w:p>
      <w:r>
        <w:t xml:space="preserve">We can quickly calculate the 95% confidence interval with the</w:t>
      </w:r>
      <w:r>
        <w:t xml:space="preserve"> </w:t>
      </w:r>
      <w:r>
        <w:rPr>
          <w:rStyle w:val="VerbatimChar"/>
        </w:rPr>
        <w:t xml:space="preserve">t.test</w:t>
      </w:r>
      <w:r>
        <w:t xml:space="preserve"> </w:t>
      </w:r>
      <w:r>
        <w:t xml:space="preserve">function, as well as the p-value for two-tailed comparison.</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TGdata[1:30, 1] and TGdata[31:60, 1]</w:t>
      </w:r>
      <w:r>
        <w:br w:type="textWrapping"/>
      </w:r>
      <w:r>
        <w:rPr>
          <w:rStyle w:val="VerbatimChar"/>
        </w:rPr>
        <w:t xml:space="preserve">## t = -1.9153, df = 58, p-value = 0.06039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-7.5670064  0.1670064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16.96333  20.66333</w:t>
      </w:r>
    </w:p>
    <w:p>
      <w:r>
        <w:t xml:space="preserve">We can interpret this results table in such a way that the 95% confidence interval for the difference in means does include zero and the p-value is slightly larger than 0.05. This suggests that we cannot reject H0 and rule-out the possibility that the difference in means was a result of chance.</w:t>
      </w:r>
    </w:p>
    <w:bookmarkStart w:id="25" w:name="the-effect-of-dose"/>
    <w:p>
      <w:pPr>
        <w:pStyle w:val="Heading2"/>
      </w:pPr>
      <w:r>
        <w:t xml:space="preserve">The effect of dose</w:t>
      </w:r>
    </w:p>
    <w:bookmarkEnd w:id="25"/>
    <w:p>
      <w:r>
        <w:t xml:space="preserve">For all pairwise comparisons of the dose variable</w:t>
      </w:r>
    </w:p>
    <w:p>
      <w:r>
        <w:t xml:space="preserve">There are 3 total pariwise comparisons.</w:t>
      </w:r>
      <w:r>
        <w:br w:type="textWrapping"/>
      </w:r>
      <w:r>
        <w:t xml:space="preserve">0.5 vs. 1.0</w:t>
      </w:r>
      <w:r>
        <w:br w:type="textWrapping"/>
      </w:r>
      <w:r>
        <w:t xml:space="preserve">0.5 vs. 2.0</w:t>
      </w:r>
      <w:r>
        <w:br w:type="textWrapping"/>
      </w:r>
      <w:r>
        <w:t xml:space="preserve">1.0 vs. 2.0</w:t>
      </w:r>
    </w:p>
    <w:p>
      <w:r>
        <w:t xml:space="preserve">Results of these t-test can be quickly calculated, but we will consider that the possibility of getting a significant comparison increases with the number of tests performed on the data and therefore we need to apply a correction to alpha. We will use the Bonferroni correction, which is conservative and simple to implement.</w:t>
      </w:r>
    </w:p>
    <w:p>
      <w:pPr>
        <w:pStyle w:val="SourceCode"/>
      </w:pPr>
      <w:r>
        <w:rPr>
          <w:rStyle w:val="VerbatimChar"/>
        </w:rPr>
        <w:t xml:space="preserve">##   | Comparison of Dose | |  P-Value   |</w:t>
      </w:r>
      <w:r>
        <w:br w:type="textWrapping"/>
      </w:r>
      <w:r>
        <w:rPr>
          <w:rStyle w:val="VerbatimChar"/>
        </w:rPr>
        <w:t xml:space="preserve">## 1           0.5 vs. 1.0    1.266297e-07</w:t>
      </w:r>
      <w:r>
        <w:br w:type="textWrapping"/>
      </w:r>
      <w:r>
        <w:rPr>
          <w:rStyle w:val="VerbatimChar"/>
        </w:rPr>
        <w:t xml:space="preserve">## 2           0.5 vs. 2.0    2.837553e-14</w:t>
      </w:r>
      <w:r>
        <w:br w:type="textWrapping"/>
      </w:r>
      <w:r>
        <w:rPr>
          <w:rStyle w:val="VerbatimChar"/>
        </w:rPr>
        <w:t xml:space="preserve">## 3           1.0 vs. 2.0    1.810829e-05</w:t>
      </w:r>
    </w:p>
    <w:p>
      <w:r>
        <w:t xml:space="preserve">In this case we find that the p values for all three comparisons are extremely small, and even with the conservative Bonferroni correction where alpha =0.0166667 we can still reject the null hypotheses and agree that the increase the variable len increases with increasing levels of the variable dose, regardless of the level of the variable supp.</w:t>
      </w:r>
    </w:p>
    <w:bookmarkStart w:id="26" w:name="supp-vs-len-at-each-level-of-dose"/>
    <w:p>
      <w:pPr>
        <w:pStyle w:val="Heading2"/>
      </w:pPr>
      <w:r>
        <w:t xml:space="preserve">supp vs len at each level of dose</w:t>
      </w:r>
    </w:p>
    <w:bookmarkEnd w:id="26"/>
    <w:p>
      <w:r>
        <w:t xml:space="preserve">finally, we will consider the effect of either supplement when we remove the effect of the dose. To do this, we will compare the two levels of supp, OJ and VC at each of the three levels of dose. Again, the Bonferroni correction will be used.</w:t>
      </w:r>
    </w:p>
    <w:p>
      <w:r>
        <w:t xml:space="preserve">There are 3 total pariwise comparisons.</w:t>
      </w:r>
      <w:r>
        <w:br w:type="textWrapping"/>
      </w:r>
      <w:r>
        <w:t xml:space="preserve">Dose 0.5: VC vs. OJ</w:t>
      </w:r>
      <w:r>
        <w:br w:type="textWrapping"/>
      </w:r>
      <w:r>
        <w:t xml:space="preserve">Dose 1.0: VC vs. OJ</w:t>
      </w:r>
      <w:r>
        <w:br w:type="textWrapping"/>
      </w:r>
      <w:r>
        <w:t xml:space="preserve">Dose 2.0: VC vs. OJ</w:t>
      </w:r>
    </w:p>
    <w:p>
      <w:r>
        <w:t xml:space="preserve">possible comparisons and their results are as follows:</w:t>
      </w:r>
    </w:p>
    <w:p>
      <w:pPr>
        <w:pStyle w:val="SourceCode"/>
      </w:pPr>
      <w:r>
        <w:rPr>
          <w:rStyle w:val="VerbatimChar"/>
        </w:rPr>
        <w:t xml:space="preserve">##   |Comparison of Supp by Dose | | P-Value |</w:t>
      </w:r>
      <w:r>
        <w:br w:type="textWrapping"/>
      </w:r>
      <w:r>
        <w:rPr>
          <w:rStyle w:val="VerbatimChar"/>
        </w:rPr>
        <w:t xml:space="preserve">## 1          Dose 0.5:  VC vs. OJ     0.00530</w:t>
      </w:r>
      <w:r>
        <w:br w:type="textWrapping"/>
      </w:r>
      <w:r>
        <w:rPr>
          <w:rStyle w:val="VerbatimChar"/>
        </w:rPr>
        <w:t xml:space="preserve">## 2          Dose 1.0:  VC vs. OJ     0.00078</w:t>
      </w:r>
      <w:r>
        <w:br w:type="textWrapping"/>
      </w:r>
      <w:r>
        <w:rPr>
          <w:rStyle w:val="VerbatimChar"/>
        </w:rPr>
        <w:t xml:space="preserve">## 3          Dose 2.0:  VC vs. OJ     0.96371</w:t>
      </w:r>
    </w:p>
    <w:p>
      <w:r>
        <w:t xml:space="preserve">Here we find that the p-values for the first two levels of dose are less than the alpha value we selected (0.05/3 or 0.0166667). The third comparison, however, is not less than alpha = 0.0166667. Therefore, we conclude that the response of len to supp is dependent on the level of dose and that the supp OJ is associated with higher values of len at the doses 0.5 and 1.0.</w:t>
      </w:r>
    </w:p>
    <w:bookmarkStart w:id="27" w:name="assumptions"/>
    <w:p>
      <w:pPr>
        <w:pStyle w:val="Heading2"/>
      </w:pPr>
      <w:r>
        <w:t xml:space="preserve">Assumptions</w:t>
      </w:r>
    </w:p>
    <w:bookmarkEnd w:id="27"/>
    <w:p>
      <w:r>
        <w:t xml:space="preserve">Our overall assumptions for these tests include:</w:t>
      </w:r>
    </w:p>
    <w:p>
      <w:pPr>
        <w:pStyle w:val="Compact"/>
        <w:numPr>
          <w:numId w:val="2"/>
          <w:ilvl w:val="0"/>
        </w:numPr>
      </w:pPr>
      <w:r>
        <w:t xml:space="preserve">groups of data were normally distributed</w:t>
      </w:r>
      <w:r>
        <w:br w:type="textWrapping"/>
      </w:r>
    </w:p>
    <w:p>
      <w:pPr>
        <w:pStyle w:val="Compact"/>
        <w:numPr>
          <w:numId w:val="2"/>
          <w:ilvl w:val="0"/>
        </w:numPr>
      </w:pPr>
      <w:r>
        <w:t xml:space="preserve">equal variances within each of the t-tests</w:t>
      </w:r>
    </w:p>
    <w:bookmarkStart w:id="28" w:name="appendix-r-code"/>
    <w:p>
      <w:pPr>
        <w:pStyle w:val="Heading1"/>
      </w:pPr>
      <w:r>
        <w:t xml:space="preserve">Appendix: R-code</w:t>
      </w:r>
    </w:p>
    <w:bookmarkEnd w:id="28"/>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(xtable)</w:t>
      </w:r>
      <w:r>
        <w:br w:type="textWrapping"/>
      </w:r>
      <w:r>
        <w:rPr>
          <w:rStyle w:val="KeywordTok"/>
        </w:rPr>
        <w:t xml:space="preserve">options</w:t>
      </w:r>
      <w:r>
        <w:rPr>
          <w:rStyle w:val="NormalTok"/>
        </w:rPr>
        <w:t xml:space="preserve">(</w:t>
      </w:r>
      <w:r>
        <w:rPr>
          <w:rStyle w:val="DataTypeTok"/>
        </w:rPr>
        <w:t xml:space="preserve">xtable.floating =</w:t>
      </w:r>
      <w:r>
        <w:rPr>
          <w:rStyle w:val="NormalTok"/>
        </w:rPr>
        <w:t xml:space="preserve"> </w:t>
      </w:r>
      <w:r>
        <w:rPr>
          <w:rStyle w:val="OtherTok"/>
        </w:rPr>
        <w:t xml:space="preserve">FALSE</w:t>
      </w:r>
      <w:r>
        <w:rPr>
          <w:rStyle w:val="NormalTok"/>
        </w:rPr>
        <w:t xml:space="preserve">)</w:t>
      </w:r>
      <w:r>
        <w:br w:type="textWrapping"/>
      </w:r>
      <w:r>
        <w:rPr>
          <w:rStyle w:val="KeywordTok"/>
        </w:rPr>
        <w:t xml:space="preserve">source</w:t>
      </w:r>
      <w:r>
        <w:rPr>
          <w:rStyle w:val="NormalTok"/>
        </w:rPr>
        <w:t xml:space="preserve">(</w:t>
      </w:r>
      <w:r>
        <w:rPr>
          <w:rStyle w:val="StringTok"/>
        </w:rPr>
        <w:t xml:space="preserve">"multiplot.R"</w:t>
      </w:r>
      <w:r>
        <w:rPr>
          <w:rStyle w:val="NormalTok"/>
        </w:rPr>
        <w:t xml:space="preserve">)</w:t>
      </w:r>
      <w:r>
        <w:br w:type="textWrapping"/>
      </w:r>
      <w:r>
        <w:br w:type="textWrapping"/>
      </w:r>
      <w:r>
        <w:rPr>
          <w:rStyle w:val="NormalTok"/>
        </w:rPr>
        <w:t xml:space="preserve">TGdata &lt;-</w:t>
      </w:r>
      <w:r>
        <w:rPr>
          <w:rStyle w:val="StringTok"/>
        </w:rPr>
        <w:t xml:space="preserve"> </w:t>
      </w:r>
      <w:r>
        <w:rPr>
          <w:rStyle w:val="NormalTok"/>
        </w:rPr>
        <w:t xml:space="preserve">ToothGrowth</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(TGdata, </w:t>
      </w:r>
      <w:r>
        <w:rPr>
          <w:rStyle w:val="KeywordTok"/>
        </w:rPr>
        <w:t xml:space="preserve">aes</w:t>
      </w:r>
      <w:r>
        <w:rPr>
          <w:rStyle w:val="NormalTok"/>
        </w:rPr>
        <w:t xml:space="preserve">(supp,len))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color=</w:t>
      </w:r>
      <w:r>
        <w:rPr>
          <w:rStyle w:val="StringTok"/>
        </w:rPr>
        <w:t xml:space="preserve">"green"</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(TGdata, </w:t>
      </w:r>
      <w:r>
        <w:rPr>
          <w:rStyle w:val="KeywordTok"/>
        </w:rPr>
        <w:t xml:space="preserve">aes</w:t>
      </w:r>
      <w:r>
        <w:rPr>
          <w:rStyle w:val="NormalTok"/>
        </w:rPr>
        <w:t xml:space="preserve">(dose,len))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color=</w:t>
      </w:r>
      <w:r>
        <w:rPr>
          <w:rStyle w:val="StringTok"/>
        </w:rPr>
        <w:t xml:space="preserve">"skyblue"</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(TGdata, </w:t>
      </w:r>
      <w:r>
        <w:rPr>
          <w:rStyle w:val="KeywordTok"/>
        </w:rPr>
        <w:t xml:space="preserve">aes</w:t>
      </w:r>
      <w:r>
        <w:rPr>
          <w:rStyle w:val="NormalTok"/>
        </w:rPr>
        <w:t xml:space="preserve">(supp,dose))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r>
        <w:rPr>
          <w:rStyle w:val="DataTypeTok"/>
        </w:rPr>
        <w:t xml:space="preserve">color=</w:t>
      </w:r>
      <w:r>
        <w:rPr>
          <w:rStyle w:val="StringTok"/>
        </w:rPr>
        <w:t xml:space="preserve">"red"</w:t>
      </w:r>
      <w:r>
        <w:rPr>
          <w:rStyle w:val="NormalTok"/>
        </w:rPr>
        <w:t xml:space="preserve">)</w:t>
      </w:r>
      <w:r>
        <w:br w:type="textWrapping"/>
      </w:r>
      <w:r>
        <w:br w:type="textWrapping"/>
      </w:r>
      <w:r>
        <w:rPr>
          <w:rStyle w:val="KeywordTok"/>
        </w:rPr>
        <w:t xml:space="preserve">multiplot</w:t>
      </w:r>
      <w:r>
        <w:rPr>
          <w:rStyle w:val="NormalTok"/>
        </w:rPr>
        <w:t xml:space="preserve">(p1,p2,p3,</w:t>
      </w:r>
      <w:r>
        <w:rPr>
          <w:rStyle w:val="DataTypeTok"/>
        </w:rPr>
        <w:t xml:space="preserve">cols=</w:t>
      </w:r>
      <w:r>
        <w:rPr>
          <w:rStyle w:val="DecValTok"/>
        </w:rPr>
        <w:t xml:space="preserve">3</w:t>
      </w:r>
      <w:r>
        <w:rPr>
          <w:rStyle w:val="NormalTok"/>
        </w:rPr>
        <w:t xml:space="preserve">)</w:t>
      </w:r>
      <w:r>
        <w:br w:type="textWrapping"/>
      </w:r>
      <w:r>
        <w:br w:type="textWrapping"/>
      </w:r>
      <w:r>
        <w:rPr>
          <w:rStyle w:val="NormalTok"/>
        </w:rPr>
        <w:t xml:space="preserve">p4 &lt;-</w:t>
      </w:r>
      <w:r>
        <w:rPr>
          <w:rStyle w:val="KeywordTok"/>
        </w:rPr>
        <w:t xml:space="preserve">ggplot</w:t>
      </w:r>
      <w:r>
        <w:rPr>
          <w:rStyle w:val="NormalTok"/>
        </w:rPr>
        <w:t xml:space="preserve">(TGdata,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dose,</w:t>
      </w:r>
      <w:r>
        <w:rPr>
          <w:rStyle w:val="DataTypeTok"/>
        </w:rPr>
        <w:t xml:space="preserve">y=</w:t>
      </w:r>
      <w:r>
        <w:rPr>
          <w:rStyle w:val="NormalTok"/>
        </w:rPr>
        <w:t xml:space="preserve"> </w:t>
      </w:r>
      <w:r>
        <w:rPr>
          <w:rStyle w:val="NormalTok"/>
        </w:rPr>
        <w:t xml:space="preserve">len, </w:t>
      </w:r>
      <w:r>
        <w:rPr>
          <w:rStyle w:val="DataTypeTok"/>
        </w:rPr>
        <w:t xml:space="preserve">colour=</w:t>
      </w:r>
      <w:r>
        <w:rPr>
          <w:rStyle w:val="NormalTok"/>
        </w:rPr>
        <w:t xml:space="preserve">supp))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p4</w:t>
      </w:r>
      <w:r>
        <w:br w:type="textWrapping"/>
      </w:r>
      <w:r>
        <w:br w:type="textWrapping"/>
      </w:r>
      <w:r>
        <w:rPr>
          <w:rStyle w:val="KeywordTok"/>
        </w:rPr>
        <w:t xml:space="preserve">t.test</w:t>
      </w:r>
      <w:r>
        <w:rPr>
          <w:rStyle w:val="NormalTok"/>
        </w:rPr>
        <w:t xml:space="preserve">(TGdata[</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TGdata[</w:t>
      </w:r>
      <w:r>
        <w:rPr>
          <w:rStyle w:val="DecValTok"/>
        </w:rPr>
        <w:t xml:space="preserve">31</w:t>
      </w:r>
      <w:r>
        <w:rPr>
          <w:rStyle w:val="NormalTok"/>
        </w:rPr>
        <w:t xml:space="preserve">:</w:t>
      </w:r>
      <w:r>
        <w:rPr>
          <w:rStyle w:val="DecValTok"/>
        </w:rPr>
        <w:t xml:space="preserve">60</w:t>
      </w:r>
      <w:r>
        <w:rPr>
          <w:rStyle w:val="NormalTok"/>
        </w:rPr>
        <w:t xml:space="preserve">,</w:t>
      </w:r>
      <w:r>
        <w:rPr>
          <w:rStyle w:val="DecValTok"/>
        </w:rPr>
        <w:t xml:space="preserve">1</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d1 &lt;-</w:t>
      </w:r>
      <w:r>
        <w:rPr>
          <w:rStyle w:val="StringTok"/>
        </w:rPr>
        <w:t xml:space="preserve"> </w:t>
      </w:r>
      <w:r>
        <w:rPr>
          <w:rStyle w:val="KeywordTok"/>
        </w:rPr>
        <w:t xml:space="preserve">c</w:t>
      </w:r>
      <w:r>
        <w:rPr>
          <w:rStyle w:val="NormalTok"/>
        </w:rPr>
        <w:t xml:space="preserve">(TGdata[</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TGdata[</w:t>
      </w:r>
      <w:r>
        <w:rPr>
          <w:rStyle w:val="DecValTok"/>
        </w:rPr>
        <w:t xml:space="preserve">31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w:t>
      </w:r>
      <w:r>
        <w:br w:type="textWrapping"/>
      </w:r>
      <w:r>
        <w:rPr>
          <w:rStyle w:val="NormalTok"/>
        </w:rPr>
        <w:t xml:space="preserve">d2 &lt;-</w:t>
      </w:r>
      <w:r>
        <w:rPr>
          <w:rStyle w:val="StringTok"/>
        </w:rPr>
        <w:t xml:space="preserve"> </w:t>
      </w:r>
      <w:r>
        <w:rPr>
          <w:rStyle w:val="KeywordTok"/>
        </w:rPr>
        <w:t xml:space="preserve">c</w:t>
      </w:r>
      <w:r>
        <w:rPr>
          <w:rStyle w:val="NormalTok"/>
        </w:rPr>
        <w:t xml:space="preserve">(TGdata[</w:t>
      </w:r>
      <w:r>
        <w:rPr>
          <w:rStyle w:val="DecValTok"/>
        </w:rPr>
        <w:t xml:space="preserve">11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 TGdata[</w:t>
      </w:r>
      <w:r>
        <w:rPr>
          <w:rStyle w:val="DecValTok"/>
        </w:rPr>
        <w:t xml:space="preserve">41</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type="textWrapping"/>
      </w:r>
      <w:r>
        <w:rPr>
          <w:rStyle w:val="NormalTok"/>
        </w:rPr>
        <w:t xml:space="preserve">d3 &lt;-</w:t>
      </w:r>
      <w:r>
        <w:rPr>
          <w:rStyle w:val="StringTok"/>
        </w:rPr>
        <w:t xml:space="preserve"> </w:t>
      </w:r>
      <w:r>
        <w:rPr>
          <w:rStyle w:val="KeywordTok"/>
        </w:rPr>
        <w:t xml:space="preserve">c</w:t>
      </w:r>
      <w:r>
        <w:rPr>
          <w:rStyle w:val="NormalTok"/>
        </w:rPr>
        <w:t xml:space="preserve">(TGdata[</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TGdata[</w:t>
      </w:r>
      <w:r>
        <w:rPr>
          <w:rStyle w:val="DecValTok"/>
        </w:rPr>
        <w:t xml:space="preserve">51</w:t>
      </w:r>
      <w:r>
        <w:rPr>
          <w:rStyle w:val="NormalTok"/>
        </w:rPr>
        <w:t xml:space="preserve">:</w:t>
      </w:r>
      <w:r>
        <w:rPr>
          <w:rStyle w:val="DecValTok"/>
        </w:rPr>
        <w:t xml:space="preserve">60</w:t>
      </w:r>
      <w:r>
        <w:rPr>
          <w:rStyle w:val="NormalTok"/>
        </w:rPr>
        <w:t xml:space="preserve">,</w:t>
      </w:r>
      <w:r>
        <w:rPr>
          <w:rStyle w:val="DecValTok"/>
        </w:rPr>
        <w:t xml:space="preserve">1</w:t>
      </w:r>
      <w:r>
        <w:rPr>
          <w:rStyle w:val="NormalTok"/>
        </w:rPr>
        <w:t xml:space="preserve">])</w:t>
      </w:r>
      <w:r>
        <w:br w:type="textWrapping"/>
      </w:r>
      <w:r>
        <w:rPr>
          <w:rStyle w:val="NormalTok"/>
        </w:rPr>
        <w:t xml:space="preserve">AvB &lt;-</w:t>
      </w:r>
      <w:r>
        <w:rPr>
          <w:rStyle w:val="StringTok"/>
        </w:rPr>
        <w:t xml:space="preserve"> </w:t>
      </w:r>
      <w:r>
        <w:rPr>
          <w:rStyle w:val="KeywordTok"/>
        </w:rPr>
        <w:t xml:space="preserve">t.test</w:t>
      </w:r>
      <w:r>
        <w:rPr>
          <w:rStyle w:val="NormalTok"/>
        </w:rPr>
        <w:t xml:space="preserve">(d1, d2,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AvC &lt;-</w:t>
      </w:r>
      <w:r>
        <w:rPr>
          <w:rStyle w:val="StringTok"/>
        </w:rPr>
        <w:t xml:space="preserve"> </w:t>
      </w:r>
      <w:r>
        <w:rPr>
          <w:rStyle w:val="KeywordTok"/>
        </w:rPr>
        <w:t xml:space="preserve">t.test</w:t>
      </w:r>
      <w:r>
        <w:rPr>
          <w:rStyle w:val="NormalTok"/>
        </w:rPr>
        <w:t xml:space="preserve">(d1, d3,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BvC &lt;-</w:t>
      </w:r>
      <w:r>
        <w:rPr>
          <w:rStyle w:val="StringTok"/>
        </w:rPr>
        <w:t xml:space="preserve"> </w:t>
      </w:r>
      <w:r>
        <w:rPr>
          <w:rStyle w:val="KeywordTok"/>
        </w:rPr>
        <w:t xml:space="preserve">t.test</w:t>
      </w:r>
      <w:r>
        <w:rPr>
          <w:rStyle w:val="NormalTok"/>
        </w:rPr>
        <w:t xml:space="preserve">(d2, d3,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(AvB$p.value, AvC$p.value, BvC$p.value))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"0.5 vs. 1.0 "</w:t>
      </w:r>
      <w:r>
        <w:rPr>
          <w:rStyle w:val="NormalTok"/>
        </w:rPr>
        <w:t xml:space="preserve">,</w:t>
      </w:r>
      <w:r>
        <w:rPr>
          <w:rStyle w:val="StringTok"/>
        </w:rPr>
        <w:t xml:space="preserve">"0.5 vs. 2.0 "</w:t>
      </w:r>
      <w:r>
        <w:rPr>
          <w:rStyle w:val="NormalTok"/>
        </w:rPr>
        <w:t xml:space="preserve">,</w:t>
      </w:r>
      <w:r>
        <w:rPr>
          <w:rStyle w:val="StringTok"/>
        </w:rPr>
        <w:t xml:space="preserve">"1.0 vs. 2.0 "</w:t>
      </w:r>
      <w:r>
        <w:rPr>
          <w:rStyle w:val="NormalTok"/>
        </w:rPr>
        <w:t xml:space="preserve">),results)</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 Comparison of Dose |"</w:t>
      </w:r>
      <w:r>
        <w:rPr>
          <w:rStyle w:val="NormalTok"/>
        </w:rPr>
        <w:t xml:space="preserve">, </w:t>
      </w:r>
      <w:r>
        <w:rPr>
          <w:rStyle w:val="StringTok"/>
        </w:rPr>
        <w:t xml:space="preserve">"|  P-Value   |"</w:t>
      </w:r>
      <w:r>
        <w:rPr>
          <w:rStyle w:val="NormalTok"/>
        </w:rPr>
        <w:t xml:space="preserve">)</w:t>
      </w:r>
      <w:r>
        <w:br w:type="textWrapping"/>
      </w:r>
      <w:r>
        <w:rPr>
          <w:rStyle w:val="NormalTok"/>
        </w:rPr>
        <w:t xml:space="preserve">results</w:t>
      </w:r>
      <w:r>
        <w:br w:type="textWrapping"/>
      </w:r>
      <w:r>
        <w:br w:type="textWrapping"/>
      </w:r>
      <w:r>
        <w:rPr>
          <w:rStyle w:val="NormalTok"/>
        </w:rPr>
        <w:t xml:space="preserve">VCd1 &lt;-</w:t>
      </w:r>
      <w:r>
        <w:rPr>
          <w:rStyle w:val="StringTok"/>
        </w:rPr>
        <w:t xml:space="preserve"> </w:t>
      </w:r>
      <w:r>
        <w:rPr>
          <w:rStyle w:val="KeywordTok"/>
        </w:rPr>
        <w:t xml:space="preserve">c</w:t>
      </w:r>
      <w:r>
        <w:rPr>
          <w:rStyle w:val="NormalTok"/>
        </w:rPr>
        <w:t xml:space="preserve">(TGdata[</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VCd2 &lt;-</w:t>
      </w:r>
      <w:r>
        <w:rPr>
          <w:rStyle w:val="StringTok"/>
        </w:rPr>
        <w:t xml:space="preserve"> </w:t>
      </w:r>
      <w:r>
        <w:rPr>
          <w:rStyle w:val="KeywordTok"/>
        </w:rPr>
        <w:t xml:space="preserve">c</w:t>
      </w:r>
      <w:r>
        <w:rPr>
          <w:rStyle w:val="NormalTok"/>
        </w:rPr>
        <w:t xml:space="preserve">(TGdata[</w:t>
      </w:r>
      <w:r>
        <w:rPr>
          <w:rStyle w:val="DecValTok"/>
        </w:rPr>
        <w:t xml:space="preserve">11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VCd3 &lt;-</w:t>
      </w:r>
      <w:r>
        <w:rPr>
          <w:rStyle w:val="StringTok"/>
        </w:rPr>
        <w:t xml:space="preserve"> </w:t>
      </w:r>
      <w:r>
        <w:rPr>
          <w:rStyle w:val="KeywordTok"/>
        </w:rPr>
        <w:t xml:space="preserve">c</w:t>
      </w:r>
      <w:r>
        <w:rPr>
          <w:rStyle w:val="NormalTok"/>
        </w:rPr>
        <w:t xml:space="preserve">(TGdata[</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OJd1 &lt;-</w:t>
      </w:r>
      <w:r>
        <w:rPr>
          <w:rStyle w:val="StringTok"/>
        </w:rPr>
        <w:t xml:space="preserve"> </w:t>
      </w:r>
      <w:r>
        <w:rPr>
          <w:rStyle w:val="KeywordTok"/>
        </w:rPr>
        <w:t xml:space="preserve">c</w:t>
      </w:r>
      <w:r>
        <w:rPr>
          <w:rStyle w:val="NormalTok"/>
        </w:rPr>
        <w:t xml:space="preserve">(TGdata[</w:t>
      </w:r>
      <w:r>
        <w:rPr>
          <w:rStyle w:val="DecValTok"/>
        </w:rPr>
        <w:t xml:space="preserve">31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w:t>
      </w:r>
      <w:r>
        <w:br w:type="textWrapping"/>
      </w:r>
      <w:r>
        <w:rPr>
          <w:rStyle w:val="NormalTok"/>
        </w:rPr>
        <w:t xml:space="preserve">OJd2 &lt;-</w:t>
      </w:r>
      <w:r>
        <w:rPr>
          <w:rStyle w:val="StringTok"/>
        </w:rPr>
        <w:t xml:space="preserve"> </w:t>
      </w:r>
      <w:r>
        <w:rPr>
          <w:rStyle w:val="KeywordTok"/>
        </w:rPr>
        <w:t xml:space="preserve">c</w:t>
      </w:r>
      <w:r>
        <w:rPr>
          <w:rStyle w:val="NormalTok"/>
        </w:rPr>
        <w:t xml:space="preserve">(TGdata[</w:t>
      </w:r>
      <w:r>
        <w:rPr>
          <w:rStyle w:val="DecValTok"/>
        </w:rPr>
        <w:t xml:space="preserve">41</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type="textWrapping"/>
      </w:r>
      <w:r>
        <w:rPr>
          <w:rStyle w:val="NormalTok"/>
        </w:rPr>
        <w:t xml:space="preserve">OJd3 &lt;-</w:t>
      </w:r>
      <w:r>
        <w:rPr>
          <w:rStyle w:val="StringTok"/>
        </w:rPr>
        <w:t xml:space="preserve"> </w:t>
      </w:r>
      <w:r>
        <w:rPr>
          <w:rStyle w:val="KeywordTok"/>
        </w:rPr>
        <w:t xml:space="preserve">c</w:t>
      </w:r>
      <w:r>
        <w:rPr>
          <w:rStyle w:val="NormalTok"/>
        </w:rPr>
        <w:t xml:space="preserve">(TGdata[</w:t>
      </w:r>
      <w:r>
        <w:rPr>
          <w:rStyle w:val="DecValTok"/>
        </w:rPr>
        <w:t xml:space="preserve">51</w:t>
      </w:r>
      <w:r>
        <w:rPr>
          <w:rStyle w:val="NormalTok"/>
        </w:rPr>
        <w:t xml:space="preserve">:</w:t>
      </w:r>
      <w:r>
        <w:rPr>
          <w:rStyle w:val="DecValTok"/>
        </w:rPr>
        <w:t xml:space="preserve">60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A1vB1 &lt;-</w:t>
      </w:r>
      <w:r>
        <w:rPr>
          <w:rStyle w:val="StringTok"/>
        </w:rPr>
        <w:t xml:space="preserve"> </w:t>
      </w:r>
      <w:r>
        <w:rPr>
          <w:rStyle w:val="KeywordTok"/>
        </w:rPr>
        <w:t xml:space="preserve">t.test</w:t>
      </w:r>
      <w:r>
        <w:rPr>
          <w:rStyle w:val="NormalTok"/>
        </w:rPr>
        <w:t xml:space="preserve">(VCd1, OJd1,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A2vB2 &lt;-</w:t>
      </w:r>
      <w:r>
        <w:rPr>
          <w:rStyle w:val="StringTok"/>
        </w:rPr>
        <w:t xml:space="preserve"> </w:t>
      </w:r>
      <w:r>
        <w:rPr>
          <w:rStyle w:val="KeywordTok"/>
        </w:rPr>
        <w:t xml:space="preserve">t.test</w:t>
      </w:r>
      <w:r>
        <w:rPr>
          <w:rStyle w:val="NormalTok"/>
        </w:rPr>
        <w:t xml:space="preserve">(VCd2, OJd2,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A3vB3 &lt;-</w:t>
      </w:r>
      <w:r>
        <w:rPr>
          <w:rStyle w:val="StringTok"/>
        </w:rPr>
        <w:t xml:space="preserve"> </w:t>
      </w:r>
      <w:r>
        <w:rPr>
          <w:rStyle w:val="KeywordTok"/>
        </w:rPr>
        <w:t xml:space="preserve">t.test</w:t>
      </w:r>
      <w:r>
        <w:rPr>
          <w:rStyle w:val="NormalTok"/>
        </w:rPr>
        <w:t xml:space="preserve">(VCd3, OJd3,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results2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(A1vB1$p.value, A2vB2$p.value, A3vB3$p.value))</w:t>
      </w:r>
      <w:r>
        <w:br w:type="textWrapping"/>
      </w:r>
      <w:r>
        <w:rPr>
          <w:rStyle w:val="NormalTok"/>
        </w:rPr>
        <w:t xml:space="preserve">results2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"Dose 0.5:  VC vs. OJ"</w:t>
      </w:r>
      <w:r>
        <w:rPr>
          <w:rStyle w:val="NormalTok"/>
        </w:rPr>
        <w:t xml:space="preserve">,</w:t>
      </w:r>
      <w:r>
        <w:rPr>
          <w:rStyle w:val="StringTok"/>
        </w:rPr>
        <w:t xml:space="preserve">"Dose 1.0:  VC vs. OJ"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"Dose 2.0:  VC vs. OJ"</w:t>
      </w:r>
      <w:r>
        <w:rPr>
          <w:rStyle w:val="NormalTok"/>
        </w:rPr>
        <w:t xml:space="preserve">),</w:t>
      </w:r>
      <w:r>
        <w:rPr>
          <w:rStyle w:val="KeywordTok"/>
        </w:rPr>
        <w:t xml:space="preserve">round</w:t>
      </w:r>
      <w:r>
        <w:rPr>
          <w:rStyle w:val="NormalTok"/>
        </w:rPr>
        <w:t xml:space="preserve">(results2,</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(results2) &lt;-</w:t>
      </w:r>
      <w:r>
        <w:rPr>
          <w:rStyle w:val="StringTok"/>
        </w:rPr>
        <w:t xml:space="preserve"> </w:t>
      </w:r>
      <w:r>
        <w:rPr>
          <w:rStyle w:val="KeywordTok"/>
        </w:rPr>
        <w:t xml:space="preserve">c</w:t>
      </w:r>
      <w:r>
        <w:rPr>
          <w:rStyle w:val="NormalTok"/>
        </w:rPr>
        <w:t xml:space="preserve">(</w:t>
      </w:r>
      <w:r>
        <w:rPr>
          <w:rStyle w:val="StringTok"/>
        </w:rPr>
        <w:t xml:space="preserve">"|Comparison of Supp by Dose |"</w:t>
      </w:r>
      <w:r>
        <w:rPr>
          <w:rStyle w:val="NormalTok"/>
        </w:rPr>
        <w:t xml:space="preserve">, </w:t>
      </w:r>
      <w:r>
        <w:rPr>
          <w:rStyle w:val="StringTok"/>
        </w:rPr>
        <w:t xml:space="preserve">"| P-Value |"</w:t>
      </w:r>
      <w:r>
        <w:rPr>
          <w:rStyle w:val="NormalTok"/>
        </w:rPr>
        <w:t xml:space="preserve">)</w:t>
      </w:r>
      <w:r>
        <w:br w:type="textWrapping"/>
      </w:r>
      <w:r>
        <w:rPr>
          <w:rStyle w:val="NormalTok"/>
        </w:rPr>
        <w:t xml:space="preserve">results2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ad9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8d923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ToothGrowth data</dc:title>
  <dc:creator>J. Thatcher</dc:creator>
</cp:coreProperties>
</file>