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1F3864" w:color="auto" w:val="clear"/>
        <w:spacing w:after="0" w:line="300"/>
        <w:ind w:left="60"/>
      </w:pPr>
      <w:r>
        <w:rPr>
          <w:rFonts w:ascii="Calibri" w:cs="Calibri" w:eastAsia="Calibri" w:hAnsi="Calibri"/>
          <w:b/>
          <w:bCs/>
          <w:color w:val="FFFFFF"/>
          <w:sz w:val="26"/>
          <w:szCs w:val="26"/>
        </w:rPr>
        <w:t xml:space="preserve">SYAMA  |  SAG PEBBLE (SCAT) ORE SORTING</w:t>
      </w:r>
    </w:p>
    <w:p>
      <w:pPr>
        <w:shd w:fill="2E5C8A" w:color="auto" w:val="clear"/>
        <w:spacing w:after="100" w:line="250"/>
        <w:ind w:left="60"/>
      </w:pPr>
      <w:r>
        <w:rPr>
          <w:rFonts w:ascii="Calibri" w:cs="Calibri" w:eastAsia="Calibri" w:hAnsi="Calibri"/>
          <w:color w:val="FFFFFF"/>
          <w:sz w:val="17"/>
          <w:szCs w:val="17"/>
        </w:rPr>
        <w:t xml:space="preserve">Assessment of the business case and recommendation on STEINERT ore sorting</w:t>
      </w:r>
    </w:p>
    <w:tbl>
      <w:tblPr>
        <w:tblW w:type="dxa" w:w="9360"/>
        <w:tblBorders>
          <w:top w:val="single" w:color="AEBBD0" w:sz="2"/>
          <w:left w:val="single" w:color="AEBBD0" w:sz="2"/>
          <w:bottom w:val="single" w:color="AEBBD0" w:sz="2"/>
          <w:right w:val="single" w:color="AEBBD0" w:sz="2"/>
          <w:insideH w:val="single" w:color="AEBBD0" w:sz="2"/>
          <w:insideV w:val="single" w:color="AEBBD0" w:sz="2"/>
        </w:tblBorders>
      </w:tblPr>
      <w:tblGrid>
        <w:gridCol w:w="1404"/>
        <w:gridCol w:w="3557"/>
        <w:gridCol w:w="1404"/>
        <w:gridCol w:w="2995"/>
      </w:tblGrid>
      <w:tr>
        <w:trPr>
          <w:cantSplit/>
          <w:tblHeader/>
        </w:trPr>
        <w:tc>
          <w:tcPr>
            <w:tcW w:type="dxa" w:w="1404"/>
            <w:shd w:fill="1F3864" w:color="auto" w:val="clear"/>
            <w:tcMar>
              <w:top w:type="dxa" w:w="25"/>
              <w:left w:type="dxa" w:w="70"/>
              <w:bottom w:type="dxa" w:w="25"/>
              <w:right w:type="dxa" w:w="70"/>
            </w:tcMar>
          </w:tcPr>
          <w:p>
            <w:pPr>
              <w:spacing w:after="0" w:before="0" w:line="210"/>
              <w:jc w:val="left"/>
            </w:pPr>
            <w:r>
              <w:rPr>
                <w:rFonts w:ascii="Calibri" w:cs="Calibri" w:eastAsia="Calibri" w:hAnsi="Calibri"/>
                <w:b/>
                <w:bCs/>
                <w:color w:val="FFFFFF"/>
                <w:sz w:val="15"/>
                <w:szCs w:val="15"/>
              </w:rPr>
              <w:t xml:space="preserve">Field</w:t>
            </w:r>
          </w:p>
        </w:tc>
        <w:tc>
          <w:tcPr>
            <w:tcW w:type="dxa" w:w="3557"/>
            <w:shd w:fill="1F3864" w:color="auto" w:val="clear"/>
            <w:tcMar>
              <w:top w:type="dxa" w:w="25"/>
              <w:left w:type="dxa" w:w="70"/>
              <w:bottom w:type="dxa" w:w="25"/>
              <w:right w:type="dxa" w:w="70"/>
            </w:tcMar>
          </w:tcPr>
          <w:p>
            <w:pPr>
              <w:spacing w:after="0" w:before="0" w:line="210"/>
              <w:jc w:val="left"/>
            </w:pPr>
            <w:r>
              <w:rPr>
                <w:rFonts w:ascii="Calibri" w:cs="Calibri" w:eastAsia="Calibri" w:hAnsi="Calibri"/>
                <w:b/>
                <w:bCs/>
                <w:color w:val="FFFFFF"/>
                <w:sz w:val="15"/>
                <w:szCs w:val="15"/>
              </w:rPr>
              <w:t xml:space="preserve">Detail</w:t>
            </w:r>
          </w:p>
        </w:tc>
        <w:tc>
          <w:tcPr>
            <w:tcW w:type="dxa" w:w="1404"/>
            <w:shd w:fill="1F3864" w:color="auto" w:val="clear"/>
            <w:tcMar>
              <w:top w:type="dxa" w:w="25"/>
              <w:left w:type="dxa" w:w="70"/>
              <w:bottom w:type="dxa" w:w="25"/>
              <w:right w:type="dxa" w:w="70"/>
            </w:tcMar>
          </w:tcPr>
          <w:p>
            <w:pPr>
              <w:spacing w:after="0" w:before="0" w:line="210"/>
              <w:jc w:val="left"/>
            </w:pPr>
            <w:r>
              <w:rPr>
                <w:rFonts w:ascii="Calibri" w:cs="Calibri" w:eastAsia="Calibri" w:hAnsi="Calibri"/>
                <w:b/>
                <w:bCs/>
                <w:color w:val="FFFFFF"/>
                <w:sz w:val="15"/>
                <w:szCs w:val="15"/>
              </w:rPr>
              <w:t xml:space="preserve">Field</w:t>
            </w:r>
          </w:p>
        </w:tc>
        <w:tc>
          <w:tcPr>
            <w:tcW w:type="dxa" w:w="2995"/>
            <w:shd w:fill="1F3864" w:color="auto" w:val="clear"/>
            <w:tcMar>
              <w:top w:type="dxa" w:w="25"/>
              <w:left w:type="dxa" w:w="70"/>
              <w:bottom w:type="dxa" w:w="25"/>
              <w:right w:type="dxa" w:w="70"/>
            </w:tcMar>
          </w:tcPr>
          <w:p>
            <w:pPr>
              <w:spacing w:after="0" w:before="0" w:line="210"/>
              <w:jc w:val="left"/>
            </w:pPr>
            <w:r>
              <w:rPr>
                <w:rFonts w:ascii="Calibri" w:cs="Calibri" w:eastAsia="Calibri" w:hAnsi="Calibri"/>
                <w:b/>
                <w:bCs/>
                <w:color w:val="FFFFFF"/>
                <w:sz w:val="15"/>
                <w:szCs w:val="15"/>
              </w:rPr>
              <w:t xml:space="preserve">Detail</w:t>
            </w:r>
          </w:p>
        </w:tc>
      </w:tr>
      <w:tr>
        <w:trPr>
          <w:cantSplit/>
          <w:tblHeader w:val="false"/>
        </w:trPr>
        <w:tc>
          <w:tcPr>
            <w:tcW w:type="dxa" w:w="1404"/>
            <w:shd w:fill="FFFFFF" w:color="auto" w:val="clear"/>
            <w:tcMar>
              <w:top w:type="dxa" w:w="25"/>
              <w:left w:type="dxa" w:w="70"/>
              <w:bottom w:type="dxa" w:w="25"/>
              <w:right w:type="dxa" w:w="70"/>
            </w:tcMar>
          </w:tcPr>
          <w:p>
            <w:pPr>
              <w:spacing w:after="0" w:before="0" w:line="210"/>
              <w:jc w:val="left"/>
            </w:pPr>
            <w:r>
              <w:rPr>
                <w:rFonts w:ascii="Calibri" w:cs="Calibri" w:eastAsia="Calibri" w:hAnsi="Calibri"/>
                <w:b/>
                <w:bCs/>
                <w:color w:val="000000"/>
                <w:sz w:val="15"/>
                <w:szCs w:val="15"/>
              </w:rPr>
              <w:t xml:space="preserve">Date</w:t>
            </w:r>
          </w:p>
        </w:tc>
        <w:tc>
          <w:tcPr>
            <w:tcW w:type="dxa" w:w="3557"/>
            <w:shd w:fill="FFFFFF" w:color="auto" w:val="clear"/>
            <w:tcMar>
              <w:top w:type="dxa" w:w="25"/>
              <w:left w:type="dxa" w:w="70"/>
              <w:bottom w:type="dxa" w:w="25"/>
              <w:right w:type="dxa" w:w="70"/>
            </w:tcMar>
          </w:tcPr>
          <w:p>
            <w:pPr>
              <w:spacing w:after="0" w:before="0" w:line="210"/>
              <w:jc w:val="left"/>
            </w:pPr>
            <w:r>
              <w:rPr>
                <w:rFonts w:ascii="Calibri" w:cs="Calibri" w:eastAsia="Calibri" w:hAnsi="Calibri"/>
                <w:color w:val="000000"/>
                <w:sz w:val="15"/>
                <w:szCs w:val="15"/>
              </w:rPr>
              <w:t xml:space="preserve">5 August 2026</w:t>
            </w:r>
          </w:p>
        </w:tc>
        <w:tc>
          <w:tcPr>
            <w:tcW w:type="dxa" w:w="1404"/>
            <w:shd w:fill="FFFFFF" w:color="auto" w:val="clear"/>
            <w:tcMar>
              <w:top w:type="dxa" w:w="25"/>
              <w:left w:type="dxa" w:w="70"/>
              <w:bottom w:type="dxa" w:w="25"/>
              <w:right w:type="dxa" w:w="70"/>
            </w:tcMar>
          </w:tcPr>
          <w:p>
            <w:pPr>
              <w:spacing w:after="0" w:before="0" w:line="210"/>
              <w:jc w:val="right"/>
            </w:pPr>
            <w:r>
              <w:rPr>
                <w:rFonts w:ascii="Calibri" w:cs="Calibri" w:eastAsia="Calibri" w:hAnsi="Calibri"/>
                <w:b/>
                <w:bCs/>
                <w:color w:val="000000"/>
                <w:sz w:val="15"/>
                <w:szCs w:val="15"/>
              </w:rPr>
              <w:t xml:space="preserve">Basis</w:t>
            </w:r>
          </w:p>
        </w:tc>
        <w:tc>
          <w:tcPr>
            <w:tcW w:type="dxa" w:w="2995"/>
            <w:shd w:fill="FFFFFF" w:color="auto" w:val="clear"/>
            <w:tcMar>
              <w:top w:type="dxa" w:w="25"/>
              <w:left w:type="dxa" w:w="70"/>
              <w:bottom w:type="dxa" w:w="25"/>
              <w:right w:type="dxa" w:w="70"/>
            </w:tcMar>
          </w:tcPr>
          <w:p>
            <w:pPr>
              <w:spacing w:after="0" w:before="0" w:line="210"/>
              <w:jc w:val="left"/>
            </w:pPr>
            <w:r>
              <w:rPr>
                <w:rFonts w:ascii="Calibri" w:cs="Calibri" w:eastAsia="Calibri" w:hAnsi="Calibri"/>
                <w:color w:val="000000"/>
                <w:sz w:val="15"/>
                <w:szCs w:val="15"/>
              </w:rPr>
              <w:t xml:space="preserve">STEINERT model SR241558 (Sukari), re-parameterised</w:t>
            </w:r>
          </w:p>
        </w:tc>
      </w:tr>
      <w:tr>
        <w:trPr>
          <w:cantSplit/>
          <w:tblHeader w:val="false"/>
        </w:trPr>
        <w:tc>
          <w:tcPr>
            <w:tcW w:type="dxa" w:w="1404"/>
            <w:shd w:fill="F2F2F2" w:color="auto" w:val="clear"/>
            <w:tcMar>
              <w:top w:type="dxa" w:w="25"/>
              <w:left w:type="dxa" w:w="70"/>
              <w:bottom w:type="dxa" w:w="25"/>
              <w:right w:type="dxa" w:w="70"/>
            </w:tcMar>
          </w:tcPr>
          <w:p>
            <w:pPr>
              <w:spacing w:after="0" w:before="0" w:line="210"/>
              <w:jc w:val="left"/>
            </w:pPr>
            <w:r>
              <w:rPr>
                <w:rFonts w:ascii="Calibri" w:cs="Calibri" w:eastAsia="Calibri" w:hAnsi="Calibri"/>
                <w:b/>
                <w:bCs/>
                <w:color w:val="000000"/>
                <w:sz w:val="15"/>
                <w:szCs w:val="15"/>
              </w:rPr>
              <w:t xml:space="preserve">Subject</w:t>
            </w:r>
          </w:p>
        </w:tc>
        <w:tc>
          <w:tcPr>
            <w:tcW w:type="dxa" w:w="3557"/>
            <w:shd w:fill="F2F2F2" w:color="auto" w:val="clear"/>
            <w:tcMar>
              <w:top w:type="dxa" w:w="25"/>
              <w:left w:type="dxa" w:w="70"/>
              <w:bottom w:type="dxa" w:w="25"/>
              <w:right w:type="dxa" w:w="70"/>
            </w:tcMar>
          </w:tcPr>
          <w:p>
            <w:pPr>
              <w:spacing w:after="0" w:before="0" w:line="210"/>
              <w:jc w:val="left"/>
            </w:pPr>
            <w:r>
              <w:rPr>
                <w:rFonts w:ascii="Calibri" w:cs="Calibri" w:eastAsia="Calibri" w:hAnsi="Calibri"/>
                <w:color w:val="000000"/>
                <w:sz w:val="15"/>
                <w:szCs w:val="15"/>
              </w:rPr>
              <w:t xml:space="preserve">Sorting of SAG scats, converted (ex-oxide) line</w:t>
            </w:r>
          </w:p>
        </w:tc>
        <w:tc>
          <w:tcPr>
            <w:tcW w:type="dxa" w:w="1404"/>
            <w:shd w:fill="F2F2F2" w:color="auto" w:val="clear"/>
            <w:tcMar>
              <w:top w:type="dxa" w:w="25"/>
              <w:left w:type="dxa" w:w="70"/>
              <w:bottom w:type="dxa" w:w="25"/>
              <w:right w:type="dxa" w:w="70"/>
            </w:tcMar>
          </w:tcPr>
          <w:p>
            <w:pPr>
              <w:spacing w:after="0" w:before="0" w:line="210"/>
              <w:jc w:val="right"/>
            </w:pPr>
            <w:r>
              <w:rPr>
                <w:rFonts w:ascii="Calibri" w:cs="Calibri" w:eastAsia="Calibri" w:hAnsi="Calibri"/>
                <w:b/>
                <w:bCs/>
                <w:color w:val="000000"/>
                <w:sz w:val="15"/>
                <w:szCs w:val="15"/>
              </w:rPr>
              <w:t xml:space="preserve">Key input</w:t>
            </w:r>
          </w:p>
        </w:tc>
        <w:tc>
          <w:tcPr>
            <w:tcW w:type="dxa" w:w="2995"/>
            <w:shd w:fill="F2F2F2" w:color="auto" w:val="clear"/>
            <w:tcMar>
              <w:top w:type="dxa" w:w="25"/>
              <w:left w:type="dxa" w:w="70"/>
              <w:bottom w:type="dxa" w:w="25"/>
              <w:right w:type="dxa" w:w="70"/>
            </w:tcMar>
          </w:tcPr>
          <w:p>
            <w:pPr>
              <w:spacing w:after="0" w:before="0" w:line="210"/>
              <w:jc w:val="left"/>
            </w:pPr>
            <w:r>
              <w:rPr>
                <w:rFonts w:ascii="Calibri" w:cs="Calibri" w:eastAsia="Calibri" w:hAnsi="Calibri"/>
                <w:b/>
                <w:bCs/>
                <w:color w:val="000000"/>
                <w:sz w:val="15"/>
                <w:szCs w:val="15"/>
              </w:rPr>
              <w:t xml:space="preserve">Scat grade 2.0 g/t Au (client sampling)</w:t>
            </w:r>
          </w:p>
        </w:tc>
      </w:tr>
    </w:tbl>
    <w:p>
      <w:pPr>
        <w:keepNext/>
        <w:shd w:fill="2E5C8A" w:color="auto" w:val="clear"/>
        <w:spacing w:after="70" w:before="130" w:line="240"/>
        <w:ind w:left="60"/>
      </w:pPr>
      <w:r>
        <w:rPr>
          <w:rFonts w:ascii="Calibri" w:cs="Calibri" w:eastAsia="Calibri" w:hAnsi="Calibri"/>
          <w:b/>
          <w:bCs/>
          <w:color w:val="FFFFFF"/>
          <w:sz w:val="19"/>
          <w:szCs w:val="19"/>
        </w:rPr>
        <w:t xml:space="preserve">1.  Recommendation</w:t>
      </w:r>
    </w:p>
    <w:p>
      <w:pPr>
        <w:spacing w:after="70" w:before="0" w:line="230"/>
      </w:pPr>
      <w:r>
        <w:rPr>
          <w:rFonts w:ascii="Calibri" w:cs="Calibri" w:eastAsia="Calibri" w:hAnsi="Calibri"/>
          <w:color w:val="000000"/>
          <w:sz w:val="17"/>
          <w:szCs w:val="17"/>
        </w:rPr>
        <w:t xml:space="preserve">Conditional GO — fund test work, not the plant. The re-parameterised case returns an NPV of US$33.6 M with a 6.5-month payback on US$4.1 M of capital, but the entire result rests on one assumption that has not been tested: that freed SAG capacity gets refilled with ore. Strip that away and the same plant destroys US$13.9 M. Two gates must be closed before any capital is committed.</w:t>
      </w:r>
    </w:p>
    <w:p>
      <w:pPr>
        <w:pStyle w:val="ListParagraph"/>
        <w:numPr>
          <w:ilvl w:val="0"/>
          <w:numId w:val="1"/>
        </w:numPr>
        <w:spacing w:after="40" w:before="0" w:line="225"/>
        <w:ind w:left="260" w:hanging="180"/>
      </w:pPr>
      <w:r>
        <w:rPr>
          <w:rFonts w:ascii="Calibri" w:cs="Calibri" w:eastAsia="Calibri" w:hAnsi="Calibri"/>
          <w:b w:val="false"/>
          <w:bCs w:val="false"/>
          <w:color w:val="000000"/>
          <w:sz w:val="17"/>
          <w:szCs w:val="17"/>
        </w:rPr>
        <w:t xml:space="preserve">Gate 1 (commercial, no cost, ~4 weeks) — confirm that comminution, not the roaster/flotation circuit or ore supply, is the binding constraint on the converted line post-SSCP, and that ore exists to fill it.</w:t>
      </w:r>
    </w:p>
    <w:p>
      <w:pPr>
        <w:pStyle w:val="ListParagraph"/>
        <w:numPr>
          <w:ilvl w:val="0"/>
          <w:numId w:val="1"/>
        </w:numPr>
        <w:spacing w:after="40" w:before="0" w:line="225"/>
        <w:ind w:left="260" w:hanging="180"/>
      </w:pPr>
      <w:r>
        <w:rPr>
          <w:rFonts w:ascii="Calibri" w:cs="Calibri" w:eastAsia="Calibri" w:hAnsi="Calibri"/>
          <w:color w:val="000000"/>
          <w:sz w:val="17"/>
          <w:szCs w:val="17"/>
        </w:rPr>
        <w:t xml:space="preserve">Gate 2 (technical, ~US$60–150 k, ~3 months) — a bulk XRT/sensor test on 2–5 t of Syama scats. A 1.8× mass contrast is not proof of a detectable sensor contrast.</w:t>
      </w:r>
    </w:p>
    <w:p>
      <w:pPr>
        <w:spacing w:after="40" w:before="0" w:line="230"/>
      </w:pPr>
      <w:r>
        <w:rPr>
          <w:rFonts w:ascii="Calibri" w:cs="Calibri" w:eastAsia="Calibri" w:hAnsi="Calibri"/>
          <w:i/>
          <w:iCs/>
          <w:color w:val="000000"/>
          <w:sz w:val="17"/>
          <w:szCs w:val="17"/>
        </w:rPr>
        <w:t xml:space="preserve">Do not order a sorter until both gates pass. The downside case is not marginal — it is a materially negative NPV plus permanent gold loss to the waste dump.</w:t>
      </w:r>
    </w:p>
    <w:p>
      <w:pPr>
        <w:keepNext/>
        <w:shd w:fill="2E5C8A" w:color="auto" w:val="clear"/>
        <w:spacing w:after="70" w:before="130" w:line="240"/>
        <w:ind w:left="60"/>
      </w:pPr>
      <w:r>
        <w:rPr>
          <w:rFonts w:ascii="Calibri" w:cs="Calibri" w:eastAsia="Calibri" w:hAnsi="Calibri"/>
          <w:b/>
          <w:bCs/>
          <w:color w:val="FFFFFF"/>
          <w:sz w:val="19"/>
          <w:szCs w:val="19"/>
        </w:rPr>
        <w:t xml:space="preserve">2.  What the work to date establishes</w:t>
      </w:r>
    </w:p>
    <w:p>
      <w:pPr>
        <w:spacing w:after="70" w:before="0" w:line="230"/>
      </w:pPr>
      <w:r>
        <w:rPr>
          <w:rFonts w:ascii="Calibri" w:cs="Calibri" w:eastAsia="Calibri" w:hAnsi="Calibri"/>
          <w:color w:val="000000"/>
          <w:sz w:val="17"/>
          <w:szCs w:val="17"/>
        </w:rPr>
        <w:t xml:space="preserve">The Sukari SR241558 model simulates a pebble sorter on the SAG mill discharge screen oversize. Barren scat mass is rejected, the circulating load falls, freed SAG capacity is refilled with ROM, and mill/leach feed tonnage is held constant by Goal Seek so the benefit reports as higher feed grade. At Sukari it produced +7,925 oz/a for US$8.2 M. The engine is sound and transfers directly to Syama; what does not transfer is the material property that made Sukari work.</w:t>
      </w:r>
    </w:p>
    <w:tbl>
      <w:tblPr>
        <w:tblW w:type="dxa" w:w="9360"/>
        <w:tblBorders>
          <w:top w:val="single" w:color="AEBBD0" w:sz="2"/>
          <w:left w:val="single" w:color="AEBBD0" w:sz="2"/>
          <w:bottom w:val="single" w:color="AEBBD0" w:sz="2"/>
          <w:right w:val="single" w:color="AEBBD0" w:sz="2"/>
          <w:insideH w:val="single" w:color="AEBBD0" w:sz="2"/>
          <w:insideV w:val="single" w:color="AEBBD0" w:sz="2"/>
        </w:tblBorders>
      </w:tblPr>
      <w:tblGrid>
        <w:gridCol w:w="2808"/>
        <w:gridCol w:w="1591"/>
        <w:gridCol w:w="1591"/>
        <w:gridCol w:w="3370"/>
      </w:tblGrid>
      <w:tr>
        <w:trPr>
          <w:cantSplit/>
          <w:tblHeader/>
        </w:trPr>
        <w:tc>
          <w:tcPr>
            <w:tcW w:type="dxa" w:w="2808"/>
            <w:shd w:fill="1F3864" w:color="auto" w:val="clear"/>
            <w:tcMar>
              <w:top w:type="dxa" w:w="25"/>
              <w:left w:type="dxa" w:w="70"/>
              <w:bottom w:type="dxa" w:w="25"/>
              <w:right w:type="dxa" w:w="70"/>
            </w:tcMar>
          </w:tcPr>
          <w:p>
            <w:pPr>
              <w:spacing w:after="0" w:before="0" w:line="210"/>
              <w:jc w:val="left"/>
            </w:pPr>
            <w:r>
              <w:rPr>
                <w:rFonts w:ascii="Calibri" w:cs="Calibri" w:eastAsia="Calibri" w:hAnsi="Calibri"/>
                <w:b/>
                <w:bCs/>
                <w:color w:val="FFFFFF"/>
                <w:sz w:val="15"/>
                <w:szCs w:val="15"/>
              </w:rPr>
              <w:t xml:space="preserve">Parameter</w:t>
            </w:r>
          </w:p>
        </w:tc>
        <w:tc>
          <w:tcPr>
            <w:tcW w:type="dxa" w:w="1591"/>
            <w:shd w:fill="1F3864" w:color="auto" w:val="clear"/>
            <w:tcMar>
              <w:top w:type="dxa" w:w="25"/>
              <w:left w:type="dxa" w:w="70"/>
              <w:bottom w:type="dxa" w:w="25"/>
              <w:right w:type="dxa" w:w="70"/>
            </w:tcMar>
          </w:tcPr>
          <w:p>
            <w:pPr>
              <w:spacing w:after="0" w:before="0" w:line="210"/>
              <w:jc w:val="right"/>
            </w:pPr>
            <w:r>
              <w:rPr>
                <w:rFonts w:ascii="Calibri" w:cs="Calibri" w:eastAsia="Calibri" w:hAnsi="Calibri"/>
                <w:b/>
                <w:bCs/>
                <w:color w:val="FFFFFF"/>
                <w:sz w:val="15"/>
                <w:szCs w:val="15"/>
              </w:rPr>
              <w:t xml:space="preserve">Sukari</w:t>
            </w:r>
          </w:p>
        </w:tc>
        <w:tc>
          <w:tcPr>
            <w:tcW w:type="dxa" w:w="1591"/>
            <w:shd w:fill="1F3864" w:color="auto" w:val="clear"/>
            <w:tcMar>
              <w:top w:type="dxa" w:w="25"/>
              <w:left w:type="dxa" w:w="70"/>
              <w:bottom w:type="dxa" w:w="25"/>
              <w:right w:type="dxa" w:w="70"/>
            </w:tcMar>
          </w:tcPr>
          <w:p>
            <w:pPr>
              <w:spacing w:after="0" w:before="0" w:line="210"/>
              <w:jc w:val="right"/>
            </w:pPr>
            <w:r>
              <w:rPr>
                <w:rFonts w:ascii="Calibri" w:cs="Calibri" w:eastAsia="Calibri" w:hAnsi="Calibri"/>
                <w:b/>
                <w:bCs/>
                <w:color w:val="FFFFFF"/>
                <w:sz w:val="15"/>
                <w:szCs w:val="15"/>
              </w:rPr>
              <w:t xml:space="preserve">Syama</w:t>
            </w:r>
          </w:p>
        </w:tc>
        <w:tc>
          <w:tcPr>
            <w:tcW w:type="dxa" w:w="3370"/>
            <w:shd w:fill="1F3864" w:color="auto" w:val="clear"/>
            <w:tcMar>
              <w:top w:type="dxa" w:w="25"/>
              <w:left w:type="dxa" w:w="70"/>
              <w:bottom w:type="dxa" w:w="25"/>
              <w:right w:type="dxa" w:w="70"/>
            </w:tcMar>
          </w:tcPr>
          <w:p>
            <w:pPr>
              <w:spacing w:after="0" w:before="0" w:line="210"/>
              <w:jc w:val="left"/>
            </w:pPr>
            <w:r>
              <w:rPr>
                <w:rFonts w:ascii="Calibri" w:cs="Calibri" w:eastAsia="Calibri" w:hAnsi="Calibri"/>
                <w:b/>
                <w:bCs/>
                <w:color w:val="FFFFFF"/>
                <w:sz w:val="15"/>
                <w:szCs w:val="15"/>
              </w:rPr>
              <w:t xml:space="preserve">Why it matters</w:t>
            </w:r>
          </w:p>
        </w:tc>
      </w:tr>
      <w:tr>
        <w:trPr>
          <w:cantSplit/>
          <w:tblHeader w:val="false"/>
        </w:trPr>
        <w:tc>
          <w:tcPr>
            <w:tcW w:type="dxa" w:w="2808"/>
            <w:shd w:fill="FFFFFF" w:color="auto" w:val="clear"/>
            <w:tcMar>
              <w:top w:type="dxa" w:w="25"/>
              <w:left w:type="dxa" w:w="70"/>
              <w:bottom w:type="dxa" w:w="25"/>
              <w:right w:type="dxa" w:w="70"/>
            </w:tcMar>
          </w:tcPr>
          <w:p>
            <w:pPr>
              <w:spacing w:after="0" w:before="0" w:line="210"/>
              <w:jc w:val="left"/>
            </w:pPr>
            <w:r>
              <w:rPr>
                <w:rFonts w:ascii="Calibri" w:cs="Calibri" w:eastAsia="Calibri" w:hAnsi="Calibri"/>
                <w:b/>
                <w:bCs/>
                <w:color w:val="000000"/>
                <w:sz w:val="15"/>
                <w:szCs w:val="15"/>
              </w:rPr>
              <w:t xml:space="preserve">ROM / scat grade (g/t Au)</w:t>
            </w:r>
          </w:p>
        </w:tc>
        <w:tc>
          <w:tcPr>
            <w:tcW w:type="dxa" w:w="1591"/>
            <w:shd w:fill="FFFFFF" w:color="auto" w:val="clear"/>
            <w:tcMar>
              <w:top w:type="dxa" w:w="25"/>
              <w:left w:type="dxa" w:w="70"/>
              <w:bottom w:type="dxa" w:w="25"/>
              <w:right w:type="dxa" w:w="70"/>
            </w:tcMar>
          </w:tcPr>
          <w:p>
            <w:pPr>
              <w:spacing w:after="0" w:before="0" w:line="210"/>
              <w:jc w:val="right"/>
            </w:pPr>
            <w:r>
              <w:rPr>
                <w:rFonts w:ascii="Calibri" w:cs="Calibri" w:eastAsia="Calibri" w:hAnsi="Calibri"/>
                <w:color w:val="000000"/>
                <w:sz w:val="15"/>
                <w:szCs w:val="15"/>
              </w:rPr>
              <w:t xml:space="preserve">1.57 / 0.56</w:t>
            </w:r>
          </w:p>
        </w:tc>
        <w:tc>
          <w:tcPr>
            <w:tcW w:type="dxa" w:w="1591"/>
            <w:shd w:fill="FFF2CC" w:color="auto" w:val="clear"/>
            <w:tcMar>
              <w:top w:type="dxa" w:w="25"/>
              <w:left w:type="dxa" w:w="70"/>
              <w:bottom w:type="dxa" w:w="25"/>
              <w:right w:type="dxa" w:w="70"/>
            </w:tcMar>
          </w:tcPr>
          <w:p>
            <w:pPr>
              <w:spacing w:after="0" w:before="0" w:line="210"/>
              <w:jc w:val="right"/>
            </w:pPr>
            <w:r>
              <w:rPr>
                <w:rFonts w:ascii="Calibri" w:cs="Calibri" w:eastAsia="Calibri" w:hAnsi="Calibri"/>
                <w:b/>
                <w:bCs/>
                <w:color w:val="000000"/>
                <w:sz w:val="15"/>
                <w:szCs w:val="15"/>
              </w:rPr>
              <w:t xml:space="preserve">2.40 / 2.00</w:t>
            </w:r>
          </w:p>
        </w:tc>
        <w:tc>
          <w:tcPr>
            <w:tcW w:type="dxa" w:w="3370"/>
            <w:shd w:fill="FFFFFF" w:color="auto" w:val="clear"/>
            <w:tcMar>
              <w:top w:type="dxa" w:w="25"/>
              <w:left w:type="dxa" w:w="70"/>
              <w:bottom w:type="dxa" w:w="25"/>
              <w:right w:type="dxa" w:w="70"/>
            </w:tcMar>
          </w:tcPr>
          <w:p>
            <w:pPr>
              <w:spacing w:after="0" w:before="0" w:line="210"/>
              <w:jc w:val="left"/>
            </w:pPr>
            <w:r>
              <w:rPr>
                <w:rFonts w:ascii="Calibri" w:cs="Calibri" w:eastAsia="Calibri" w:hAnsi="Calibri"/>
                <w:color w:val="000000"/>
                <w:sz w:val="15"/>
                <w:szCs w:val="15"/>
              </w:rPr>
              <w:t xml:space="preserve">Sukari scats were barren; Syama scats are not</w:t>
            </w:r>
          </w:p>
        </w:tc>
      </w:tr>
      <w:tr>
        <w:trPr>
          <w:cantSplit/>
          <w:tblHeader w:val="false"/>
        </w:trPr>
        <w:tc>
          <w:tcPr>
            <w:tcW w:type="dxa" w:w="2808"/>
            <w:shd w:fill="F2F2F2" w:color="auto" w:val="clear"/>
            <w:tcMar>
              <w:top w:type="dxa" w:w="25"/>
              <w:left w:type="dxa" w:w="70"/>
              <w:bottom w:type="dxa" w:w="25"/>
              <w:right w:type="dxa" w:w="70"/>
            </w:tcMar>
          </w:tcPr>
          <w:p>
            <w:pPr>
              <w:spacing w:after="0" w:before="0" w:line="210"/>
              <w:jc w:val="left"/>
            </w:pPr>
            <w:r>
              <w:rPr>
                <w:rFonts w:ascii="Calibri" w:cs="Calibri" w:eastAsia="Calibri" w:hAnsi="Calibri"/>
                <w:b/>
                <w:bCs/>
                <w:color w:val="000000"/>
                <w:sz w:val="15"/>
                <w:szCs w:val="15"/>
              </w:rPr>
              <w:t xml:space="preserve">Scat grade as % of ROM</w:t>
            </w:r>
          </w:p>
        </w:tc>
        <w:tc>
          <w:tcPr>
            <w:tcW w:type="dxa" w:w="1591"/>
            <w:shd w:fill="F2F2F2" w:color="auto" w:val="clear"/>
            <w:tcMar>
              <w:top w:type="dxa" w:w="25"/>
              <w:left w:type="dxa" w:w="70"/>
              <w:bottom w:type="dxa" w:w="25"/>
              <w:right w:type="dxa" w:w="70"/>
            </w:tcMar>
          </w:tcPr>
          <w:p>
            <w:pPr>
              <w:spacing w:after="0" w:before="0" w:line="210"/>
              <w:jc w:val="right"/>
            </w:pPr>
            <w:r>
              <w:rPr>
                <w:rFonts w:ascii="Calibri" w:cs="Calibri" w:eastAsia="Calibri" w:hAnsi="Calibri"/>
                <w:color w:val="000000"/>
                <w:sz w:val="15"/>
                <w:szCs w:val="15"/>
              </w:rPr>
              <w:t xml:space="preserve">35%</w:t>
            </w:r>
          </w:p>
        </w:tc>
        <w:tc>
          <w:tcPr>
            <w:tcW w:type="dxa" w:w="1591"/>
            <w:shd w:fill="FFF2CC" w:color="auto" w:val="clear"/>
            <w:tcMar>
              <w:top w:type="dxa" w:w="25"/>
              <w:left w:type="dxa" w:w="70"/>
              <w:bottom w:type="dxa" w:w="25"/>
              <w:right w:type="dxa" w:w="70"/>
            </w:tcMar>
          </w:tcPr>
          <w:p>
            <w:pPr>
              <w:spacing w:after="0" w:before="0" w:line="210"/>
              <w:jc w:val="right"/>
            </w:pPr>
            <w:r>
              <w:rPr>
                <w:rFonts w:ascii="Calibri" w:cs="Calibri" w:eastAsia="Calibri" w:hAnsi="Calibri"/>
                <w:b/>
                <w:bCs/>
                <w:color w:val="000000"/>
                <w:sz w:val="15"/>
                <w:szCs w:val="15"/>
              </w:rPr>
              <w:t xml:space="preserve">83%</w:t>
            </w:r>
          </w:p>
        </w:tc>
        <w:tc>
          <w:tcPr>
            <w:tcW w:type="dxa" w:w="3370"/>
            <w:shd w:fill="F2F2F2" w:color="auto" w:val="clear"/>
            <w:tcMar>
              <w:top w:type="dxa" w:w="25"/>
              <w:left w:type="dxa" w:w="70"/>
              <w:bottom w:type="dxa" w:w="25"/>
              <w:right w:type="dxa" w:w="70"/>
            </w:tcMar>
          </w:tcPr>
          <w:p>
            <w:pPr>
              <w:spacing w:after="0" w:before="0" w:line="210"/>
              <w:jc w:val="left"/>
            </w:pPr>
            <w:r>
              <w:rPr>
                <w:rFonts w:ascii="Calibri" w:cs="Calibri" w:eastAsia="Calibri" w:hAnsi="Calibri"/>
                <w:color w:val="000000"/>
                <w:sz w:val="15"/>
                <w:szCs w:val="15"/>
              </w:rPr>
              <w:t xml:space="preserve">Gold is not rejecting to the coarse fraction</w:t>
            </w:r>
          </w:p>
        </w:tc>
      </w:tr>
      <w:tr>
        <w:trPr>
          <w:cantSplit/>
          <w:tblHeader w:val="false"/>
        </w:trPr>
        <w:tc>
          <w:tcPr>
            <w:tcW w:type="dxa" w:w="2808"/>
            <w:shd w:fill="FFFFFF" w:color="auto" w:val="clear"/>
            <w:tcMar>
              <w:top w:type="dxa" w:w="25"/>
              <w:left w:type="dxa" w:w="70"/>
              <w:bottom w:type="dxa" w:w="25"/>
              <w:right w:type="dxa" w:w="70"/>
            </w:tcMar>
          </w:tcPr>
          <w:p>
            <w:pPr>
              <w:spacing w:after="0" w:before="0" w:line="210"/>
              <w:jc w:val="left"/>
            </w:pPr>
            <w:r>
              <w:rPr>
                <w:rFonts w:ascii="Calibri" w:cs="Calibri" w:eastAsia="Calibri" w:hAnsi="Calibri"/>
                <w:b/>
                <w:bCs/>
                <w:color w:val="000000"/>
                <w:sz w:val="15"/>
                <w:szCs w:val="15"/>
              </w:rPr>
              <w:t xml:space="preserve">Heterogeneity contrast</w:t>
            </w:r>
          </w:p>
        </w:tc>
        <w:tc>
          <w:tcPr>
            <w:tcW w:type="dxa" w:w="1591"/>
            <w:shd w:fill="FFFFFF" w:color="auto" w:val="clear"/>
            <w:tcMar>
              <w:top w:type="dxa" w:w="25"/>
              <w:left w:type="dxa" w:w="70"/>
              <w:bottom w:type="dxa" w:w="25"/>
              <w:right w:type="dxa" w:w="70"/>
            </w:tcMar>
          </w:tcPr>
          <w:p>
            <w:pPr>
              <w:spacing w:after="0" w:before="0" w:line="210"/>
              <w:jc w:val="right"/>
            </w:pPr>
            <w:r>
              <w:rPr>
                <w:rFonts w:ascii="Calibri" w:cs="Calibri" w:eastAsia="Calibri" w:hAnsi="Calibri"/>
                <w:color w:val="000000"/>
                <w:sz w:val="15"/>
                <w:szCs w:val="15"/>
              </w:rPr>
              <w:t xml:space="preserve">8.9×</w:t>
            </w:r>
          </w:p>
        </w:tc>
        <w:tc>
          <w:tcPr>
            <w:tcW w:type="dxa" w:w="1591"/>
            <w:shd w:fill="FCE4E4" w:color="auto" w:val="clear"/>
            <w:tcMar>
              <w:top w:type="dxa" w:w="25"/>
              <w:left w:type="dxa" w:w="70"/>
              <w:bottom w:type="dxa" w:w="25"/>
              <w:right w:type="dxa" w:w="70"/>
            </w:tcMar>
          </w:tcPr>
          <w:p>
            <w:pPr>
              <w:spacing w:after="0" w:before="0" w:line="210"/>
              <w:jc w:val="right"/>
            </w:pPr>
            <w:r>
              <w:rPr>
                <w:rFonts w:ascii="Calibri" w:cs="Calibri" w:eastAsia="Calibri" w:hAnsi="Calibri"/>
                <w:b/>
                <w:bCs/>
                <w:color w:val="000000"/>
                <w:sz w:val="15"/>
                <w:szCs w:val="15"/>
              </w:rPr>
              <w:t xml:space="preserve">1.8×</w:t>
            </w:r>
          </w:p>
        </w:tc>
        <w:tc>
          <w:tcPr>
            <w:tcW w:type="dxa" w:w="3370"/>
            <w:shd w:fill="FFFFFF" w:color="auto" w:val="clear"/>
            <w:tcMar>
              <w:top w:type="dxa" w:w="25"/>
              <w:left w:type="dxa" w:w="70"/>
              <w:bottom w:type="dxa" w:w="25"/>
              <w:right w:type="dxa" w:w="70"/>
            </w:tcMar>
          </w:tcPr>
          <w:p>
            <w:pPr>
              <w:spacing w:after="0" w:before="0" w:line="210"/>
              <w:jc w:val="left"/>
            </w:pPr>
            <w:r>
              <w:rPr>
                <w:rFonts w:ascii="Calibri" w:cs="Calibri" w:eastAsia="Calibri" w:hAnsi="Calibri"/>
                <w:color w:val="000000"/>
                <w:sz w:val="15"/>
                <w:szCs w:val="15"/>
              </w:rPr>
              <w:t xml:space="preserve">Back-solved waste:ore deportment to scats — the crux</w:t>
            </w:r>
          </w:p>
        </w:tc>
      </w:tr>
      <w:tr>
        <w:trPr>
          <w:cantSplit/>
          <w:tblHeader w:val="false"/>
        </w:trPr>
        <w:tc>
          <w:tcPr>
            <w:tcW w:type="dxa" w:w="2808"/>
            <w:shd w:fill="F2F2F2" w:color="auto" w:val="clear"/>
            <w:tcMar>
              <w:top w:type="dxa" w:w="25"/>
              <w:left w:type="dxa" w:w="70"/>
              <w:bottom w:type="dxa" w:w="25"/>
              <w:right w:type="dxa" w:w="70"/>
            </w:tcMar>
          </w:tcPr>
          <w:p>
            <w:pPr>
              <w:spacing w:after="0" w:before="0" w:line="210"/>
              <w:jc w:val="left"/>
            </w:pPr>
            <w:r>
              <w:rPr>
                <w:rFonts w:ascii="Calibri" w:cs="Calibri" w:eastAsia="Calibri" w:hAnsi="Calibri"/>
                <w:b/>
                <w:bCs/>
                <w:color w:val="000000"/>
                <w:sz w:val="15"/>
                <w:szCs w:val="15"/>
              </w:rPr>
              <w:t xml:space="preserve">Barren mass available in scats</w:t>
            </w:r>
          </w:p>
        </w:tc>
        <w:tc>
          <w:tcPr>
            <w:tcW w:type="dxa" w:w="1591"/>
            <w:shd w:fill="F2F2F2" w:color="auto" w:val="clear"/>
            <w:tcMar>
              <w:top w:type="dxa" w:w="25"/>
              <w:left w:type="dxa" w:w="70"/>
              <w:bottom w:type="dxa" w:w="25"/>
              <w:right w:type="dxa" w:w="70"/>
            </w:tcMar>
          </w:tcPr>
          <w:p>
            <w:pPr>
              <w:spacing w:after="0" w:before="0" w:line="210"/>
              <w:jc w:val="right"/>
            </w:pPr>
            <w:r>
              <w:rPr>
                <w:rFonts w:ascii="Calibri" w:cs="Calibri" w:eastAsia="Calibri" w:hAnsi="Calibri"/>
                <w:color w:val="000000"/>
                <w:sz w:val="15"/>
                <w:szCs w:val="15"/>
              </w:rPr>
              <w:t xml:space="preserve">~69%</w:t>
            </w:r>
          </w:p>
        </w:tc>
        <w:tc>
          <w:tcPr>
            <w:tcW w:type="dxa" w:w="1591"/>
            <w:shd w:fill="FFF2CC" w:color="auto" w:val="clear"/>
            <w:tcMar>
              <w:top w:type="dxa" w:w="25"/>
              <w:left w:type="dxa" w:w="70"/>
              <w:bottom w:type="dxa" w:w="25"/>
              <w:right w:type="dxa" w:w="70"/>
            </w:tcMar>
          </w:tcPr>
          <w:p>
            <w:pPr>
              <w:spacing w:after="0" w:before="0" w:line="210"/>
              <w:jc w:val="right"/>
            </w:pPr>
            <w:r>
              <w:rPr>
                <w:rFonts w:ascii="Calibri" w:cs="Calibri" w:eastAsia="Calibri" w:hAnsi="Calibri"/>
                <w:color w:val="000000"/>
                <w:sz w:val="15"/>
                <w:szCs w:val="15"/>
              </w:rPr>
              <w:t xml:space="preserve">~33%</w:t>
            </w:r>
          </w:p>
        </w:tc>
        <w:tc>
          <w:tcPr>
            <w:tcW w:type="dxa" w:w="3370"/>
            <w:shd w:fill="F2F2F2" w:color="auto" w:val="clear"/>
            <w:tcMar>
              <w:top w:type="dxa" w:w="25"/>
              <w:left w:type="dxa" w:w="70"/>
              <w:bottom w:type="dxa" w:w="25"/>
              <w:right w:type="dxa" w:w="70"/>
            </w:tcMar>
          </w:tcPr>
          <w:p>
            <w:pPr>
              <w:spacing w:after="0" w:before="0" w:line="210"/>
              <w:jc w:val="left"/>
            </w:pPr>
            <w:r>
              <w:rPr>
                <w:rFonts w:ascii="Calibri" w:cs="Calibri" w:eastAsia="Calibri" w:hAnsi="Calibri"/>
                <w:color w:val="000000"/>
                <w:sz w:val="15"/>
                <w:szCs w:val="15"/>
              </w:rPr>
              <w:t xml:space="preserve">Hard ceiling on what any sorter can reject</w:t>
            </w:r>
          </w:p>
        </w:tc>
      </w:tr>
      <w:tr>
        <w:trPr>
          <w:cantSplit/>
          <w:tblHeader w:val="false"/>
        </w:trPr>
        <w:tc>
          <w:tcPr>
            <w:tcW w:type="dxa" w:w="2808"/>
            <w:shd w:fill="FFFFFF" w:color="auto" w:val="clear"/>
            <w:tcMar>
              <w:top w:type="dxa" w:w="25"/>
              <w:left w:type="dxa" w:w="70"/>
              <w:bottom w:type="dxa" w:w="25"/>
              <w:right w:type="dxa" w:w="70"/>
            </w:tcMar>
          </w:tcPr>
          <w:p>
            <w:pPr>
              <w:spacing w:after="0" w:before="0" w:line="210"/>
              <w:jc w:val="left"/>
            </w:pPr>
            <w:r>
              <w:rPr>
                <w:rFonts w:ascii="Calibri" w:cs="Calibri" w:eastAsia="Calibri" w:hAnsi="Calibri"/>
                <w:b/>
                <w:bCs/>
                <w:color w:val="000000"/>
                <w:sz w:val="15"/>
                <w:szCs w:val="15"/>
              </w:rPr>
              <w:t xml:space="preserve">Reject grade achieved (g/t)</w:t>
            </w:r>
          </w:p>
        </w:tc>
        <w:tc>
          <w:tcPr>
            <w:tcW w:type="dxa" w:w="1591"/>
            <w:shd w:fill="FFFFFF" w:color="auto" w:val="clear"/>
            <w:tcMar>
              <w:top w:type="dxa" w:w="25"/>
              <w:left w:type="dxa" w:w="70"/>
              <w:bottom w:type="dxa" w:w="25"/>
              <w:right w:type="dxa" w:w="70"/>
            </w:tcMar>
          </w:tcPr>
          <w:p>
            <w:pPr>
              <w:spacing w:after="0" w:before="0" w:line="210"/>
              <w:jc w:val="right"/>
            </w:pPr>
            <w:r>
              <w:rPr>
                <w:rFonts w:ascii="Calibri" w:cs="Calibri" w:eastAsia="Calibri" w:hAnsi="Calibri"/>
                <w:color w:val="000000"/>
                <w:sz w:val="15"/>
                <w:szCs w:val="15"/>
              </w:rPr>
              <w:t xml:space="preserve">0.148</w:t>
            </w:r>
          </w:p>
        </w:tc>
        <w:tc>
          <w:tcPr>
            <w:tcW w:type="dxa" w:w="1591"/>
            <w:shd w:fill="FCE4E4" w:color="auto" w:val="clear"/>
            <w:tcMar>
              <w:top w:type="dxa" w:w="25"/>
              <w:left w:type="dxa" w:w="70"/>
              <w:bottom w:type="dxa" w:w="25"/>
              <w:right w:type="dxa" w:w="70"/>
            </w:tcMar>
          </w:tcPr>
          <w:p>
            <w:pPr>
              <w:spacing w:after="0" w:before="0" w:line="210"/>
              <w:jc w:val="right"/>
            </w:pPr>
            <w:r>
              <w:rPr>
                <w:rFonts w:ascii="Calibri" w:cs="Calibri" w:eastAsia="Calibri" w:hAnsi="Calibri"/>
                <w:b/>
                <w:bCs/>
                <w:color w:val="000000"/>
                <w:sz w:val="15"/>
                <w:szCs w:val="15"/>
              </w:rPr>
              <w:t xml:space="preserve">0.429</w:t>
            </w:r>
          </w:p>
        </w:tc>
        <w:tc>
          <w:tcPr>
            <w:tcW w:type="dxa" w:w="3370"/>
            <w:shd w:fill="FFFFFF" w:color="auto" w:val="clear"/>
            <w:tcMar>
              <w:top w:type="dxa" w:w="25"/>
              <w:left w:type="dxa" w:w="70"/>
              <w:bottom w:type="dxa" w:w="25"/>
              <w:right w:type="dxa" w:w="70"/>
            </w:tcMar>
          </w:tcPr>
          <w:p>
            <w:pPr>
              <w:spacing w:after="0" w:before="0" w:line="210"/>
              <w:jc w:val="left"/>
            </w:pPr>
            <w:r>
              <w:rPr>
                <w:rFonts w:ascii="Calibri" w:cs="Calibri" w:eastAsia="Calibri" w:hAnsi="Calibri"/>
                <w:color w:val="000000"/>
                <w:sz w:val="15"/>
                <w:szCs w:val="15"/>
              </w:rPr>
              <w:t xml:space="preserve">Gold walking out to the dump</w:t>
            </w:r>
          </w:p>
        </w:tc>
      </w:tr>
    </w:tbl>
    <w:p>
      <w:pPr>
        <w:keepNext/>
        <w:shd w:fill="2E5C8A" w:color="auto" w:val="clear"/>
        <w:spacing w:after="70" w:before="130" w:line="240"/>
        <w:ind w:left="60"/>
      </w:pPr>
      <w:r>
        <w:rPr>
          <w:rFonts w:ascii="Calibri" w:cs="Calibri" w:eastAsia="Calibri" w:hAnsi="Calibri"/>
          <w:b/>
          <w:bCs/>
          <w:color w:val="FFFFFF"/>
          <w:sz w:val="19"/>
          <w:szCs w:val="19"/>
        </w:rPr>
        <w:t xml:space="preserve">3.  Assessment — what a 2 g/t scat grade means</w:t>
      </w:r>
    </w:p>
    <w:p>
      <w:pPr>
        <w:pStyle w:val="ListParagraph"/>
        <w:numPr>
          <w:ilvl w:val="0"/>
          <w:numId w:val="1"/>
        </w:numPr>
        <w:spacing w:after="40" w:before="0" w:line="225"/>
        <w:ind w:left="260" w:hanging="180"/>
      </w:pPr>
      <w:r>
        <w:rPr>
          <w:rFonts w:ascii="Calibri" w:cs="Calibri" w:eastAsia="Calibri" w:hAnsi="Calibri"/>
          <w:color w:val="000000"/>
          <w:sz w:val="17"/>
          <w:szCs w:val="17"/>
        </w:rPr>
        <w:t xml:space="preserve">The scats are not a waste stream. At 2.0 g/t they run at 83% of ROM grade and carry 12.5% of the gold in the circuit. Back-solving the deportment against 20% SLC dilution gives a waste:ore contrast to scats of only 1.8× — against 8.9× at Sukari. Roughly one third of the scat stream is barren dilution; that is the hard ceiling on mass rejection.</w:t>
      </w:r>
    </w:p>
    <w:p>
      <w:pPr>
        <w:pStyle w:val="ListParagraph"/>
        <w:numPr>
          <w:ilvl w:val="0"/>
          <w:numId w:val="1"/>
        </w:numPr>
        <w:spacing w:after="40" w:before="0" w:line="225"/>
        <w:ind w:left="260" w:hanging="180"/>
      </w:pPr>
      <w:r>
        <w:rPr>
          <w:rFonts w:ascii="Calibri" w:cs="Calibri" w:eastAsia="Calibri" w:hAnsi="Calibri"/>
          <w:b w:val="false"/>
          <w:bCs w:val="false"/>
          <w:color w:val="000000"/>
          <w:sz w:val="17"/>
          <w:szCs w:val="17"/>
        </w:rPr>
        <w:t xml:space="preserve">Every rejected tonne is expensive. At 0.43 g/t and US$4,000/oz the reject stream holds US$41/t of recoverable gold against US$10.50/t of milling and handling cost avoided — a 3.9× ratio. The sorter must be tuned for high ore recovery (≥95%), which caps mass pull at ~25% and forfeits roughly a third of the theoretical prize.</w:t>
      </w:r>
    </w:p>
    <w:p>
      <w:pPr>
        <w:pStyle w:val="ListParagraph"/>
        <w:numPr>
          <w:ilvl w:val="0"/>
          <w:numId w:val="1"/>
        </w:numPr>
        <w:spacing w:after="40" w:before="0" w:line="225"/>
        <w:ind w:left="260" w:hanging="180"/>
      </w:pPr>
      <w:r>
        <w:rPr>
          <w:rFonts w:ascii="Calibri" w:cs="Calibri" w:eastAsia="Calibri" w:hAnsi="Calibri"/>
          <w:color w:val="000000"/>
          <w:sz w:val="17"/>
          <w:szCs w:val="17"/>
        </w:rPr>
        <w:t xml:space="preserve">The comminution problem is already being solved. The SSCP installs a secondary crusher and a pebble crusher specifically to handle scats. Crushing recovers 100% of the contained gold; sorting discards some of it. Sorting must beat crushing, not merely beat doing nothing.</w:t>
      </w:r>
    </w:p>
    <w:p>
      <w:pPr>
        <w:pStyle w:val="ListParagraph"/>
        <w:numPr>
          <w:ilvl w:val="0"/>
          <w:numId w:val="1"/>
        </w:numPr>
        <w:spacing w:after="40" w:before="0" w:line="225"/>
        <w:ind w:left="260" w:hanging="180"/>
      </w:pPr>
      <w:r>
        <w:rPr>
          <w:rFonts w:ascii="Calibri" w:cs="Calibri" w:eastAsia="Calibri" w:hAnsi="Calibri"/>
          <w:color w:val="000000"/>
          <w:sz w:val="17"/>
          <w:szCs w:val="17"/>
        </w:rPr>
        <w:t xml:space="preserve">Nothing here is a recovery gain. Scats recirculate — no gold is currently being lost. The value is purely throughput debottlenecking, which is worth exactly nothing if the SAG is not the binding constraint.</w:t>
      </w:r>
    </w:p>
    <w:p>
      <w:pPr>
        <w:keepNext/>
        <w:shd w:fill="2E5C8A" w:color="auto" w:val="clear"/>
        <w:spacing w:after="70" w:before="130" w:line="240"/>
        <w:ind w:left="60"/>
      </w:pPr>
      <w:r>
        <w:rPr>
          <w:rFonts w:ascii="Calibri" w:cs="Calibri" w:eastAsia="Calibri" w:hAnsi="Calibri"/>
          <w:b/>
          <w:bCs/>
          <w:color w:val="FFFFFF"/>
          <w:sz w:val="19"/>
          <w:szCs w:val="19"/>
        </w:rPr>
        <w:t xml:space="preserve">4.  Economics — and the single factor that decides them</w:t>
      </w:r>
    </w:p>
    <w:tbl>
      <w:tblPr>
        <w:tblW w:type="dxa" w:w="9360"/>
        <w:tblBorders>
          <w:top w:val="single" w:color="AEBBD0" w:sz="2"/>
          <w:left w:val="single" w:color="AEBBD0" w:sz="2"/>
          <w:bottom w:val="single" w:color="AEBBD0" w:sz="2"/>
          <w:right w:val="single" w:color="AEBBD0" w:sz="2"/>
          <w:insideH w:val="single" w:color="AEBBD0" w:sz="2"/>
          <w:insideV w:val="single" w:color="AEBBD0" w:sz="2"/>
        </w:tblBorders>
      </w:tblPr>
      <w:tblGrid>
        <w:gridCol w:w="3182"/>
        <w:gridCol w:w="2059"/>
        <w:gridCol w:w="2059"/>
        <w:gridCol w:w="2060"/>
      </w:tblGrid>
      <w:tr>
        <w:trPr>
          <w:cantSplit/>
          <w:tblHeader/>
        </w:trPr>
        <w:tc>
          <w:tcPr>
            <w:tcW w:type="dxa" w:w="3182"/>
            <w:shd w:fill="1F3864" w:color="auto" w:val="clear"/>
            <w:tcMar>
              <w:top w:type="dxa" w:w="25"/>
              <w:left w:type="dxa" w:w="70"/>
              <w:bottom w:type="dxa" w:w="25"/>
              <w:right w:type="dxa" w:w="70"/>
            </w:tcMar>
          </w:tcPr>
          <w:p>
            <w:pPr>
              <w:spacing w:after="0" w:before="0" w:line="210"/>
              <w:jc w:val="left"/>
            </w:pPr>
            <w:r>
              <w:rPr>
                <w:rFonts w:ascii="Calibri" w:cs="Calibri" w:eastAsia="Calibri" w:hAnsi="Calibri"/>
                <w:b/>
                <w:bCs/>
                <w:color w:val="FFFFFF"/>
                <w:sz w:val="15"/>
                <w:szCs w:val="15"/>
              </w:rPr>
              <w:t xml:space="preserve">Scenario (realistic XRT: 95% ore rec / 70% waste rej)</w:t>
            </w:r>
          </w:p>
        </w:tc>
        <w:tc>
          <w:tcPr>
            <w:tcW w:type="dxa" w:w="2059"/>
            <w:shd w:fill="1F3864" w:color="auto" w:val="clear"/>
            <w:tcMar>
              <w:top w:type="dxa" w:w="25"/>
              <w:left w:type="dxa" w:w="70"/>
              <w:bottom w:type="dxa" w:w="25"/>
              <w:right w:type="dxa" w:w="70"/>
            </w:tcMar>
          </w:tcPr>
          <w:p>
            <w:pPr>
              <w:spacing w:after="0" w:before="0" w:line="210"/>
              <w:jc w:val="right"/>
            </w:pPr>
            <w:r>
              <w:rPr>
                <w:rFonts w:ascii="Calibri" w:cs="Calibri" w:eastAsia="Calibri" w:hAnsi="Calibri"/>
                <w:b/>
                <w:bCs/>
                <w:color w:val="FFFFFF"/>
                <w:sz w:val="15"/>
                <w:szCs w:val="15"/>
              </w:rPr>
              <w:t xml:space="preserve">Extra oz/a</w:t>
            </w:r>
          </w:p>
        </w:tc>
        <w:tc>
          <w:tcPr>
            <w:tcW w:type="dxa" w:w="2059"/>
            <w:shd w:fill="1F3864" w:color="auto" w:val="clear"/>
            <w:tcMar>
              <w:top w:type="dxa" w:w="25"/>
              <w:left w:type="dxa" w:w="70"/>
              <w:bottom w:type="dxa" w:w="25"/>
              <w:right w:type="dxa" w:w="70"/>
            </w:tcMar>
          </w:tcPr>
          <w:p>
            <w:pPr>
              <w:spacing w:after="0" w:before="0" w:line="210"/>
              <w:jc w:val="right"/>
            </w:pPr>
            <w:r>
              <w:rPr>
                <w:rFonts w:ascii="Calibri" w:cs="Calibri" w:eastAsia="Calibri" w:hAnsi="Calibri"/>
                <w:b/>
                <w:bCs/>
                <w:color w:val="FFFFFF"/>
                <w:sz w:val="15"/>
                <w:szCs w:val="15"/>
              </w:rPr>
              <w:t xml:space="preserve">Net US$/a</w:t>
            </w:r>
          </w:p>
        </w:tc>
        <w:tc>
          <w:tcPr>
            <w:tcW w:type="dxa" w:w="2060"/>
            <w:shd w:fill="1F3864" w:color="auto" w:val="clear"/>
            <w:tcMar>
              <w:top w:type="dxa" w:w="25"/>
              <w:left w:type="dxa" w:w="70"/>
              <w:bottom w:type="dxa" w:w="25"/>
              <w:right w:type="dxa" w:w="70"/>
            </w:tcMar>
          </w:tcPr>
          <w:p>
            <w:pPr>
              <w:spacing w:after="0" w:before="0" w:line="210"/>
              <w:jc w:val="right"/>
            </w:pPr>
            <w:r>
              <w:rPr>
                <w:rFonts w:ascii="Calibri" w:cs="Calibri" w:eastAsia="Calibri" w:hAnsi="Calibri"/>
                <w:b/>
                <w:bCs/>
                <w:color w:val="FFFFFF"/>
                <w:sz w:val="15"/>
                <w:szCs w:val="15"/>
              </w:rPr>
              <w:t xml:space="preserve">NPV @10%</w:t>
            </w:r>
          </w:p>
        </w:tc>
      </w:tr>
      <w:tr>
        <w:trPr>
          <w:cantSplit/>
          <w:tblHeader w:val="false"/>
        </w:trPr>
        <w:tc>
          <w:tcPr>
            <w:tcW w:type="dxa" w:w="3182"/>
            <w:shd w:fill="FFFFFF" w:color="auto" w:val="clear"/>
            <w:tcMar>
              <w:top w:type="dxa" w:w="25"/>
              <w:left w:type="dxa" w:w="70"/>
              <w:bottom w:type="dxa" w:w="25"/>
              <w:right w:type="dxa" w:w="70"/>
            </w:tcMar>
          </w:tcPr>
          <w:p>
            <w:pPr>
              <w:spacing w:after="0" w:before="0" w:line="210"/>
              <w:jc w:val="left"/>
            </w:pPr>
            <w:r>
              <w:rPr>
                <w:rFonts w:ascii="Calibri" w:cs="Calibri" w:eastAsia="Calibri" w:hAnsi="Calibri"/>
                <w:b/>
                <w:bCs/>
                <w:color w:val="000000"/>
                <w:sz w:val="15"/>
                <w:szCs w:val="15"/>
              </w:rPr>
              <w:t xml:space="preserve">Freed capacity fully refilled with 2.4 g/t ore</w:t>
            </w:r>
          </w:p>
        </w:tc>
        <w:tc>
          <w:tcPr>
            <w:tcW w:type="dxa" w:w="2059"/>
            <w:shd w:fill="FFFFFF" w:color="auto" w:val="clear"/>
            <w:tcMar>
              <w:top w:type="dxa" w:w="25"/>
              <w:left w:type="dxa" w:w="70"/>
              <w:bottom w:type="dxa" w:w="25"/>
              <w:right w:type="dxa" w:w="70"/>
            </w:tcMar>
          </w:tcPr>
          <w:p>
            <w:pPr>
              <w:spacing w:after="0" w:before="0" w:line="210"/>
              <w:jc w:val="right"/>
            </w:pPr>
            <w:r>
              <w:rPr>
                <w:rFonts w:ascii="Calibri" w:cs="Calibri" w:eastAsia="Calibri" w:hAnsi="Calibri"/>
                <w:color w:val="000000"/>
                <w:sz w:val="15"/>
                <w:szCs w:val="15"/>
              </w:rPr>
              <w:t xml:space="preserve">+2,699</w:t>
            </w:r>
          </w:p>
        </w:tc>
        <w:tc>
          <w:tcPr>
            <w:tcW w:type="dxa" w:w="2059"/>
            <w:shd w:fill="FFFFFF" w:color="auto" w:val="clear"/>
            <w:tcMar>
              <w:top w:type="dxa" w:w="25"/>
              <w:left w:type="dxa" w:w="70"/>
              <w:bottom w:type="dxa" w:w="25"/>
              <w:right w:type="dxa" w:w="70"/>
            </w:tcMar>
          </w:tcPr>
          <w:p>
            <w:pPr>
              <w:spacing w:after="0" w:before="0" w:line="210"/>
              <w:jc w:val="right"/>
            </w:pPr>
            <w:r>
              <w:rPr>
                <w:rFonts w:ascii="Calibri" w:cs="Calibri" w:eastAsia="Calibri" w:hAnsi="Calibri"/>
                <w:color w:val="000000"/>
                <w:sz w:val="15"/>
                <w:szCs w:val="15"/>
              </w:rPr>
              <w:t xml:space="preserve">+7.58 M</w:t>
            </w:r>
          </w:p>
        </w:tc>
        <w:tc>
          <w:tcPr>
            <w:tcW w:type="dxa" w:w="2060"/>
            <w:shd w:fill="E2EFDA" w:color="auto" w:val="clear"/>
            <w:tcMar>
              <w:top w:type="dxa" w:w="25"/>
              <w:left w:type="dxa" w:w="70"/>
              <w:bottom w:type="dxa" w:w="25"/>
              <w:right w:type="dxa" w:w="70"/>
            </w:tcMar>
          </w:tcPr>
          <w:p>
            <w:pPr>
              <w:spacing w:after="0" w:before="0" w:line="210"/>
              <w:jc w:val="right"/>
            </w:pPr>
            <w:r>
              <w:rPr>
                <w:rFonts w:ascii="Calibri" w:cs="Calibri" w:eastAsia="Calibri" w:hAnsi="Calibri"/>
                <w:b/>
                <w:bCs/>
                <w:color w:val="000000"/>
                <w:sz w:val="15"/>
                <w:szCs w:val="15"/>
              </w:rPr>
              <w:t xml:space="preserve">+33.6 M</w:t>
            </w:r>
          </w:p>
        </w:tc>
      </w:tr>
      <w:tr>
        <w:trPr>
          <w:cantSplit/>
          <w:tblHeader w:val="false"/>
        </w:trPr>
        <w:tc>
          <w:tcPr>
            <w:tcW w:type="dxa" w:w="3182"/>
            <w:shd w:fill="F2F2F2" w:color="auto" w:val="clear"/>
            <w:tcMar>
              <w:top w:type="dxa" w:w="25"/>
              <w:left w:type="dxa" w:w="70"/>
              <w:bottom w:type="dxa" w:w="25"/>
              <w:right w:type="dxa" w:w="70"/>
            </w:tcMar>
          </w:tcPr>
          <w:p>
            <w:pPr>
              <w:spacing w:after="0" w:before="0" w:line="210"/>
              <w:jc w:val="left"/>
            </w:pPr>
            <w:r>
              <w:rPr>
                <w:rFonts w:ascii="Calibri" w:cs="Calibri" w:eastAsia="Calibri" w:hAnsi="Calibri"/>
                <w:b/>
                <w:bCs/>
                <w:color w:val="000000"/>
                <w:sz w:val="15"/>
                <w:szCs w:val="15"/>
              </w:rPr>
              <w:t xml:space="preserve">Half refilled</w:t>
            </w:r>
          </w:p>
        </w:tc>
        <w:tc>
          <w:tcPr>
            <w:tcW w:type="dxa" w:w="2059"/>
            <w:shd w:fill="F2F2F2" w:color="auto" w:val="clear"/>
            <w:tcMar>
              <w:top w:type="dxa" w:w="25"/>
              <w:left w:type="dxa" w:w="70"/>
              <w:bottom w:type="dxa" w:w="25"/>
              <w:right w:type="dxa" w:w="70"/>
            </w:tcMar>
          </w:tcPr>
          <w:p>
            <w:pPr>
              <w:spacing w:after="0" w:before="0" w:line="210"/>
              <w:jc w:val="right"/>
            </w:pPr>
            <w:r>
              <w:rPr>
                <w:rFonts w:ascii="Calibri" w:cs="Calibri" w:eastAsia="Calibri" w:hAnsi="Calibri"/>
                <w:color w:val="000000"/>
                <w:sz w:val="15"/>
                <w:szCs w:val="15"/>
              </w:rPr>
              <w:t xml:space="preserve">+1,066</w:t>
            </w:r>
          </w:p>
        </w:tc>
        <w:tc>
          <w:tcPr>
            <w:tcW w:type="dxa" w:w="2059"/>
            <w:shd w:fill="F2F2F2" w:color="auto" w:val="clear"/>
            <w:tcMar>
              <w:top w:type="dxa" w:w="25"/>
              <w:left w:type="dxa" w:w="70"/>
              <w:bottom w:type="dxa" w:w="25"/>
              <w:right w:type="dxa" w:w="70"/>
            </w:tcMar>
          </w:tcPr>
          <w:p>
            <w:pPr>
              <w:spacing w:after="0" w:before="0" w:line="210"/>
              <w:jc w:val="right"/>
            </w:pPr>
            <w:r>
              <w:rPr>
                <w:rFonts w:ascii="Calibri" w:cs="Calibri" w:eastAsia="Calibri" w:hAnsi="Calibri"/>
                <w:color w:val="000000"/>
                <w:sz w:val="15"/>
                <w:szCs w:val="15"/>
              </w:rPr>
              <w:t xml:space="preserve">+2.81 M</w:t>
            </w:r>
          </w:p>
        </w:tc>
        <w:tc>
          <w:tcPr>
            <w:tcW w:type="dxa" w:w="2060"/>
            <w:shd w:fill="E2EFDA" w:color="auto" w:val="clear"/>
            <w:tcMar>
              <w:top w:type="dxa" w:w="25"/>
              <w:left w:type="dxa" w:w="70"/>
              <w:bottom w:type="dxa" w:w="25"/>
              <w:right w:type="dxa" w:w="70"/>
            </w:tcMar>
          </w:tcPr>
          <w:p>
            <w:pPr>
              <w:spacing w:after="0" w:before="0" w:line="210"/>
              <w:jc w:val="right"/>
            </w:pPr>
            <w:r>
              <w:rPr>
                <w:rFonts w:ascii="Calibri" w:cs="Calibri" w:eastAsia="Calibri" w:hAnsi="Calibri"/>
                <w:color w:val="000000"/>
                <w:sz w:val="15"/>
                <w:szCs w:val="15"/>
              </w:rPr>
              <w:t xml:space="preserve">+9.9 M</w:t>
            </w:r>
          </w:p>
        </w:tc>
      </w:tr>
      <w:tr>
        <w:trPr>
          <w:cantSplit/>
          <w:tblHeader w:val="false"/>
        </w:trPr>
        <w:tc>
          <w:tcPr>
            <w:tcW w:type="dxa" w:w="3182"/>
            <w:shd w:fill="FFFFFF" w:color="auto" w:val="clear"/>
            <w:tcMar>
              <w:top w:type="dxa" w:w="25"/>
              <w:left w:type="dxa" w:w="70"/>
              <w:bottom w:type="dxa" w:w="25"/>
              <w:right w:type="dxa" w:w="70"/>
            </w:tcMar>
          </w:tcPr>
          <w:p>
            <w:pPr>
              <w:spacing w:after="0" w:before="0" w:line="210"/>
              <w:jc w:val="left"/>
            </w:pPr>
            <w:r>
              <w:rPr>
                <w:rFonts w:ascii="Calibri" w:cs="Calibri" w:eastAsia="Calibri" w:hAnsi="Calibri"/>
                <w:b/>
                <w:bCs/>
                <w:color w:val="000000"/>
                <w:sz w:val="15"/>
                <w:szCs w:val="15"/>
              </w:rPr>
              <w:t xml:space="preserve">NPV breakeven</w:t>
            </w:r>
          </w:p>
        </w:tc>
        <w:tc>
          <w:tcPr>
            <w:tcW w:type="dxa" w:w="2059"/>
            <w:shd w:fill="FFFFFF" w:color="auto" w:val="clear"/>
            <w:tcMar>
              <w:top w:type="dxa" w:w="25"/>
              <w:left w:type="dxa" w:w="70"/>
              <w:bottom w:type="dxa" w:w="25"/>
              <w:right w:type="dxa" w:w="70"/>
            </w:tcMar>
          </w:tcPr>
          <w:p>
            <w:pPr>
              <w:spacing w:after="0" w:before="0" w:line="210"/>
              <w:jc w:val="right"/>
            </w:pPr>
            <w:r>
              <w:rPr>
                <w:rFonts w:ascii="Calibri" w:cs="Calibri" w:eastAsia="Calibri" w:hAnsi="Calibri"/>
                <w:color w:val="000000"/>
                <w:sz w:val="15"/>
                <w:szCs w:val="15"/>
              </w:rPr>
              <w:t xml:space="preserve">+388</w:t>
            </w:r>
          </w:p>
        </w:tc>
        <w:tc>
          <w:tcPr>
            <w:tcW w:type="dxa" w:w="2059"/>
            <w:shd w:fill="FFFFFF" w:color="auto" w:val="clear"/>
            <w:tcMar>
              <w:top w:type="dxa" w:w="25"/>
              <w:left w:type="dxa" w:w="70"/>
              <w:bottom w:type="dxa" w:w="25"/>
              <w:right w:type="dxa" w:w="70"/>
            </w:tcMar>
          </w:tcPr>
          <w:p>
            <w:pPr>
              <w:spacing w:after="0" w:before="0" w:line="210"/>
              <w:jc w:val="right"/>
            </w:pPr>
            <w:r>
              <w:rPr>
                <w:rFonts w:ascii="Calibri" w:cs="Calibri" w:eastAsia="Calibri" w:hAnsi="Calibri"/>
                <w:color w:val="000000"/>
                <w:sz w:val="15"/>
                <w:szCs w:val="15"/>
              </w:rPr>
              <w:t xml:space="preserve">+0.82 M</w:t>
            </w:r>
          </w:p>
        </w:tc>
        <w:tc>
          <w:tcPr>
            <w:tcW w:type="dxa" w:w="2060"/>
            <w:shd w:fill="FFF2CC" w:color="auto" w:val="clear"/>
            <w:tcMar>
              <w:top w:type="dxa" w:w="25"/>
              <w:left w:type="dxa" w:w="70"/>
              <w:bottom w:type="dxa" w:w="25"/>
              <w:right w:type="dxa" w:w="70"/>
            </w:tcMar>
          </w:tcPr>
          <w:p>
            <w:pPr>
              <w:spacing w:after="0" w:before="0" w:line="210"/>
              <w:jc w:val="right"/>
            </w:pPr>
            <w:r>
              <w:rPr>
                <w:rFonts w:ascii="Calibri" w:cs="Calibri" w:eastAsia="Calibri" w:hAnsi="Calibri"/>
                <w:b/>
                <w:bCs/>
                <w:color w:val="000000"/>
                <w:sz w:val="15"/>
                <w:szCs w:val="15"/>
              </w:rPr>
              <w:t xml:space="preserve">0  (29% capture)</w:t>
            </w:r>
          </w:p>
        </w:tc>
      </w:tr>
      <w:tr>
        <w:trPr>
          <w:cantSplit/>
          <w:tblHeader w:val="false"/>
        </w:trPr>
        <w:tc>
          <w:tcPr>
            <w:tcW w:type="dxa" w:w="3182"/>
            <w:shd w:fill="F2F2F2" w:color="auto" w:val="clear"/>
            <w:tcMar>
              <w:top w:type="dxa" w:w="25"/>
              <w:left w:type="dxa" w:w="70"/>
              <w:bottom w:type="dxa" w:w="25"/>
              <w:right w:type="dxa" w:w="70"/>
            </w:tcMar>
          </w:tcPr>
          <w:p>
            <w:pPr>
              <w:spacing w:after="0" w:before="0" w:line="210"/>
              <w:jc w:val="left"/>
            </w:pPr>
            <w:r>
              <w:rPr>
                <w:rFonts w:ascii="Calibri" w:cs="Calibri" w:eastAsia="Calibri" w:hAnsi="Calibri"/>
                <w:b/>
                <w:bCs/>
                <w:color w:val="000000"/>
                <w:sz w:val="15"/>
                <w:szCs w:val="15"/>
              </w:rPr>
              <w:t xml:space="preserve">No spare ore — ROM held flat</w:t>
            </w:r>
          </w:p>
        </w:tc>
        <w:tc>
          <w:tcPr>
            <w:tcW w:type="dxa" w:w="2059"/>
            <w:shd w:fill="F2F2F2" w:color="auto" w:val="clear"/>
            <w:tcMar>
              <w:top w:type="dxa" w:w="25"/>
              <w:left w:type="dxa" w:w="70"/>
              <w:bottom w:type="dxa" w:w="25"/>
              <w:right w:type="dxa" w:w="70"/>
            </w:tcMar>
          </w:tcPr>
          <w:p>
            <w:pPr>
              <w:spacing w:after="0" w:before="0" w:line="210"/>
              <w:jc w:val="right"/>
            </w:pPr>
            <w:r>
              <w:rPr>
                <w:rFonts w:ascii="Calibri" w:cs="Calibri" w:eastAsia="Calibri" w:hAnsi="Calibri"/>
                <w:color w:val="000000"/>
                <w:sz w:val="15"/>
                <w:szCs w:val="15"/>
              </w:rPr>
              <w:t xml:space="preserve">−567</w:t>
            </w:r>
          </w:p>
        </w:tc>
        <w:tc>
          <w:tcPr>
            <w:tcW w:type="dxa" w:w="2059"/>
            <w:shd w:fill="F2F2F2" w:color="auto" w:val="clear"/>
            <w:tcMar>
              <w:top w:type="dxa" w:w="25"/>
              <w:left w:type="dxa" w:w="70"/>
              <w:bottom w:type="dxa" w:w="25"/>
              <w:right w:type="dxa" w:w="70"/>
            </w:tcMar>
          </w:tcPr>
          <w:p>
            <w:pPr>
              <w:spacing w:after="0" w:before="0" w:line="210"/>
              <w:jc w:val="right"/>
            </w:pPr>
            <w:r>
              <w:rPr>
                <w:rFonts w:ascii="Calibri" w:cs="Calibri" w:eastAsia="Calibri" w:hAnsi="Calibri"/>
                <w:color w:val="000000"/>
                <w:sz w:val="15"/>
                <w:szCs w:val="15"/>
              </w:rPr>
              <w:t xml:space="preserve">−1.96 M</w:t>
            </w:r>
          </w:p>
        </w:tc>
        <w:tc>
          <w:tcPr>
            <w:tcW w:type="dxa" w:w="2060"/>
            <w:shd w:fill="FCE4E4" w:color="auto" w:val="clear"/>
            <w:tcMar>
              <w:top w:type="dxa" w:w="25"/>
              <w:left w:type="dxa" w:w="70"/>
              <w:bottom w:type="dxa" w:w="25"/>
              <w:right w:type="dxa" w:w="70"/>
            </w:tcMar>
          </w:tcPr>
          <w:p>
            <w:pPr>
              <w:spacing w:after="0" w:before="0" w:line="210"/>
              <w:jc w:val="right"/>
            </w:pPr>
            <w:r>
              <w:rPr>
                <w:rFonts w:ascii="Calibri" w:cs="Calibri" w:eastAsia="Calibri" w:hAnsi="Calibri"/>
                <w:b/>
                <w:bCs/>
                <w:color w:val="000000"/>
                <w:sz w:val="15"/>
                <w:szCs w:val="15"/>
              </w:rPr>
              <w:t xml:space="preserve">−13.9 M</w:t>
            </w:r>
          </w:p>
        </w:tc>
      </w:tr>
      <w:tr>
        <w:trPr>
          <w:cantSplit/>
          <w:tblHeader w:val="false"/>
        </w:trPr>
        <w:tc>
          <w:tcPr>
            <w:tcW w:type="dxa" w:w="3182"/>
            <w:shd w:fill="FFFFFF" w:color="auto" w:val="clear"/>
            <w:tcMar>
              <w:top w:type="dxa" w:w="25"/>
              <w:left w:type="dxa" w:w="70"/>
              <w:bottom w:type="dxa" w:w="25"/>
              <w:right w:type="dxa" w:w="70"/>
            </w:tcMar>
          </w:tcPr>
          <w:p>
            <w:pPr>
              <w:spacing w:after="0" w:before="0" w:line="210"/>
              <w:jc w:val="left"/>
            </w:pPr>
            <w:r>
              <w:rPr>
                <w:rFonts w:ascii="Calibri" w:cs="Calibri" w:eastAsia="Calibri" w:hAnsi="Calibri"/>
                <w:b/>
                <w:bCs/>
                <w:color w:val="000000"/>
                <w:sz w:val="15"/>
                <w:szCs w:val="15"/>
              </w:rPr>
              <w:t xml:space="preserve">Refilled with 1.2 g/t stockpile instead</w:t>
            </w:r>
          </w:p>
        </w:tc>
        <w:tc>
          <w:tcPr>
            <w:tcW w:type="dxa" w:w="2059"/>
            <w:shd w:fill="FFFFFF" w:color="auto" w:val="clear"/>
            <w:tcMar>
              <w:top w:type="dxa" w:w="25"/>
              <w:left w:type="dxa" w:w="70"/>
              <w:bottom w:type="dxa" w:w="25"/>
              <w:right w:type="dxa" w:w="70"/>
            </w:tcMar>
          </w:tcPr>
          <w:p>
            <w:pPr>
              <w:spacing w:after="0" w:before="0" w:line="210"/>
              <w:jc w:val="right"/>
            </w:pPr>
            <w:r>
              <w:rPr>
                <w:rFonts w:ascii="Calibri" w:cs="Calibri" w:eastAsia="Calibri" w:hAnsi="Calibri"/>
                <w:color w:val="000000"/>
                <w:sz w:val="15"/>
                <w:szCs w:val="15"/>
              </w:rPr>
              <w:t xml:space="preserve">+1,066</w:t>
            </w:r>
          </w:p>
        </w:tc>
        <w:tc>
          <w:tcPr>
            <w:tcW w:type="dxa" w:w="2059"/>
            <w:shd w:fill="FFFFFF" w:color="auto" w:val="clear"/>
            <w:tcMar>
              <w:top w:type="dxa" w:w="25"/>
              <w:left w:type="dxa" w:w="70"/>
              <w:bottom w:type="dxa" w:w="25"/>
              <w:right w:type="dxa" w:w="70"/>
            </w:tcMar>
          </w:tcPr>
          <w:p>
            <w:pPr>
              <w:spacing w:after="0" w:before="0" w:line="210"/>
              <w:jc w:val="right"/>
            </w:pPr>
            <w:r>
              <w:rPr>
                <w:rFonts w:ascii="Calibri" w:cs="Calibri" w:eastAsia="Calibri" w:hAnsi="Calibri"/>
                <w:color w:val="000000"/>
                <w:sz w:val="15"/>
                <w:szCs w:val="15"/>
              </w:rPr>
              <w:t xml:space="preserve">+1.05 M</w:t>
            </w:r>
          </w:p>
        </w:tc>
        <w:tc>
          <w:tcPr>
            <w:tcW w:type="dxa" w:w="2060"/>
            <w:shd w:fill="FFF2CC" w:color="auto" w:val="clear"/>
            <w:tcMar>
              <w:top w:type="dxa" w:w="25"/>
              <w:left w:type="dxa" w:w="70"/>
              <w:bottom w:type="dxa" w:w="25"/>
              <w:right w:type="dxa" w:w="70"/>
            </w:tcMar>
          </w:tcPr>
          <w:p>
            <w:pPr>
              <w:spacing w:after="0" w:before="0" w:line="210"/>
              <w:jc w:val="right"/>
            </w:pPr>
            <w:r>
              <w:rPr>
                <w:rFonts w:ascii="Calibri" w:cs="Calibri" w:eastAsia="Calibri" w:hAnsi="Calibri"/>
                <w:color w:val="000000"/>
                <w:sz w:val="15"/>
                <w:szCs w:val="15"/>
              </w:rPr>
              <w:t xml:space="preserve">+1.1 M</w:t>
            </w:r>
          </w:p>
        </w:tc>
      </w:tr>
    </w:tbl>
    <w:p>
      <w:pPr>
        <w:spacing w:after="40" w:before="0" w:line="230"/>
      </w:pPr>
      <w:r>
        <w:rPr>
          <w:rFonts w:ascii="Calibri" w:cs="Calibri" w:eastAsia="Calibri" w:hAnsi="Calibri"/>
          <w:color w:val="000000"/>
          <w:sz w:val="17"/>
          <w:szCs w:val="17"/>
        </w:rPr>
        <w:t xml:space="preserve">Secondary sensitivities are mild by comparison: at US$2,500/oz the case still returns +US$13.4 M NPV, and pushing the sorter to 90/90 adds only US$6 M. The scat grade itself is the dominant material lever — at 0.8 g/t the same plant would be worth US$76 M. At 2.0 g/t, roughly 60% of the Sukari-style prize has already been lost to the ore's own character.</w:t>
      </w:r>
    </w:p>
    <w:tbl>
      <w:tblPr>
        <w:tblW w:type="dxa" w:w="9360"/>
        <w:tblBorders>
          <w:top w:val="single" w:color="AEBBD0" w:sz="2"/>
          <w:left w:val="single" w:color="AEBBD0" w:sz="2"/>
          <w:bottom w:val="single" w:color="AEBBD0" w:sz="2"/>
          <w:right w:val="single" w:color="AEBBD0" w:sz="2"/>
          <w:insideH w:val="single" w:color="AEBBD0" w:sz="2"/>
          <w:insideV w:val="single" w:color="AEBBD0" w:sz="2"/>
        </w:tblBorders>
      </w:tblPr>
      <w:tblGrid>
        <w:gridCol w:w="2434"/>
        <w:gridCol w:w="1591"/>
        <w:gridCol w:w="1778"/>
        <w:gridCol w:w="1778"/>
        <w:gridCol w:w="1779"/>
      </w:tblGrid>
      <w:tr>
        <w:trPr>
          <w:cantSplit/>
          <w:tblHeader/>
        </w:trPr>
        <w:tc>
          <w:tcPr>
            <w:tcW w:type="dxa" w:w="2434"/>
            <w:shd w:fill="1F3864" w:color="auto" w:val="clear"/>
            <w:tcMar>
              <w:top w:type="dxa" w:w="25"/>
              <w:left w:type="dxa" w:w="70"/>
              <w:bottom w:type="dxa" w:w="25"/>
              <w:right w:type="dxa" w:w="70"/>
            </w:tcMar>
          </w:tcPr>
          <w:p>
            <w:pPr>
              <w:spacing w:after="0" w:before="0" w:line="210"/>
              <w:jc w:val="left"/>
            </w:pPr>
            <w:r>
              <w:rPr>
                <w:rFonts w:ascii="Calibri" w:cs="Calibri" w:eastAsia="Calibri" w:hAnsi="Calibri"/>
                <w:b/>
                <w:bCs/>
                <w:color w:val="FFFFFF"/>
                <w:sz w:val="15"/>
                <w:szCs w:val="15"/>
              </w:rPr>
              <w:t xml:space="preserve">If the scat grade were…</w:t>
            </w:r>
          </w:p>
        </w:tc>
        <w:tc>
          <w:tcPr>
            <w:tcW w:type="dxa" w:w="1591"/>
            <w:shd w:fill="1F3864" w:color="auto" w:val="clear"/>
            <w:tcMar>
              <w:top w:type="dxa" w:w="25"/>
              <w:left w:type="dxa" w:w="70"/>
              <w:bottom w:type="dxa" w:w="25"/>
              <w:right w:type="dxa" w:w="70"/>
            </w:tcMar>
          </w:tcPr>
          <w:p>
            <w:pPr>
              <w:spacing w:after="0" w:before="0" w:line="210"/>
              <w:jc w:val="right"/>
            </w:pPr>
            <w:r>
              <w:rPr>
                <w:rFonts w:ascii="Calibri" w:cs="Calibri" w:eastAsia="Calibri" w:hAnsi="Calibri"/>
                <w:b/>
                <w:bCs/>
                <w:color w:val="FFFFFF"/>
                <w:sz w:val="15"/>
                <w:szCs w:val="15"/>
              </w:rPr>
              <w:t xml:space="preserve">Contrast</w:t>
            </w:r>
          </w:p>
        </w:tc>
        <w:tc>
          <w:tcPr>
            <w:tcW w:type="dxa" w:w="1778"/>
            <w:shd w:fill="1F3864" w:color="auto" w:val="clear"/>
            <w:tcMar>
              <w:top w:type="dxa" w:w="25"/>
              <w:left w:type="dxa" w:w="70"/>
              <w:bottom w:type="dxa" w:w="25"/>
              <w:right w:type="dxa" w:w="70"/>
            </w:tcMar>
          </w:tcPr>
          <w:p>
            <w:pPr>
              <w:spacing w:after="0" w:before="0" w:line="210"/>
              <w:jc w:val="right"/>
            </w:pPr>
            <w:r>
              <w:rPr>
                <w:rFonts w:ascii="Calibri" w:cs="Calibri" w:eastAsia="Calibri" w:hAnsi="Calibri"/>
                <w:b/>
                <w:bCs/>
                <w:color w:val="FFFFFF"/>
                <w:sz w:val="15"/>
                <w:szCs w:val="15"/>
              </w:rPr>
              <w:t xml:space="preserve">Reject g/t</w:t>
            </w:r>
          </w:p>
        </w:tc>
        <w:tc>
          <w:tcPr>
            <w:tcW w:type="dxa" w:w="1778"/>
            <w:shd w:fill="1F3864" w:color="auto" w:val="clear"/>
            <w:tcMar>
              <w:top w:type="dxa" w:w="25"/>
              <w:left w:type="dxa" w:w="70"/>
              <w:bottom w:type="dxa" w:w="25"/>
              <w:right w:type="dxa" w:w="70"/>
            </w:tcMar>
          </w:tcPr>
          <w:p>
            <w:pPr>
              <w:spacing w:after="0" w:before="0" w:line="210"/>
              <w:jc w:val="right"/>
            </w:pPr>
            <w:r>
              <w:rPr>
                <w:rFonts w:ascii="Calibri" w:cs="Calibri" w:eastAsia="Calibri" w:hAnsi="Calibri"/>
                <w:b/>
                <w:bCs/>
                <w:color w:val="FFFFFF"/>
                <w:sz w:val="15"/>
                <w:szCs w:val="15"/>
              </w:rPr>
              <w:t xml:space="preserve">Mass pull</w:t>
            </w:r>
          </w:p>
        </w:tc>
        <w:tc>
          <w:tcPr>
            <w:tcW w:type="dxa" w:w="1779"/>
            <w:shd w:fill="1F3864" w:color="auto" w:val="clear"/>
            <w:tcMar>
              <w:top w:type="dxa" w:w="25"/>
              <w:left w:type="dxa" w:w="70"/>
              <w:bottom w:type="dxa" w:w="25"/>
              <w:right w:type="dxa" w:w="70"/>
            </w:tcMar>
          </w:tcPr>
          <w:p>
            <w:pPr>
              <w:spacing w:after="0" w:before="0" w:line="210"/>
              <w:jc w:val="right"/>
            </w:pPr>
            <w:r>
              <w:rPr>
                <w:rFonts w:ascii="Calibri" w:cs="Calibri" w:eastAsia="Calibri" w:hAnsi="Calibri"/>
                <w:b/>
                <w:bCs/>
                <w:color w:val="FFFFFF"/>
                <w:sz w:val="15"/>
                <w:szCs w:val="15"/>
              </w:rPr>
              <w:t xml:space="preserve">NPV @10%</w:t>
            </w:r>
          </w:p>
        </w:tc>
      </w:tr>
      <w:tr>
        <w:trPr>
          <w:cantSplit/>
          <w:tblHeader w:val="false"/>
        </w:trPr>
        <w:tc>
          <w:tcPr>
            <w:tcW w:type="dxa" w:w="2434"/>
            <w:shd w:fill="FFFFFF" w:color="auto" w:val="clear"/>
            <w:tcMar>
              <w:top w:type="dxa" w:w="25"/>
              <w:left w:type="dxa" w:w="70"/>
              <w:bottom w:type="dxa" w:w="25"/>
              <w:right w:type="dxa" w:w="70"/>
            </w:tcMar>
          </w:tcPr>
          <w:p>
            <w:pPr>
              <w:spacing w:after="0" w:before="0" w:line="210"/>
              <w:jc w:val="left"/>
            </w:pPr>
            <w:r>
              <w:rPr>
                <w:rFonts w:ascii="Calibri" w:cs="Calibri" w:eastAsia="Calibri" w:hAnsi="Calibri"/>
                <w:b/>
                <w:bCs/>
                <w:color w:val="000000"/>
                <w:sz w:val="15"/>
                <w:szCs w:val="15"/>
              </w:rPr>
              <w:t xml:space="preserve">0.8 g/t (Sukari-like)</w:t>
            </w:r>
          </w:p>
        </w:tc>
        <w:tc>
          <w:tcPr>
            <w:tcW w:type="dxa" w:w="1591"/>
            <w:shd w:fill="FFFFFF" w:color="auto" w:val="clear"/>
            <w:tcMar>
              <w:top w:type="dxa" w:w="25"/>
              <w:left w:type="dxa" w:w="70"/>
              <w:bottom w:type="dxa" w:w="25"/>
              <w:right w:type="dxa" w:w="70"/>
            </w:tcMar>
          </w:tcPr>
          <w:p>
            <w:pPr>
              <w:spacing w:after="0" w:before="0" w:line="210"/>
              <w:jc w:val="right"/>
            </w:pPr>
            <w:r>
              <w:rPr>
                <w:rFonts w:ascii="Calibri" w:cs="Calibri" w:eastAsia="Calibri" w:hAnsi="Calibri"/>
                <w:color w:val="000000"/>
                <w:sz w:val="15"/>
                <w:szCs w:val="15"/>
              </w:rPr>
              <w:t xml:space="preserve">7.5×</w:t>
            </w:r>
          </w:p>
        </w:tc>
        <w:tc>
          <w:tcPr>
            <w:tcW w:type="dxa" w:w="1778"/>
            <w:shd w:fill="FFFFFF" w:color="auto" w:val="clear"/>
            <w:tcMar>
              <w:top w:type="dxa" w:w="25"/>
              <w:left w:type="dxa" w:w="70"/>
              <w:bottom w:type="dxa" w:w="25"/>
              <w:right w:type="dxa" w:w="70"/>
            </w:tcMar>
          </w:tcPr>
          <w:p>
            <w:pPr>
              <w:spacing w:after="0" w:before="0" w:line="210"/>
              <w:jc w:val="right"/>
            </w:pPr>
            <w:r>
              <w:rPr>
                <w:rFonts w:ascii="Calibri" w:cs="Calibri" w:eastAsia="Calibri" w:hAnsi="Calibri"/>
                <w:color w:val="000000"/>
                <w:sz w:val="15"/>
                <w:szCs w:val="15"/>
              </w:rPr>
              <w:t xml:space="preserve">0.10</w:t>
            </w:r>
          </w:p>
        </w:tc>
        <w:tc>
          <w:tcPr>
            <w:tcW w:type="dxa" w:w="1778"/>
            <w:shd w:fill="FFFFFF" w:color="auto" w:val="clear"/>
            <w:tcMar>
              <w:top w:type="dxa" w:w="25"/>
              <w:left w:type="dxa" w:w="70"/>
              <w:bottom w:type="dxa" w:w="25"/>
              <w:right w:type="dxa" w:w="70"/>
            </w:tcMar>
          </w:tcPr>
          <w:p>
            <w:pPr>
              <w:spacing w:after="0" w:before="0" w:line="210"/>
              <w:jc w:val="right"/>
            </w:pPr>
            <w:r>
              <w:rPr>
                <w:rFonts w:ascii="Calibri" w:cs="Calibri" w:eastAsia="Calibri" w:hAnsi="Calibri"/>
                <w:color w:val="000000"/>
                <w:sz w:val="15"/>
                <w:szCs w:val="15"/>
              </w:rPr>
              <w:t xml:space="preserve">48%</w:t>
            </w:r>
          </w:p>
        </w:tc>
        <w:tc>
          <w:tcPr>
            <w:tcW w:type="dxa" w:w="1779"/>
            <w:shd w:fill="E2EFDA" w:color="auto" w:val="clear"/>
            <w:tcMar>
              <w:top w:type="dxa" w:w="25"/>
              <w:left w:type="dxa" w:w="70"/>
              <w:bottom w:type="dxa" w:w="25"/>
              <w:right w:type="dxa" w:w="70"/>
            </w:tcMar>
          </w:tcPr>
          <w:p>
            <w:pPr>
              <w:spacing w:after="0" w:before="0" w:line="210"/>
              <w:jc w:val="right"/>
            </w:pPr>
            <w:r>
              <w:rPr>
                <w:rFonts w:ascii="Calibri" w:cs="Calibri" w:eastAsia="Calibri" w:hAnsi="Calibri"/>
                <w:color w:val="000000"/>
                <w:sz w:val="15"/>
                <w:szCs w:val="15"/>
              </w:rPr>
              <w:t xml:space="preserve">+76.4 M</w:t>
            </w:r>
          </w:p>
        </w:tc>
      </w:tr>
      <w:tr>
        <w:trPr>
          <w:cantSplit/>
          <w:tblHeader w:val="false"/>
        </w:trPr>
        <w:tc>
          <w:tcPr>
            <w:tcW w:type="dxa" w:w="2434"/>
            <w:shd w:fill="F2F2F2" w:color="auto" w:val="clear"/>
            <w:tcMar>
              <w:top w:type="dxa" w:w="25"/>
              <w:left w:type="dxa" w:w="70"/>
              <w:bottom w:type="dxa" w:w="25"/>
              <w:right w:type="dxa" w:w="70"/>
            </w:tcMar>
          </w:tcPr>
          <w:p>
            <w:pPr>
              <w:spacing w:after="0" w:before="0" w:line="210"/>
              <w:jc w:val="left"/>
            </w:pPr>
            <w:r>
              <w:rPr>
                <w:rFonts w:ascii="Calibri" w:cs="Calibri" w:eastAsia="Calibri" w:hAnsi="Calibri"/>
                <w:b/>
                <w:bCs/>
                <w:color w:val="000000"/>
                <w:sz w:val="15"/>
                <w:szCs w:val="15"/>
              </w:rPr>
              <w:t xml:space="preserve">1.2 g/t</w:t>
            </w:r>
          </w:p>
        </w:tc>
        <w:tc>
          <w:tcPr>
            <w:tcW w:type="dxa" w:w="1591"/>
            <w:shd w:fill="F2F2F2" w:color="auto" w:val="clear"/>
            <w:tcMar>
              <w:top w:type="dxa" w:w="25"/>
              <w:left w:type="dxa" w:w="70"/>
              <w:bottom w:type="dxa" w:w="25"/>
              <w:right w:type="dxa" w:w="70"/>
            </w:tcMar>
          </w:tcPr>
          <w:p>
            <w:pPr>
              <w:spacing w:after="0" w:before="0" w:line="210"/>
              <w:jc w:val="right"/>
            </w:pPr>
            <w:r>
              <w:rPr>
                <w:rFonts w:ascii="Calibri" w:cs="Calibri" w:eastAsia="Calibri" w:hAnsi="Calibri"/>
                <w:color w:val="000000"/>
                <w:sz w:val="15"/>
                <w:szCs w:val="15"/>
              </w:rPr>
              <w:t xml:space="preserve">4.4×</w:t>
            </w:r>
          </w:p>
        </w:tc>
        <w:tc>
          <w:tcPr>
            <w:tcW w:type="dxa" w:w="1778"/>
            <w:shd w:fill="F2F2F2" w:color="auto" w:val="clear"/>
            <w:tcMar>
              <w:top w:type="dxa" w:w="25"/>
              <w:left w:type="dxa" w:w="70"/>
              <w:bottom w:type="dxa" w:w="25"/>
              <w:right w:type="dxa" w:w="70"/>
            </w:tcMar>
          </w:tcPr>
          <w:p>
            <w:pPr>
              <w:spacing w:after="0" w:before="0" w:line="210"/>
              <w:jc w:val="right"/>
            </w:pPr>
            <w:r>
              <w:rPr>
                <w:rFonts w:ascii="Calibri" w:cs="Calibri" w:eastAsia="Calibri" w:hAnsi="Calibri"/>
                <w:color w:val="000000"/>
                <w:sz w:val="15"/>
                <w:szCs w:val="15"/>
              </w:rPr>
              <w:t xml:space="preserve">0.18</w:t>
            </w:r>
          </w:p>
        </w:tc>
        <w:tc>
          <w:tcPr>
            <w:tcW w:type="dxa" w:w="1778"/>
            <w:shd w:fill="F2F2F2" w:color="auto" w:val="clear"/>
            <w:tcMar>
              <w:top w:type="dxa" w:w="25"/>
              <w:left w:type="dxa" w:w="70"/>
              <w:bottom w:type="dxa" w:w="25"/>
              <w:right w:type="dxa" w:w="70"/>
            </w:tcMar>
          </w:tcPr>
          <w:p>
            <w:pPr>
              <w:spacing w:after="0" w:before="0" w:line="210"/>
              <w:jc w:val="right"/>
            </w:pPr>
            <w:r>
              <w:rPr>
                <w:rFonts w:ascii="Calibri" w:cs="Calibri" w:eastAsia="Calibri" w:hAnsi="Calibri"/>
                <w:color w:val="000000"/>
                <w:sz w:val="15"/>
                <w:szCs w:val="15"/>
              </w:rPr>
              <w:t xml:space="preserve">40%</w:t>
            </w:r>
          </w:p>
        </w:tc>
        <w:tc>
          <w:tcPr>
            <w:tcW w:type="dxa" w:w="1779"/>
            <w:shd w:fill="E2EFDA" w:color="auto" w:val="clear"/>
            <w:tcMar>
              <w:top w:type="dxa" w:w="25"/>
              <w:left w:type="dxa" w:w="70"/>
              <w:bottom w:type="dxa" w:w="25"/>
              <w:right w:type="dxa" w:w="70"/>
            </w:tcMar>
          </w:tcPr>
          <w:p>
            <w:pPr>
              <w:spacing w:after="0" w:before="0" w:line="210"/>
              <w:jc w:val="right"/>
            </w:pPr>
            <w:r>
              <w:rPr>
                <w:rFonts w:ascii="Calibri" w:cs="Calibri" w:eastAsia="Calibri" w:hAnsi="Calibri"/>
                <w:color w:val="000000"/>
                <w:sz w:val="15"/>
                <w:szCs w:val="15"/>
              </w:rPr>
              <w:t xml:space="preserve">+63.2 M</w:t>
            </w:r>
          </w:p>
        </w:tc>
      </w:tr>
      <w:tr>
        <w:trPr>
          <w:cantSplit/>
          <w:tblHeader w:val="false"/>
        </w:trPr>
        <w:tc>
          <w:tcPr>
            <w:tcW w:type="dxa" w:w="2434"/>
            <w:shd w:fill="FFFFFF" w:color="auto" w:val="clear"/>
            <w:tcMar>
              <w:top w:type="dxa" w:w="25"/>
              <w:left w:type="dxa" w:w="70"/>
              <w:bottom w:type="dxa" w:w="25"/>
              <w:right w:type="dxa" w:w="70"/>
            </w:tcMar>
          </w:tcPr>
          <w:p>
            <w:pPr>
              <w:spacing w:after="0" w:before="0" w:line="210"/>
              <w:jc w:val="left"/>
            </w:pPr>
            <w:r>
              <w:rPr>
                <w:rFonts w:ascii="Calibri" w:cs="Calibri" w:eastAsia="Calibri" w:hAnsi="Calibri"/>
                <w:b/>
                <w:bCs/>
                <w:color w:val="000000"/>
                <w:sz w:val="15"/>
                <w:szCs w:val="15"/>
              </w:rPr>
              <w:t xml:space="preserve">1.6 g/t</w:t>
            </w:r>
          </w:p>
        </w:tc>
        <w:tc>
          <w:tcPr>
            <w:tcW w:type="dxa" w:w="1591"/>
            <w:shd w:fill="FFFFFF" w:color="auto" w:val="clear"/>
            <w:tcMar>
              <w:top w:type="dxa" w:w="25"/>
              <w:left w:type="dxa" w:w="70"/>
              <w:bottom w:type="dxa" w:w="25"/>
              <w:right w:type="dxa" w:w="70"/>
            </w:tcMar>
          </w:tcPr>
          <w:p>
            <w:pPr>
              <w:spacing w:after="0" w:before="0" w:line="210"/>
              <w:jc w:val="right"/>
            </w:pPr>
            <w:r>
              <w:rPr>
                <w:rFonts w:ascii="Calibri" w:cs="Calibri" w:eastAsia="Calibri" w:hAnsi="Calibri"/>
                <w:color w:val="000000"/>
                <w:sz w:val="15"/>
                <w:szCs w:val="15"/>
              </w:rPr>
              <w:t xml:space="preserve">2.9×</w:t>
            </w:r>
          </w:p>
        </w:tc>
        <w:tc>
          <w:tcPr>
            <w:tcW w:type="dxa" w:w="1778"/>
            <w:shd w:fill="FFFFFF" w:color="auto" w:val="clear"/>
            <w:tcMar>
              <w:top w:type="dxa" w:w="25"/>
              <w:left w:type="dxa" w:w="70"/>
              <w:bottom w:type="dxa" w:w="25"/>
              <w:right w:type="dxa" w:w="70"/>
            </w:tcMar>
          </w:tcPr>
          <w:p>
            <w:pPr>
              <w:spacing w:after="0" w:before="0" w:line="210"/>
              <w:jc w:val="right"/>
            </w:pPr>
            <w:r>
              <w:rPr>
                <w:rFonts w:ascii="Calibri" w:cs="Calibri" w:eastAsia="Calibri" w:hAnsi="Calibri"/>
                <w:color w:val="000000"/>
                <w:sz w:val="15"/>
                <w:szCs w:val="15"/>
              </w:rPr>
              <w:t xml:space="preserve">0.28</w:t>
            </w:r>
          </w:p>
        </w:tc>
        <w:tc>
          <w:tcPr>
            <w:tcW w:type="dxa" w:w="1778"/>
            <w:shd w:fill="FFFFFF" w:color="auto" w:val="clear"/>
            <w:tcMar>
              <w:top w:type="dxa" w:w="25"/>
              <w:left w:type="dxa" w:w="70"/>
              <w:bottom w:type="dxa" w:w="25"/>
              <w:right w:type="dxa" w:w="70"/>
            </w:tcMar>
          </w:tcPr>
          <w:p>
            <w:pPr>
              <w:spacing w:after="0" w:before="0" w:line="210"/>
              <w:jc w:val="right"/>
            </w:pPr>
            <w:r>
              <w:rPr>
                <w:rFonts w:ascii="Calibri" w:cs="Calibri" w:eastAsia="Calibri" w:hAnsi="Calibri"/>
                <w:color w:val="000000"/>
                <w:sz w:val="15"/>
                <w:szCs w:val="15"/>
              </w:rPr>
              <w:t xml:space="preserve">32%</w:t>
            </w:r>
          </w:p>
        </w:tc>
        <w:tc>
          <w:tcPr>
            <w:tcW w:type="dxa" w:w="1779"/>
            <w:shd w:fill="E2EFDA" w:color="auto" w:val="clear"/>
            <w:tcMar>
              <w:top w:type="dxa" w:w="25"/>
              <w:left w:type="dxa" w:w="70"/>
              <w:bottom w:type="dxa" w:w="25"/>
              <w:right w:type="dxa" w:w="70"/>
            </w:tcMar>
          </w:tcPr>
          <w:p>
            <w:pPr>
              <w:spacing w:after="0" w:before="0" w:line="210"/>
              <w:jc w:val="right"/>
            </w:pPr>
            <w:r>
              <w:rPr>
                <w:rFonts w:ascii="Calibri" w:cs="Calibri" w:eastAsia="Calibri" w:hAnsi="Calibri"/>
                <w:color w:val="000000"/>
                <w:sz w:val="15"/>
                <w:szCs w:val="15"/>
              </w:rPr>
              <w:t xml:space="preserve">+49.0 M</w:t>
            </w:r>
          </w:p>
        </w:tc>
      </w:tr>
      <w:tr>
        <w:trPr>
          <w:cantSplit/>
          <w:tblHeader w:val="false"/>
        </w:trPr>
        <w:tc>
          <w:tcPr>
            <w:tcW w:type="dxa" w:w="2434"/>
            <w:shd w:fill="FFF2CC" w:color="auto" w:val="clear"/>
            <w:tcMar>
              <w:top w:type="dxa" w:w="25"/>
              <w:left w:type="dxa" w:w="70"/>
              <w:bottom w:type="dxa" w:w="25"/>
              <w:right w:type="dxa" w:w="70"/>
            </w:tcMar>
          </w:tcPr>
          <w:p>
            <w:pPr>
              <w:spacing w:after="0" w:before="0" w:line="210"/>
              <w:jc w:val="left"/>
            </w:pPr>
            <w:r>
              <w:rPr>
                <w:rFonts w:ascii="Calibri" w:cs="Calibri" w:eastAsia="Calibri" w:hAnsi="Calibri"/>
                <w:b/>
                <w:bCs/>
                <w:color w:val="000000"/>
                <w:sz w:val="15"/>
                <w:szCs w:val="15"/>
              </w:rPr>
              <w:t xml:space="preserve">2.0 g/t  —  Syama, as measured</w:t>
            </w:r>
          </w:p>
        </w:tc>
        <w:tc>
          <w:tcPr>
            <w:tcW w:type="dxa" w:w="1591"/>
            <w:shd w:fill="FFF2CC" w:color="auto" w:val="clear"/>
            <w:tcMar>
              <w:top w:type="dxa" w:w="25"/>
              <w:left w:type="dxa" w:w="70"/>
              <w:bottom w:type="dxa" w:w="25"/>
              <w:right w:type="dxa" w:w="70"/>
            </w:tcMar>
          </w:tcPr>
          <w:p>
            <w:pPr>
              <w:spacing w:after="0" w:before="0" w:line="210"/>
              <w:jc w:val="right"/>
            </w:pPr>
            <w:r>
              <w:rPr>
                <w:rFonts w:ascii="Calibri" w:cs="Calibri" w:eastAsia="Calibri" w:hAnsi="Calibri"/>
                <w:b/>
                <w:bCs/>
                <w:color w:val="000000"/>
                <w:sz w:val="15"/>
                <w:szCs w:val="15"/>
              </w:rPr>
              <w:t xml:space="preserve">1.8×</w:t>
            </w:r>
          </w:p>
        </w:tc>
        <w:tc>
          <w:tcPr>
            <w:tcW w:type="dxa" w:w="1778"/>
            <w:shd w:fill="FFF2CC" w:color="auto" w:val="clear"/>
            <w:tcMar>
              <w:top w:type="dxa" w:w="25"/>
              <w:left w:type="dxa" w:w="70"/>
              <w:bottom w:type="dxa" w:w="25"/>
              <w:right w:type="dxa" w:w="70"/>
            </w:tcMar>
          </w:tcPr>
          <w:p>
            <w:pPr>
              <w:spacing w:after="0" w:before="0" w:line="210"/>
              <w:jc w:val="right"/>
            </w:pPr>
            <w:r>
              <w:rPr>
                <w:rFonts w:ascii="Calibri" w:cs="Calibri" w:eastAsia="Calibri" w:hAnsi="Calibri"/>
                <w:b/>
                <w:bCs/>
                <w:color w:val="000000"/>
                <w:sz w:val="15"/>
                <w:szCs w:val="15"/>
              </w:rPr>
              <w:t xml:space="preserve">0.43</w:t>
            </w:r>
          </w:p>
        </w:tc>
        <w:tc>
          <w:tcPr>
            <w:tcW w:type="dxa" w:w="1778"/>
            <w:shd w:fill="FFF2CC" w:color="auto" w:val="clear"/>
            <w:tcMar>
              <w:top w:type="dxa" w:w="25"/>
              <w:left w:type="dxa" w:w="70"/>
              <w:bottom w:type="dxa" w:w="25"/>
              <w:right w:type="dxa" w:w="70"/>
            </w:tcMar>
          </w:tcPr>
          <w:p>
            <w:pPr>
              <w:spacing w:after="0" w:before="0" w:line="210"/>
              <w:jc w:val="right"/>
            </w:pPr>
            <w:r>
              <w:rPr>
                <w:rFonts w:ascii="Calibri" w:cs="Calibri" w:eastAsia="Calibri" w:hAnsi="Calibri"/>
                <w:b/>
                <w:bCs/>
                <w:color w:val="000000"/>
                <w:sz w:val="15"/>
                <w:szCs w:val="15"/>
              </w:rPr>
              <w:t xml:space="preserve">25%</w:t>
            </w:r>
          </w:p>
        </w:tc>
        <w:tc>
          <w:tcPr>
            <w:tcW w:type="dxa" w:w="1779"/>
            <w:shd w:fill="FFF2CC" w:color="auto" w:val="clear"/>
            <w:tcMar>
              <w:top w:type="dxa" w:w="25"/>
              <w:left w:type="dxa" w:w="70"/>
              <w:bottom w:type="dxa" w:w="25"/>
              <w:right w:type="dxa" w:w="70"/>
            </w:tcMar>
          </w:tcPr>
          <w:p>
            <w:pPr>
              <w:spacing w:after="0" w:before="0" w:line="210"/>
              <w:jc w:val="right"/>
            </w:pPr>
            <w:r>
              <w:rPr>
                <w:rFonts w:ascii="Calibri" w:cs="Calibri" w:eastAsia="Calibri" w:hAnsi="Calibri"/>
                <w:b/>
                <w:bCs/>
                <w:color w:val="000000"/>
                <w:sz w:val="15"/>
                <w:szCs w:val="15"/>
              </w:rPr>
              <w:t xml:space="preserve">+33.6 M</w:t>
            </w:r>
          </w:p>
        </w:tc>
      </w:tr>
      <w:tr>
        <w:trPr>
          <w:cantSplit/>
          <w:tblHeader w:val="false"/>
        </w:trPr>
        <w:tc>
          <w:tcPr>
            <w:tcW w:type="dxa" w:w="2434"/>
            <w:shd w:fill="FFFFFF" w:color="auto" w:val="clear"/>
            <w:tcMar>
              <w:top w:type="dxa" w:w="25"/>
              <w:left w:type="dxa" w:w="70"/>
              <w:bottom w:type="dxa" w:w="25"/>
              <w:right w:type="dxa" w:w="70"/>
            </w:tcMar>
          </w:tcPr>
          <w:p>
            <w:pPr>
              <w:spacing w:after="0" w:before="0" w:line="210"/>
              <w:jc w:val="left"/>
            </w:pPr>
            <w:r>
              <w:rPr>
                <w:rFonts w:ascii="Calibri" w:cs="Calibri" w:eastAsia="Calibri" w:hAnsi="Calibri"/>
                <w:b/>
                <w:bCs/>
                <w:color w:val="000000"/>
                <w:sz w:val="15"/>
                <w:szCs w:val="15"/>
              </w:rPr>
              <w:t xml:space="preserve">2.4 g/t (= ROM grade)</w:t>
            </w:r>
          </w:p>
        </w:tc>
        <w:tc>
          <w:tcPr>
            <w:tcW w:type="dxa" w:w="1591"/>
            <w:shd w:fill="FFFFFF" w:color="auto" w:val="clear"/>
            <w:tcMar>
              <w:top w:type="dxa" w:w="25"/>
              <w:left w:type="dxa" w:w="70"/>
              <w:bottom w:type="dxa" w:w="25"/>
              <w:right w:type="dxa" w:w="70"/>
            </w:tcMar>
          </w:tcPr>
          <w:p>
            <w:pPr>
              <w:spacing w:after="0" w:before="0" w:line="210"/>
              <w:jc w:val="right"/>
            </w:pPr>
            <w:r>
              <w:rPr>
                <w:rFonts w:ascii="Calibri" w:cs="Calibri" w:eastAsia="Calibri" w:hAnsi="Calibri"/>
                <w:color w:val="000000"/>
                <w:sz w:val="15"/>
                <w:szCs w:val="15"/>
              </w:rPr>
              <w:t xml:space="preserve">1.0×</w:t>
            </w:r>
          </w:p>
        </w:tc>
        <w:tc>
          <w:tcPr>
            <w:tcW w:type="dxa" w:w="1778"/>
            <w:shd w:fill="FFFFFF" w:color="auto" w:val="clear"/>
            <w:tcMar>
              <w:top w:type="dxa" w:w="25"/>
              <w:left w:type="dxa" w:w="70"/>
              <w:bottom w:type="dxa" w:w="25"/>
              <w:right w:type="dxa" w:w="70"/>
            </w:tcMar>
          </w:tcPr>
          <w:p>
            <w:pPr>
              <w:spacing w:after="0" w:before="0" w:line="210"/>
              <w:jc w:val="right"/>
            </w:pPr>
            <w:r>
              <w:rPr>
                <w:rFonts w:ascii="Calibri" w:cs="Calibri" w:eastAsia="Calibri" w:hAnsi="Calibri"/>
                <w:color w:val="000000"/>
                <w:sz w:val="15"/>
                <w:szCs w:val="15"/>
              </w:rPr>
              <w:t xml:space="preserve">0.72</w:t>
            </w:r>
          </w:p>
        </w:tc>
        <w:tc>
          <w:tcPr>
            <w:tcW w:type="dxa" w:w="1778"/>
            <w:shd w:fill="FFFFFF" w:color="auto" w:val="clear"/>
            <w:tcMar>
              <w:top w:type="dxa" w:w="25"/>
              <w:left w:type="dxa" w:w="70"/>
              <w:bottom w:type="dxa" w:w="25"/>
              <w:right w:type="dxa" w:w="70"/>
            </w:tcMar>
          </w:tcPr>
          <w:p>
            <w:pPr>
              <w:spacing w:after="0" w:before="0" w:line="210"/>
              <w:jc w:val="right"/>
            </w:pPr>
            <w:r>
              <w:rPr>
                <w:rFonts w:ascii="Calibri" w:cs="Calibri" w:eastAsia="Calibri" w:hAnsi="Calibri"/>
                <w:color w:val="000000"/>
                <w:sz w:val="15"/>
                <w:szCs w:val="15"/>
              </w:rPr>
              <w:t xml:space="preserve">17%</w:t>
            </w:r>
          </w:p>
        </w:tc>
        <w:tc>
          <w:tcPr>
            <w:tcW w:type="dxa" w:w="1779"/>
            <w:shd w:fill="FCE4E4" w:color="auto" w:val="clear"/>
            <w:tcMar>
              <w:top w:type="dxa" w:w="25"/>
              <w:left w:type="dxa" w:w="70"/>
              <w:bottom w:type="dxa" w:w="25"/>
              <w:right w:type="dxa" w:w="70"/>
            </w:tcMar>
          </w:tcPr>
          <w:p>
            <w:pPr>
              <w:spacing w:after="0" w:before="0" w:line="210"/>
              <w:jc w:val="right"/>
            </w:pPr>
            <w:r>
              <w:rPr>
                <w:rFonts w:ascii="Calibri" w:cs="Calibri" w:eastAsia="Calibri" w:hAnsi="Calibri"/>
                <w:color w:val="000000"/>
                <w:sz w:val="15"/>
                <w:szCs w:val="15"/>
              </w:rPr>
              <w:t xml:space="preserve">+16.8 M</w:t>
            </w:r>
          </w:p>
        </w:tc>
      </w:tr>
    </w:tbl>
    <w:p>
      <w:pPr>
        <w:spacing w:after="40" w:before="0" w:line="230"/>
      </w:pPr>
      <w:r>
        <w:rPr>
          <w:rFonts w:ascii="Calibri" w:cs="Calibri" w:eastAsia="Calibri" w:hAnsi="Calibri"/>
          <w:color w:val="000000"/>
          <w:sz w:val="17"/>
          <w:szCs w:val="17"/>
        </w:rPr>
        <w:t xml:space="preserve">Read down that table: the scat grade alone has already removed more than half the prize before a single sorter is specified, and it does so by making the reject stream progressively more valuable. Sorter performance is the weaker lever — running 90% rejection at 90% ore recovery instead of 70/95 raises NPV only to US$39.6 M, and pushing harder (95/85) turns back down to US$37.7 M because the gold lost outruns the extra mass rejected. There is no sorter setting that rescues a poor contrast.</w:t>
      </w:r>
    </w:p>
    <w:p>
      <w:pPr>
        <w:keepNext/>
        <w:shd w:fill="2E5C8A" w:color="auto" w:val="clear"/>
        <w:spacing w:after="70" w:before="130" w:line="240"/>
        <w:ind w:left="60"/>
      </w:pPr>
      <w:r>
        <w:rPr>
          <w:rFonts w:ascii="Calibri" w:cs="Calibri" w:eastAsia="Calibri" w:hAnsi="Calibri"/>
          <w:b/>
          <w:bCs/>
          <w:color w:val="FFFFFF"/>
          <w:sz w:val="19"/>
          <w:szCs w:val="19"/>
        </w:rPr>
        <w:t xml:space="preserve">5.  Why Gate 1 is the real risk</w:t>
      </w:r>
    </w:p>
    <w:p>
      <w:pPr>
        <w:spacing w:after="40" w:before="0" w:line="230"/>
      </w:pPr>
      <w:r>
        <w:rPr>
          <w:rFonts w:ascii="Calibri" w:cs="Calibri" w:eastAsia="Calibri" w:hAnsi="Calibri"/>
          <w:color w:val="000000"/>
          <w:sz w:val="17"/>
          <w:szCs w:val="17"/>
        </w:rPr>
        <w:t xml:space="preserve">Public disclosure points away from comminution being the constraint. Sulphide stockpiles were drawn down through 2025 to maintain throughput — a mill short of ore, not short of capacity. The SSCP is adding 60% of sulphide capacity (2.4 → 4.0 Mtpa), and the declared debottlenecking target is the roaster and its new ESP, not the mills. If flotation, the roaster or ore supply binds first, every tonne of freed SAG capacity is worth zero and the case collapses to the −US$13.9 M row above. This must be settled from the plant's own constraint data before anything else is spent.</w:t>
      </w:r>
    </w:p>
    <w:p>
      <w:pPr>
        <w:keepNext/>
        <w:shd w:fill="2E5C8A" w:color="auto" w:val="clear"/>
        <w:spacing w:after="70" w:before="130" w:line="240"/>
        <w:ind w:left="60"/>
      </w:pPr>
      <w:r>
        <w:rPr>
          <w:rFonts w:ascii="Calibri" w:cs="Calibri" w:eastAsia="Calibri" w:hAnsi="Calibri"/>
          <w:b/>
          <w:bCs/>
          <w:color w:val="FFFFFF"/>
          <w:sz w:val="19"/>
          <w:szCs w:val="19"/>
        </w:rPr>
        <w:t xml:space="preserve">6.  Risks and adjacent opportunity</w:t>
      </w:r>
    </w:p>
    <w:p>
      <w:pPr>
        <w:pStyle w:val="ListParagraph"/>
        <w:numPr>
          <w:ilvl w:val="0"/>
          <w:numId w:val="1"/>
        </w:numPr>
        <w:spacing w:after="40" w:before="0" w:line="225"/>
        <w:ind w:left="260" w:hanging="180"/>
      </w:pPr>
      <w:r>
        <w:rPr>
          <w:rFonts w:ascii="Calibri" w:cs="Calibri" w:eastAsia="Calibri" w:hAnsi="Calibri"/>
          <w:color w:val="000000"/>
          <w:sz w:val="17"/>
          <w:szCs w:val="17"/>
        </w:rPr>
        <w:t xml:space="preserve">Refractory gold — reject grades must be confirmed by fire assay and diagnostic leach, not sensor response. Gold is locked in sulphides and XRT sees density, not gold.</w:t>
      </w:r>
    </w:p>
    <w:p>
      <w:pPr>
        <w:pStyle w:val="ListParagraph"/>
        <w:numPr>
          <w:ilvl w:val="0"/>
          <w:numId w:val="1"/>
        </w:numPr>
        <w:spacing w:after="40" w:before="0" w:line="225"/>
        <w:ind w:left="260" w:hanging="180"/>
      </w:pPr>
      <w:r>
        <w:rPr>
          <w:rFonts w:ascii="Calibri" w:cs="Calibri" w:eastAsia="Calibri" w:hAnsi="Calibri"/>
          <w:color w:val="000000"/>
          <w:sz w:val="17"/>
          <w:szCs w:val="17"/>
        </w:rPr>
        <w:t xml:space="preserve">Sulphidic rejects — geochemical/ARD characterisation is required before a new reject stream is sent to a waste dump; this can carry its own closure cost.</w:t>
      </w:r>
    </w:p>
    <w:p>
      <w:pPr>
        <w:pStyle w:val="ListParagraph"/>
        <w:numPr>
          <w:ilvl w:val="0"/>
          <w:numId w:val="1"/>
        </w:numPr>
        <w:spacing w:after="40" w:before="0" w:line="225"/>
        <w:ind w:left="260" w:hanging="180"/>
      </w:pPr>
      <w:r>
        <w:rPr>
          <w:rFonts w:ascii="Calibri" w:cs="Calibri" w:eastAsia="Calibri" w:hAnsi="Calibri"/>
          <w:color w:val="000000"/>
          <w:sz w:val="17"/>
          <w:szCs w:val="17"/>
        </w:rPr>
        <w:t xml:space="preserve">Mali country risk — supply chain and spares availability disrupted through 2026; a 10% discount rate is applied and single-sorter redundancy is nil.</w:t>
      </w:r>
    </w:p>
    <w:p>
      <w:pPr>
        <w:pStyle w:val="ListParagraph"/>
        <w:numPr>
          <w:ilvl w:val="0"/>
          <w:numId w:val="1"/>
        </w:numPr>
        <w:spacing w:after="40" w:before="0" w:line="225"/>
        <w:ind w:left="260" w:hanging="180"/>
      </w:pPr>
      <w:r>
        <w:rPr>
          <w:rFonts w:ascii="Calibri" w:cs="Calibri" w:eastAsia="Calibri" w:hAnsi="Calibri"/>
          <w:b w:val="false"/>
          <w:bCs w:val="false"/>
          <w:color w:val="000000"/>
          <w:sz w:val="17"/>
          <w:szCs w:val="17"/>
        </w:rPr>
        <w:t xml:space="preserve">Larger prize elsewhere: SLC dilution rejection on ROM or coarse-crushed underground feed. Some 20% dilution across ~2.6 Mt/a offers far more heterogeneity than the scats do, and the same sample campaign can test it at marginal extra cost. Recommend it be scoped into Gate 2.</w:t>
      </w:r>
    </w:p>
    <w:p>
      <w:pPr>
        <w:keepNext/>
        <w:shd w:fill="2E5C8A" w:color="auto" w:val="clear"/>
        <w:spacing w:after="70" w:before="130" w:line="240"/>
        <w:ind w:left="60"/>
      </w:pPr>
      <w:r>
        <w:rPr>
          <w:rFonts w:ascii="Calibri" w:cs="Calibri" w:eastAsia="Calibri" w:hAnsi="Calibri"/>
          <w:b/>
          <w:bCs/>
          <w:color w:val="FFFFFF"/>
          <w:sz w:val="19"/>
          <w:szCs w:val="19"/>
        </w:rPr>
        <w:t xml:space="preserve">7.  Next steps</w:t>
      </w:r>
    </w:p>
    <w:tbl>
      <w:tblPr>
        <w:tblW w:type="dxa" w:w="9360"/>
        <w:tblBorders>
          <w:top w:val="single" w:color="AEBBD0" w:sz="2"/>
          <w:left w:val="single" w:color="AEBBD0" w:sz="2"/>
          <w:bottom w:val="single" w:color="AEBBD0" w:sz="2"/>
          <w:right w:val="single" w:color="AEBBD0" w:sz="2"/>
          <w:insideH w:val="single" w:color="AEBBD0" w:sz="2"/>
          <w:insideV w:val="single" w:color="AEBBD0" w:sz="2"/>
        </w:tblBorders>
      </w:tblPr>
      <w:tblGrid>
        <w:gridCol w:w="749"/>
        <w:gridCol w:w="3744"/>
        <w:gridCol w:w="2434"/>
        <w:gridCol w:w="1217"/>
        <w:gridCol w:w="1216"/>
      </w:tblGrid>
      <w:tr>
        <w:trPr>
          <w:cantSplit/>
          <w:tblHeader/>
        </w:trPr>
        <w:tc>
          <w:tcPr>
            <w:tcW w:type="dxa" w:w="749"/>
            <w:shd w:fill="1F3864" w:color="auto" w:val="clear"/>
            <w:tcMar>
              <w:top w:type="dxa" w:w="25"/>
              <w:left w:type="dxa" w:w="70"/>
              <w:bottom w:type="dxa" w:w="25"/>
              <w:right w:type="dxa" w:w="70"/>
            </w:tcMar>
          </w:tcPr>
          <w:p>
            <w:pPr>
              <w:spacing w:after="0" w:before="0" w:line="210"/>
              <w:jc w:val="left"/>
            </w:pPr>
            <w:r>
              <w:rPr>
                <w:rFonts w:ascii="Calibri" w:cs="Calibri" w:eastAsia="Calibri" w:hAnsi="Calibri"/>
                <w:b/>
                <w:bCs/>
                <w:color w:val="FFFFFF"/>
                <w:sz w:val="15"/>
                <w:szCs w:val="15"/>
              </w:rPr>
              <w:t xml:space="preserve">#</w:t>
            </w:r>
          </w:p>
        </w:tc>
        <w:tc>
          <w:tcPr>
            <w:tcW w:type="dxa" w:w="3744"/>
            <w:shd w:fill="1F3864" w:color="auto" w:val="clear"/>
            <w:tcMar>
              <w:top w:type="dxa" w:w="25"/>
              <w:left w:type="dxa" w:w="70"/>
              <w:bottom w:type="dxa" w:w="25"/>
              <w:right w:type="dxa" w:w="70"/>
            </w:tcMar>
          </w:tcPr>
          <w:p>
            <w:pPr>
              <w:spacing w:after="0" w:before="0" w:line="210"/>
              <w:jc w:val="left"/>
            </w:pPr>
            <w:r>
              <w:rPr>
                <w:rFonts w:ascii="Calibri" w:cs="Calibri" w:eastAsia="Calibri" w:hAnsi="Calibri"/>
                <w:b/>
                <w:bCs/>
                <w:color w:val="FFFFFF"/>
                <w:sz w:val="15"/>
                <w:szCs w:val="15"/>
              </w:rPr>
              <w:t xml:space="preserve">Action</w:t>
            </w:r>
          </w:p>
        </w:tc>
        <w:tc>
          <w:tcPr>
            <w:tcW w:type="dxa" w:w="2434"/>
            <w:shd w:fill="1F3864" w:color="auto" w:val="clear"/>
            <w:tcMar>
              <w:top w:type="dxa" w:w="25"/>
              <w:left w:type="dxa" w:w="70"/>
              <w:bottom w:type="dxa" w:w="25"/>
              <w:right w:type="dxa" w:w="70"/>
            </w:tcMar>
          </w:tcPr>
          <w:p>
            <w:pPr>
              <w:spacing w:after="0" w:before="0" w:line="210"/>
              <w:jc w:val="left"/>
            </w:pPr>
            <w:r>
              <w:rPr>
                <w:rFonts w:ascii="Calibri" w:cs="Calibri" w:eastAsia="Calibri" w:hAnsi="Calibri"/>
                <w:b/>
                <w:bCs/>
                <w:color w:val="FFFFFF"/>
                <w:sz w:val="15"/>
                <w:szCs w:val="15"/>
              </w:rPr>
              <w:t xml:space="preserve">Owner</w:t>
            </w:r>
          </w:p>
        </w:tc>
        <w:tc>
          <w:tcPr>
            <w:tcW w:type="dxa" w:w="1217"/>
            <w:shd w:fill="1F3864" w:color="auto" w:val="clear"/>
            <w:tcMar>
              <w:top w:type="dxa" w:w="25"/>
              <w:left w:type="dxa" w:w="70"/>
              <w:bottom w:type="dxa" w:w="25"/>
              <w:right w:type="dxa" w:w="70"/>
            </w:tcMar>
          </w:tcPr>
          <w:p>
            <w:pPr>
              <w:spacing w:after="0" w:before="0" w:line="210"/>
              <w:jc w:val="right"/>
            </w:pPr>
            <w:r>
              <w:rPr>
                <w:rFonts w:ascii="Calibri" w:cs="Calibri" w:eastAsia="Calibri" w:hAnsi="Calibri"/>
                <w:b/>
                <w:bCs/>
                <w:color w:val="FFFFFF"/>
                <w:sz w:val="15"/>
                <w:szCs w:val="15"/>
              </w:rPr>
              <w:t xml:space="preserve">Cost</w:t>
            </w:r>
          </w:p>
        </w:tc>
        <w:tc>
          <w:tcPr>
            <w:tcW w:type="dxa" w:w="1216"/>
            <w:shd w:fill="1F3864" w:color="auto" w:val="clear"/>
            <w:tcMar>
              <w:top w:type="dxa" w:w="25"/>
              <w:left w:type="dxa" w:w="70"/>
              <w:bottom w:type="dxa" w:w="25"/>
              <w:right w:type="dxa" w:w="70"/>
            </w:tcMar>
          </w:tcPr>
          <w:p>
            <w:pPr>
              <w:spacing w:after="0" w:before="0" w:line="210"/>
              <w:jc w:val="right"/>
            </w:pPr>
            <w:r>
              <w:rPr>
                <w:rFonts w:ascii="Calibri" w:cs="Calibri" w:eastAsia="Calibri" w:hAnsi="Calibri"/>
                <w:b/>
                <w:bCs/>
                <w:color w:val="FFFFFF"/>
                <w:sz w:val="15"/>
                <w:szCs w:val="15"/>
              </w:rPr>
              <w:t xml:space="preserve">Duration</w:t>
            </w:r>
          </w:p>
        </w:tc>
      </w:tr>
      <w:tr>
        <w:trPr>
          <w:cantSplit/>
          <w:tblHeader w:val="false"/>
        </w:trPr>
        <w:tc>
          <w:tcPr>
            <w:tcW w:type="dxa" w:w="749"/>
            <w:shd w:fill="FFFFFF" w:color="auto" w:val="clear"/>
            <w:tcMar>
              <w:top w:type="dxa" w:w="25"/>
              <w:left w:type="dxa" w:w="70"/>
              <w:bottom w:type="dxa" w:w="25"/>
              <w:right w:type="dxa" w:w="70"/>
            </w:tcMar>
          </w:tcPr>
          <w:p>
            <w:pPr>
              <w:spacing w:after="0" w:before="0" w:line="210"/>
              <w:jc w:val="left"/>
            </w:pPr>
            <w:r>
              <w:rPr>
                <w:rFonts w:ascii="Calibri" w:cs="Calibri" w:eastAsia="Calibri" w:hAnsi="Calibri"/>
                <w:color w:val="000000"/>
                <w:sz w:val="15"/>
                <w:szCs w:val="15"/>
              </w:rPr>
              <w:t xml:space="preserve">1</w:t>
            </w:r>
          </w:p>
        </w:tc>
        <w:tc>
          <w:tcPr>
            <w:tcW w:type="dxa" w:w="3744"/>
            <w:shd w:fill="FFFFFF" w:color="auto" w:val="clear"/>
            <w:tcMar>
              <w:top w:type="dxa" w:w="25"/>
              <w:left w:type="dxa" w:w="70"/>
              <w:bottom w:type="dxa" w:w="25"/>
              <w:right w:type="dxa" w:w="70"/>
            </w:tcMar>
          </w:tcPr>
          <w:p>
            <w:pPr>
              <w:spacing w:after="0" w:before="0" w:line="210"/>
              <w:jc w:val="left"/>
            </w:pPr>
            <w:r>
              <w:rPr>
                <w:rFonts w:ascii="Calibri" w:cs="Calibri" w:eastAsia="Calibri" w:hAnsi="Calibri"/>
                <w:color w:val="000000"/>
                <w:sz w:val="15"/>
                <w:szCs w:val="15"/>
              </w:rPr>
              <w:t xml:space="preserve">Constraint audit of the converted line post-SSCP; confirm spare ore at reserve grade</w:t>
            </w:r>
          </w:p>
        </w:tc>
        <w:tc>
          <w:tcPr>
            <w:tcW w:type="dxa" w:w="2434"/>
            <w:shd w:fill="FFFFFF" w:color="auto" w:val="clear"/>
            <w:tcMar>
              <w:top w:type="dxa" w:w="25"/>
              <w:left w:type="dxa" w:w="70"/>
              <w:bottom w:type="dxa" w:w="25"/>
              <w:right w:type="dxa" w:w="70"/>
            </w:tcMar>
          </w:tcPr>
          <w:p>
            <w:pPr>
              <w:spacing w:after="0" w:before="0" w:line="210"/>
              <w:jc w:val="left"/>
            </w:pPr>
            <w:r>
              <w:rPr>
                <w:rFonts w:ascii="Calibri" w:cs="Calibri" w:eastAsia="Calibri" w:hAnsi="Calibri"/>
                <w:color w:val="000000"/>
                <w:sz w:val="15"/>
                <w:szCs w:val="15"/>
              </w:rPr>
              <w:t xml:space="preserve">Site metallurgy / planning</w:t>
            </w:r>
          </w:p>
        </w:tc>
        <w:tc>
          <w:tcPr>
            <w:tcW w:type="dxa" w:w="1217"/>
            <w:shd w:fill="FFFFFF" w:color="auto" w:val="clear"/>
            <w:tcMar>
              <w:top w:type="dxa" w:w="25"/>
              <w:left w:type="dxa" w:w="70"/>
              <w:bottom w:type="dxa" w:w="25"/>
              <w:right w:type="dxa" w:w="70"/>
            </w:tcMar>
          </w:tcPr>
          <w:p>
            <w:pPr>
              <w:spacing w:after="0" w:before="0" w:line="210"/>
              <w:jc w:val="right"/>
            </w:pPr>
            <w:r>
              <w:rPr>
                <w:rFonts w:ascii="Calibri" w:cs="Calibri" w:eastAsia="Calibri" w:hAnsi="Calibri"/>
                <w:color w:val="000000"/>
                <w:sz w:val="15"/>
                <w:szCs w:val="15"/>
              </w:rPr>
              <w:t xml:space="preserve">nil</w:t>
            </w:r>
          </w:p>
        </w:tc>
        <w:tc>
          <w:tcPr>
            <w:tcW w:type="dxa" w:w="1216"/>
            <w:shd w:fill="FFFFFF" w:color="auto" w:val="clear"/>
            <w:tcMar>
              <w:top w:type="dxa" w:w="25"/>
              <w:left w:type="dxa" w:w="70"/>
              <w:bottom w:type="dxa" w:w="25"/>
              <w:right w:type="dxa" w:w="70"/>
            </w:tcMar>
          </w:tcPr>
          <w:p>
            <w:pPr>
              <w:spacing w:after="0" w:before="0" w:line="210"/>
              <w:jc w:val="right"/>
            </w:pPr>
            <w:r>
              <w:rPr>
                <w:rFonts w:ascii="Calibri" w:cs="Calibri" w:eastAsia="Calibri" w:hAnsi="Calibri"/>
                <w:color w:val="000000"/>
                <w:sz w:val="15"/>
                <w:szCs w:val="15"/>
              </w:rPr>
              <w:t xml:space="preserve">4 weeks</w:t>
            </w:r>
          </w:p>
        </w:tc>
      </w:tr>
      <w:tr>
        <w:trPr>
          <w:cantSplit/>
          <w:tblHeader w:val="false"/>
        </w:trPr>
        <w:tc>
          <w:tcPr>
            <w:tcW w:type="dxa" w:w="749"/>
            <w:shd w:fill="F2F2F2" w:color="auto" w:val="clear"/>
            <w:tcMar>
              <w:top w:type="dxa" w:w="25"/>
              <w:left w:type="dxa" w:w="70"/>
              <w:bottom w:type="dxa" w:w="25"/>
              <w:right w:type="dxa" w:w="70"/>
            </w:tcMar>
          </w:tcPr>
          <w:p>
            <w:pPr>
              <w:spacing w:after="0" w:before="0" w:line="210"/>
              <w:jc w:val="left"/>
            </w:pPr>
            <w:r>
              <w:rPr>
                <w:rFonts w:ascii="Calibri" w:cs="Calibri" w:eastAsia="Calibri" w:hAnsi="Calibri"/>
                <w:color w:val="000000"/>
                <w:sz w:val="15"/>
                <w:szCs w:val="15"/>
              </w:rPr>
              <w:t xml:space="preserve">2</w:t>
            </w:r>
          </w:p>
        </w:tc>
        <w:tc>
          <w:tcPr>
            <w:tcW w:type="dxa" w:w="3744"/>
            <w:shd w:fill="F2F2F2" w:color="auto" w:val="clear"/>
            <w:tcMar>
              <w:top w:type="dxa" w:w="25"/>
              <w:left w:type="dxa" w:w="70"/>
              <w:bottom w:type="dxa" w:w="25"/>
              <w:right w:type="dxa" w:w="70"/>
            </w:tcMar>
          </w:tcPr>
          <w:p>
            <w:pPr>
              <w:spacing w:after="0" w:before="0" w:line="210"/>
              <w:jc w:val="left"/>
            </w:pPr>
            <w:r>
              <w:rPr>
                <w:rFonts w:ascii="Calibri" w:cs="Calibri" w:eastAsia="Calibri" w:hAnsi="Calibri"/>
                <w:color w:val="000000"/>
                <w:sz w:val="15"/>
                <w:szCs w:val="15"/>
              </w:rPr>
              <w:t xml:space="preserve">Survey and assay the scat stream — tonnage, size distribution, grade by size, lithology split</w:t>
            </w:r>
          </w:p>
        </w:tc>
        <w:tc>
          <w:tcPr>
            <w:tcW w:type="dxa" w:w="2434"/>
            <w:shd w:fill="F2F2F2" w:color="auto" w:val="clear"/>
            <w:tcMar>
              <w:top w:type="dxa" w:w="25"/>
              <w:left w:type="dxa" w:w="70"/>
              <w:bottom w:type="dxa" w:w="25"/>
              <w:right w:type="dxa" w:w="70"/>
            </w:tcMar>
          </w:tcPr>
          <w:p>
            <w:pPr>
              <w:spacing w:after="0" w:before="0" w:line="210"/>
              <w:jc w:val="left"/>
            </w:pPr>
            <w:r>
              <w:rPr>
                <w:rFonts w:ascii="Calibri" w:cs="Calibri" w:eastAsia="Calibri" w:hAnsi="Calibri"/>
                <w:color w:val="000000"/>
                <w:sz w:val="15"/>
                <w:szCs w:val="15"/>
              </w:rPr>
              <w:t xml:space="preserve">Site metallurgy</w:t>
            </w:r>
          </w:p>
        </w:tc>
        <w:tc>
          <w:tcPr>
            <w:tcW w:type="dxa" w:w="1217"/>
            <w:shd w:fill="F2F2F2" w:color="auto" w:val="clear"/>
            <w:tcMar>
              <w:top w:type="dxa" w:w="25"/>
              <w:left w:type="dxa" w:w="70"/>
              <w:bottom w:type="dxa" w:w="25"/>
              <w:right w:type="dxa" w:w="70"/>
            </w:tcMar>
          </w:tcPr>
          <w:p>
            <w:pPr>
              <w:spacing w:after="0" w:before="0" w:line="210"/>
              <w:jc w:val="right"/>
            </w:pPr>
            <w:r>
              <w:rPr>
                <w:rFonts w:ascii="Calibri" w:cs="Calibri" w:eastAsia="Calibri" w:hAnsi="Calibri"/>
                <w:color w:val="000000"/>
                <w:sz w:val="15"/>
                <w:szCs w:val="15"/>
              </w:rPr>
              <w:t xml:space="preserve">&lt;$20 k</w:t>
            </w:r>
          </w:p>
        </w:tc>
        <w:tc>
          <w:tcPr>
            <w:tcW w:type="dxa" w:w="1216"/>
            <w:shd w:fill="F2F2F2" w:color="auto" w:val="clear"/>
            <w:tcMar>
              <w:top w:type="dxa" w:w="25"/>
              <w:left w:type="dxa" w:w="70"/>
              <w:bottom w:type="dxa" w:w="25"/>
              <w:right w:type="dxa" w:w="70"/>
            </w:tcMar>
          </w:tcPr>
          <w:p>
            <w:pPr>
              <w:spacing w:after="0" w:before="0" w:line="210"/>
              <w:jc w:val="right"/>
            </w:pPr>
            <w:r>
              <w:rPr>
                <w:rFonts w:ascii="Calibri" w:cs="Calibri" w:eastAsia="Calibri" w:hAnsi="Calibri"/>
                <w:color w:val="000000"/>
                <w:sz w:val="15"/>
                <w:szCs w:val="15"/>
              </w:rPr>
              <w:t xml:space="preserve">4 weeks</w:t>
            </w:r>
          </w:p>
        </w:tc>
      </w:tr>
      <w:tr>
        <w:trPr>
          <w:cantSplit/>
          <w:tblHeader w:val="false"/>
        </w:trPr>
        <w:tc>
          <w:tcPr>
            <w:tcW w:type="dxa" w:w="749"/>
            <w:shd w:fill="FFFFFF" w:color="auto" w:val="clear"/>
            <w:tcMar>
              <w:top w:type="dxa" w:w="25"/>
              <w:left w:type="dxa" w:w="70"/>
              <w:bottom w:type="dxa" w:w="25"/>
              <w:right w:type="dxa" w:w="70"/>
            </w:tcMar>
          </w:tcPr>
          <w:p>
            <w:pPr>
              <w:spacing w:after="0" w:before="0" w:line="210"/>
              <w:jc w:val="left"/>
            </w:pPr>
            <w:r>
              <w:rPr>
                <w:rFonts w:ascii="Calibri" w:cs="Calibri" w:eastAsia="Calibri" w:hAnsi="Calibri"/>
                <w:color w:val="000000"/>
                <w:sz w:val="15"/>
                <w:szCs w:val="15"/>
              </w:rPr>
              <w:t xml:space="preserve">3</w:t>
            </w:r>
          </w:p>
        </w:tc>
        <w:tc>
          <w:tcPr>
            <w:tcW w:type="dxa" w:w="3744"/>
            <w:shd w:fill="FFFFFF" w:color="auto" w:val="clear"/>
            <w:tcMar>
              <w:top w:type="dxa" w:w="25"/>
              <w:left w:type="dxa" w:w="70"/>
              <w:bottom w:type="dxa" w:w="25"/>
              <w:right w:type="dxa" w:w="70"/>
            </w:tcMar>
          </w:tcPr>
          <w:p>
            <w:pPr>
              <w:spacing w:after="0" w:before="0" w:line="210"/>
              <w:jc w:val="left"/>
            </w:pPr>
            <w:r>
              <w:rPr>
                <w:rFonts w:ascii="Calibri" w:cs="Calibri" w:eastAsia="Calibri" w:hAnsi="Calibri"/>
                <w:color w:val="000000"/>
                <w:sz w:val="15"/>
                <w:szCs w:val="15"/>
              </w:rPr>
              <w:t xml:space="preserve">Bulk XRT/sensor amenability test, 2–5 t, scats + coarse ROM</w:t>
            </w:r>
          </w:p>
        </w:tc>
        <w:tc>
          <w:tcPr>
            <w:tcW w:type="dxa" w:w="2434"/>
            <w:shd w:fill="FFFFFF" w:color="auto" w:val="clear"/>
            <w:tcMar>
              <w:top w:type="dxa" w:w="25"/>
              <w:left w:type="dxa" w:w="70"/>
              <w:bottom w:type="dxa" w:w="25"/>
              <w:right w:type="dxa" w:w="70"/>
            </w:tcMar>
          </w:tcPr>
          <w:p>
            <w:pPr>
              <w:spacing w:after="0" w:before="0" w:line="210"/>
              <w:jc w:val="left"/>
            </w:pPr>
            <w:r>
              <w:rPr>
                <w:rFonts w:ascii="Calibri" w:cs="Calibri" w:eastAsia="Calibri" w:hAnsi="Calibri"/>
                <w:color w:val="000000"/>
                <w:sz w:val="15"/>
                <w:szCs w:val="15"/>
              </w:rPr>
              <w:t xml:space="preserve">STEINERT test centre</w:t>
            </w:r>
          </w:p>
        </w:tc>
        <w:tc>
          <w:tcPr>
            <w:tcW w:type="dxa" w:w="1217"/>
            <w:shd w:fill="FFFFFF" w:color="auto" w:val="clear"/>
            <w:tcMar>
              <w:top w:type="dxa" w:w="25"/>
              <w:left w:type="dxa" w:w="70"/>
              <w:bottom w:type="dxa" w:w="25"/>
              <w:right w:type="dxa" w:w="70"/>
            </w:tcMar>
          </w:tcPr>
          <w:p>
            <w:pPr>
              <w:spacing w:after="0" w:before="0" w:line="210"/>
              <w:jc w:val="right"/>
            </w:pPr>
            <w:r>
              <w:rPr>
                <w:rFonts w:ascii="Calibri" w:cs="Calibri" w:eastAsia="Calibri" w:hAnsi="Calibri"/>
                <w:color w:val="000000"/>
                <w:sz w:val="15"/>
                <w:szCs w:val="15"/>
              </w:rPr>
              <w:t xml:space="preserve">$60–150 k</w:t>
            </w:r>
          </w:p>
        </w:tc>
        <w:tc>
          <w:tcPr>
            <w:tcW w:type="dxa" w:w="1216"/>
            <w:shd w:fill="FFFFFF" w:color="auto" w:val="clear"/>
            <w:tcMar>
              <w:top w:type="dxa" w:w="25"/>
              <w:left w:type="dxa" w:w="70"/>
              <w:bottom w:type="dxa" w:w="25"/>
              <w:right w:type="dxa" w:w="70"/>
            </w:tcMar>
          </w:tcPr>
          <w:p>
            <w:pPr>
              <w:spacing w:after="0" w:before="0" w:line="210"/>
              <w:jc w:val="right"/>
            </w:pPr>
            <w:r>
              <w:rPr>
                <w:rFonts w:ascii="Calibri" w:cs="Calibri" w:eastAsia="Calibri" w:hAnsi="Calibri"/>
                <w:color w:val="000000"/>
                <w:sz w:val="15"/>
                <w:szCs w:val="15"/>
              </w:rPr>
              <w:t xml:space="preserve">3 months</w:t>
            </w:r>
          </w:p>
        </w:tc>
      </w:tr>
      <w:tr>
        <w:trPr>
          <w:cantSplit/>
          <w:tblHeader w:val="false"/>
        </w:trPr>
        <w:tc>
          <w:tcPr>
            <w:tcW w:type="dxa" w:w="749"/>
            <w:shd w:fill="F2F2F2" w:color="auto" w:val="clear"/>
            <w:tcMar>
              <w:top w:type="dxa" w:w="25"/>
              <w:left w:type="dxa" w:w="70"/>
              <w:bottom w:type="dxa" w:w="25"/>
              <w:right w:type="dxa" w:w="70"/>
            </w:tcMar>
          </w:tcPr>
          <w:p>
            <w:pPr>
              <w:spacing w:after="0" w:before="0" w:line="210"/>
              <w:jc w:val="left"/>
            </w:pPr>
            <w:r>
              <w:rPr>
                <w:rFonts w:ascii="Calibri" w:cs="Calibri" w:eastAsia="Calibri" w:hAnsi="Calibri"/>
                <w:color w:val="000000"/>
                <w:sz w:val="15"/>
                <w:szCs w:val="15"/>
              </w:rPr>
              <w:t xml:space="preserve">4</w:t>
            </w:r>
          </w:p>
        </w:tc>
        <w:tc>
          <w:tcPr>
            <w:tcW w:type="dxa" w:w="3744"/>
            <w:shd w:fill="F2F2F2" w:color="auto" w:val="clear"/>
            <w:tcMar>
              <w:top w:type="dxa" w:w="25"/>
              <w:left w:type="dxa" w:w="70"/>
              <w:bottom w:type="dxa" w:w="25"/>
              <w:right w:type="dxa" w:w="70"/>
            </w:tcMar>
          </w:tcPr>
          <w:p>
            <w:pPr>
              <w:spacing w:after="0" w:before="0" w:line="210"/>
              <w:jc w:val="left"/>
            </w:pPr>
            <w:r>
              <w:rPr>
                <w:rFonts w:ascii="Calibri" w:cs="Calibri" w:eastAsia="Calibri" w:hAnsi="Calibri"/>
                <w:color w:val="000000"/>
                <w:sz w:val="15"/>
                <w:szCs w:val="15"/>
              </w:rPr>
              <w:t xml:space="preserve">ARD / geochemical characterisation of the reject stream</w:t>
            </w:r>
          </w:p>
        </w:tc>
        <w:tc>
          <w:tcPr>
            <w:tcW w:type="dxa" w:w="2434"/>
            <w:shd w:fill="F2F2F2" w:color="auto" w:val="clear"/>
            <w:tcMar>
              <w:top w:type="dxa" w:w="25"/>
              <w:left w:type="dxa" w:w="70"/>
              <w:bottom w:type="dxa" w:w="25"/>
              <w:right w:type="dxa" w:w="70"/>
            </w:tcMar>
          </w:tcPr>
          <w:p>
            <w:pPr>
              <w:spacing w:after="0" w:before="0" w:line="210"/>
              <w:jc w:val="left"/>
            </w:pPr>
            <w:r>
              <w:rPr>
                <w:rFonts w:ascii="Calibri" w:cs="Calibri" w:eastAsia="Calibri" w:hAnsi="Calibri"/>
                <w:color w:val="000000"/>
                <w:sz w:val="15"/>
                <w:szCs w:val="15"/>
              </w:rPr>
              <w:t xml:space="preserve">Environmental</w:t>
            </w:r>
          </w:p>
        </w:tc>
        <w:tc>
          <w:tcPr>
            <w:tcW w:type="dxa" w:w="1217"/>
            <w:shd w:fill="F2F2F2" w:color="auto" w:val="clear"/>
            <w:tcMar>
              <w:top w:type="dxa" w:w="25"/>
              <w:left w:type="dxa" w:w="70"/>
              <w:bottom w:type="dxa" w:w="25"/>
              <w:right w:type="dxa" w:w="70"/>
            </w:tcMar>
          </w:tcPr>
          <w:p>
            <w:pPr>
              <w:spacing w:after="0" w:before="0" w:line="210"/>
              <w:jc w:val="right"/>
            </w:pPr>
            <w:r>
              <w:rPr>
                <w:rFonts w:ascii="Calibri" w:cs="Calibri" w:eastAsia="Calibri" w:hAnsi="Calibri"/>
                <w:color w:val="000000"/>
                <w:sz w:val="15"/>
                <w:szCs w:val="15"/>
              </w:rPr>
              <w:t xml:space="preserve">&lt;$30 k</w:t>
            </w:r>
          </w:p>
        </w:tc>
        <w:tc>
          <w:tcPr>
            <w:tcW w:type="dxa" w:w="1216"/>
            <w:shd w:fill="F2F2F2" w:color="auto" w:val="clear"/>
            <w:tcMar>
              <w:top w:type="dxa" w:w="25"/>
              <w:left w:type="dxa" w:w="70"/>
              <w:bottom w:type="dxa" w:w="25"/>
              <w:right w:type="dxa" w:w="70"/>
            </w:tcMar>
          </w:tcPr>
          <w:p>
            <w:pPr>
              <w:spacing w:after="0" w:before="0" w:line="210"/>
              <w:jc w:val="right"/>
            </w:pPr>
            <w:r>
              <w:rPr>
                <w:rFonts w:ascii="Calibri" w:cs="Calibri" w:eastAsia="Calibri" w:hAnsi="Calibri"/>
                <w:color w:val="000000"/>
                <w:sz w:val="15"/>
                <w:szCs w:val="15"/>
              </w:rPr>
              <w:t xml:space="preserve">2 months</w:t>
            </w:r>
          </w:p>
        </w:tc>
      </w:tr>
      <w:tr>
        <w:trPr>
          <w:cantSplit/>
          <w:tblHeader w:val="false"/>
        </w:trPr>
        <w:tc>
          <w:tcPr>
            <w:tcW w:type="dxa" w:w="749"/>
            <w:shd w:fill="FFFFFF" w:color="auto" w:val="clear"/>
            <w:tcMar>
              <w:top w:type="dxa" w:w="25"/>
              <w:left w:type="dxa" w:w="70"/>
              <w:bottom w:type="dxa" w:w="25"/>
              <w:right w:type="dxa" w:w="70"/>
            </w:tcMar>
          </w:tcPr>
          <w:p>
            <w:pPr>
              <w:spacing w:after="0" w:before="0" w:line="210"/>
              <w:jc w:val="left"/>
            </w:pPr>
            <w:r>
              <w:rPr>
                <w:rFonts w:ascii="Calibri" w:cs="Calibri" w:eastAsia="Calibri" w:hAnsi="Calibri"/>
                <w:color w:val="000000"/>
                <w:sz w:val="15"/>
                <w:szCs w:val="15"/>
              </w:rPr>
              <w:t xml:space="preserve">5</w:t>
            </w:r>
          </w:p>
        </w:tc>
        <w:tc>
          <w:tcPr>
            <w:tcW w:type="dxa" w:w="3744"/>
            <w:shd w:fill="FFFFFF" w:color="auto" w:val="clear"/>
            <w:tcMar>
              <w:top w:type="dxa" w:w="25"/>
              <w:left w:type="dxa" w:w="70"/>
              <w:bottom w:type="dxa" w:w="25"/>
              <w:right w:type="dxa" w:w="70"/>
            </w:tcMar>
          </w:tcPr>
          <w:p>
            <w:pPr>
              <w:spacing w:after="0" w:before="0" w:line="210"/>
              <w:jc w:val="left"/>
            </w:pPr>
            <w:r>
              <w:rPr>
                <w:rFonts w:ascii="Calibri" w:cs="Calibri" w:eastAsia="Calibri" w:hAnsi="Calibri"/>
                <w:color w:val="000000"/>
                <w:sz w:val="15"/>
                <w:szCs w:val="15"/>
              </w:rPr>
              <w:t xml:space="preserve">Re-run this model on measured sorter response; decide on capital</w:t>
            </w:r>
          </w:p>
        </w:tc>
        <w:tc>
          <w:tcPr>
            <w:tcW w:type="dxa" w:w="2434"/>
            <w:shd w:fill="FFFFFF" w:color="auto" w:val="clear"/>
            <w:tcMar>
              <w:top w:type="dxa" w:w="25"/>
              <w:left w:type="dxa" w:w="70"/>
              <w:bottom w:type="dxa" w:w="25"/>
              <w:right w:type="dxa" w:w="70"/>
            </w:tcMar>
          </w:tcPr>
          <w:p>
            <w:pPr>
              <w:spacing w:after="0" w:before="0" w:line="210"/>
              <w:jc w:val="left"/>
            </w:pPr>
            <w:r>
              <w:rPr>
                <w:rFonts w:ascii="Calibri" w:cs="Calibri" w:eastAsia="Calibri" w:hAnsi="Calibri"/>
                <w:color w:val="000000"/>
                <w:sz w:val="15"/>
                <w:szCs w:val="15"/>
              </w:rPr>
              <w:t xml:space="preserve">Study team</w:t>
            </w:r>
          </w:p>
        </w:tc>
        <w:tc>
          <w:tcPr>
            <w:tcW w:type="dxa" w:w="1217"/>
            <w:shd w:fill="FFFFFF" w:color="auto" w:val="clear"/>
            <w:tcMar>
              <w:top w:type="dxa" w:w="25"/>
              <w:left w:type="dxa" w:w="70"/>
              <w:bottom w:type="dxa" w:w="25"/>
              <w:right w:type="dxa" w:w="70"/>
            </w:tcMar>
          </w:tcPr>
          <w:p>
            <w:pPr>
              <w:spacing w:after="0" w:before="0" w:line="210"/>
              <w:jc w:val="right"/>
            </w:pPr>
            <w:r>
              <w:rPr>
                <w:rFonts w:ascii="Calibri" w:cs="Calibri" w:eastAsia="Calibri" w:hAnsi="Calibri"/>
                <w:color w:val="000000"/>
                <w:sz w:val="15"/>
                <w:szCs w:val="15"/>
              </w:rPr>
              <w:t xml:space="preserve">nil</w:t>
            </w:r>
          </w:p>
        </w:tc>
        <w:tc>
          <w:tcPr>
            <w:tcW w:type="dxa" w:w="1216"/>
            <w:shd w:fill="FFFFFF" w:color="auto" w:val="clear"/>
            <w:tcMar>
              <w:top w:type="dxa" w:w="25"/>
              <w:left w:type="dxa" w:w="70"/>
              <w:bottom w:type="dxa" w:w="25"/>
              <w:right w:type="dxa" w:w="70"/>
            </w:tcMar>
          </w:tcPr>
          <w:p>
            <w:pPr>
              <w:spacing w:after="0" w:before="0" w:line="210"/>
              <w:jc w:val="right"/>
            </w:pPr>
            <w:r>
              <w:rPr>
                <w:rFonts w:ascii="Calibri" w:cs="Calibri" w:eastAsia="Calibri" w:hAnsi="Calibri"/>
                <w:color w:val="000000"/>
                <w:sz w:val="15"/>
                <w:szCs w:val="15"/>
              </w:rPr>
              <w:t xml:space="preserve">2 weeks</w:t>
            </w:r>
          </w:p>
        </w:tc>
      </w:tr>
    </w:tbl>
    <w:p>
      <w:pPr>
        <w:spacing w:after="60" w:before="100" w:line="230"/>
      </w:pPr>
      <w:r>
        <w:rPr>
          <w:rFonts w:ascii="Calibri" w:cs="Calibri" w:eastAsia="Calibri" w:hAnsi="Calibri"/>
          <w:i/>
          <w:iCs/>
          <w:color w:val="000000"/>
          <w:sz w:val="14"/>
          <w:szCs w:val="14"/>
        </w:rPr>
        <w:t xml:space="preserve">Model: Syama_Pebble_Sorting_Simulation.xlsx (Dashboard · MB Base · MB Sort · NPV · Sensitivity). All costs in US$. Figures flagged "Assumption – CONFIRM" on the Dashboard are placeholders pending site data: SAG line feed rate 200 t/h, SLC dilution 20%, scat load 30 t/h, milling cost US$8.00/t and incremental mining cost US$53.00/t (derived from AISC, not from site costing).</w:t>
      </w:r>
    </w:p>
    <w:sectPr>
      <w:pgSz w:w="12240" w:h="15840" w:orient="portrait"/>
      <w:pgMar w:top="720" w:right="720" w:bottom="6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2026-08-05T08:55:10.989Z</dcterms:created>
  <dcterms:modified xsi:type="dcterms:W3CDTF">2026-08-05T08:55:10.991Z</dcterms:modified>
</cp:coreProperties>
</file>

<file path=docProps/custom.xml><?xml version="1.0" encoding="utf-8"?>
<Properties xmlns="http://schemas.openxmlformats.org/officeDocument/2006/custom-properties" xmlns:vt="http://schemas.openxmlformats.org/officeDocument/2006/docPropsVTypes"/>
</file>