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Daniel Millar (Pr. Eng)</w:t>
      </w:r>
    </w:p>
    <w:p>
      <w:pPr>
        <w:keepLines/>
        <w:spacing w:after="0" w:before="0" w:line="260"/>
      </w:pPr>
      <w:r>
        <w:rPr>
          <w:rFonts w:ascii="Calibri" w:cs="Calibri" w:eastAsia="Calibri" w:hAnsi="Calibri"/>
          <w:color w:val="6B6B6B"/>
          <w:sz w:val="22"/>
          <w:szCs w:val="22"/>
        </w:rPr>
        <w:t xml:space="preserve">Principal Metallurgist</w:t>
      </w:r>
    </w:p>
    <w:p>
      <w:pPr>
        <w:keepLines/>
        <w:spacing w:after="0" w:before="0" w:line="260"/>
      </w:pPr>
      <w:r>
        <w:rPr>
          <w:rFonts w:ascii="Calibri" w:cs="Calibri" w:eastAsia="Calibri" w:hAnsi="Calibri"/>
          <w:color w:val="231F20"/>
          <w:sz w:val="22"/>
          <w:szCs w:val="22"/>
        </w:rPr>
        <w:t xml:space="preserve">Resolute Mining Limited</w:t>
      </w:r>
    </w:p>
    <w:p>
      <w:pPr>
        <w:keepLines/>
        <w:spacing w:after="0" w:before="0" w:line="260"/>
      </w:pPr>
      <w:r>
        <w:rPr>
          <w:rFonts w:ascii="Calibri" w:cs="Calibri" w:eastAsia="Calibri" w:hAnsi="Calibri"/>
          <w:color w:val="231F20"/>
          <w:sz w:val="22"/>
          <w:szCs w:val="22"/>
        </w:rPr>
        <w:t xml:space="preserve">2nd Floor, 14 Waterloo Place</w:t>
      </w:r>
    </w:p>
    <w:p>
      <w:pPr>
        <w:keepLines/>
        <w:spacing w:after="230" w:before="0" w:line="260"/>
      </w:pPr>
      <w:r>
        <w:rPr>
          <w:rFonts w:ascii="Calibri" w:cs="Calibri" w:eastAsia="Calibri" w:hAnsi="Calibri"/>
          <w:color w:val="231F20"/>
          <w:sz w:val="22"/>
          <w:szCs w:val="22"/>
        </w:rPr>
        <w:t xml:space="preserve">London SW1Y 4AR, United Kingdom</w:t>
      </w:r>
    </w:p>
    <w:p>
      <w:pPr>
        <w:keepLines/>
        <w:spacing w:after="0" w:before="0" w:line="260"/>
      </w:pPr>
      <w:r>
        <w:rPr>
          <w:rFonts w:ascii="Calibri" w:cs="Calibri" w:eastAsia="Calibri" w:hAnsi="Calibri"/>
          <w:color w:val="231F20"/>
          <w:sz w:val="22"/>
          <w:szCs w:val="22"/>
        </w:rPr>
        <w:t xml:space="preserve">Dear Daniel,</w:t>
      </w:r>
    </w:p>
    <w:p>
      <w:pPr>
        <w:pBdr>
          <w:bottom w:val="single" w:color="60BB46" w:sz="8" w:space="10"/>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STARK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a 2024 African gold mine pebble sorting study, which rejects barren scat mass, reduces the circulating load and refills the freed SAG capacity with ROM. We re-parameterised it for the converted (ex-oxide) SAG line, carrying that study's ratios and unit rates across wherever Syama site data was not available. The engine transfers unmodified; the material property that made the reference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The reference scats assayed 0.55 g/t against a 1.57 g/t ROM — barren material, discardable almost for free. Syama's run at 83% of ROM grade, giving a back-solved waste-to-ore contrast of only 2.23× against 8.91×. Barely a quarter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scats vs the 2024 African gold mine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Reference study</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8.91×</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2.23×</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~27%</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at 90/90 duty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0.151</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0.782</w:t>
            </w:r>
          </w:p>
        </w:tc>
      </w:tr>
    </w:tbl>
    <w:p>
      <w:pPr>
        <w:spacing w:after="140"/>
      </w:pPr>
      <w:r>
        <w:rPr>
          <w:rFonts w:ascii="Calibri" w:cs="Calibri" w:eastAsia="Calibri" w:hAnsi="Calibri"/>
          <w:color w:val="231F20"/>
          <w:sz w:val="22"/>
          <w:szCs w:val="22"/>
        </w:rPr>
        <w:t xml:space="preserve">Every rejected tonne is therefore expensive. At 0.78 g/t the reject stream holds some US$75 per tonne of recoverable gold against the US$7.69 it avoids — nearly ten dollars of gold discarded for every dollar saved.</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SSCP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the reference 90/90 sorter duty,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8%</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+9.34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+55.2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(40%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+0.63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−5.17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−36.9 M</w:t>
            </w:r>
          </w:p>
        </w:tc>
      </w:tr>
    </w:tbl>
    <w:p>
      <w:pPr>
        <w:spacing w:after="140"/>
      </w:pPr>
      <w:r>
        <w:rPr>
          <w:rFonts w:ascii="Calibri" w:cs="Calibri" w:eastAsia="Calibri" w:hAnsi="Calibri"/>
          <w:color w:val="231F20"/>
          <w:sz w:val="22"/>
          <w:szCs w:val="22"/>
        </w:rPr>
        <w:t xml:space="preserve">The upside is genuine, with a payback near five months, but the downside is equally real: a plant that cannot fill the capacity it frees destroys value and sends gold to the dump. Price is not the swing factor.</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the STARK Phase 2 mill pebble campaign, 2 to 5 tonnes, sensor selection left open. A 2.23×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coarse-ROM dilution rejection into the same campaign; cave dilution across some 2.6 Mt/a offers far more heterogeneity than the scats do.</w:t>
      </w:r>
    </w:p>
    <w:p>
      <w:pPr>
        <w:pStyle w:val="ListParagraph"/>
        <w:numPr>
          <w:ilvl w:val="0"/>
          <w:numId w:val="3"/>
        </w:numPr>
        <w:spacing w:after="80"/>
      </w:pPr>
      <w:r>
        <w:rPr>
          <w:rFonts w:ascii="Calibri" w:cs="Calibri" w:eastAsia="Calibri" w:hAnsi="Calibri"/>
          <w:color w:val="231F20"/>
          <w:sz w:val="22"/>
          <w:szCs w:val="22"/>
        </w:rPr>
        <w:t xml:space="preserve">A sulphidic reject stream will need acid rock drainage characterisation before dumping, carrying its own closure cost.</w:t>
      </w:r>
    </w:p>
    <w:p>
      <w:pPr>
        <w:pStyle w:val="ListParagraph"/>
        <w:numPr>
          <w:ilvl w:val="0"/>
          <w:numId w:val="3"/>
        </w:numPr>
        <w:spacing w:after="140"/>
      </w:pPr>
      <w:r>
        <w:rPr>
          <w:rFonts w:ascii="Calibri" w:cs="Calibri" w:eastAsia="Calibri" w:hAnsi="Calibri"/>
          <w:color w:val="231F20"/>
          <w:sz w:val="22"/>
          <w:szCs w:val="22"/>
        </w:rPr>
        <w:t xml:space="preserve">Given the sensitivity to reject grade, we would not skip STARK Phase 3: a scan-only analyser in circuit measures the real particle population with no gold at risk before any ejection is committed.</w:t>
      </w:r>
    </w:p>
    <w:p>
      <w:pPr>
        <w:spacing w:after="160"/>
      </w:pPr>
      <w:r>
        <w:rPr>
          <w:rFonts w:ascii="Calibri" w:cs="Calibri" w:eastAsia="Calibri" w:hAnsi="Calibri"/>
          <w:color w:val="231F20"/>
          <w:sz w:val="22"/>
          <w:szCs w:val="22"/>
        </w:rPr>
        <w:t xml:space="preserve">Reference-study figures are flagged on the model Dashboard. Its 11.9% dilution is the one we would question — STARK's own gold benchmark uses 15%.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Mike Daniel</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tabs>
        <w:tab w:val="right" w:pos="9026"/>
      </w:tabs>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2026-08-10T16:17:38.693Z</dcterms:created>
  <dcterms:modified xsi:type="dcterms:W3CDTF">2026-08-10T16:17:38.693Z</dcterms:modified>
</cp:coreProperties>
</file>

<file path=docProps/custom.xml><?xml version="1.0" encoding="utf-8"?>
<Properties xmlns="http://schemas.openxmlformats.org/officeDocument/2006/custom-properties" xmlns:vt="http://schemas.openxmlformats.org/officeDocument/2006/docPropsVTypes"/>
</file>