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40" w:before="0" w:line="260"/>
      </w:pPr>
      <w:r>
        <w:rPr>
          <w:rFonts w:ascii="Calibri" w:cs="Calibri" w:eastAsia="Calibri" w:hAnsi="Calibri"/>
          <w:color w:val="6B6B6B"/>
          <w:sz w:val="22"/>
          <w:szCs w:val="22"/>
        </w:rPr>
        <w:t xml:space="preserve">5 August 2026</w:t>
      </w:r>
    </w:p>
    <w:p>
      <w:pPr>
        <w:keepLines/>
        <w:spacing w:after="0" w:before="0" w:line="260"/>
      </w:pPr>
      <w:r>
        <w:rPr>
          <w:rFonts w:ascii="Calibri" w:cs="Calibri" w:eastAsia="Calibri" w:hAnsi="Calibri"/>
          <w:b/>
          <w:bCs/>
          <w:color w:val="231F20"/>
          <w:sz w:val="22"/>
          <w:szCs w:val="22"/>
        </w:rPr>
        <w:t xml:space="preserve">Daniel Millar (Pr. Eng)</w:t>
      </w:r>
    </w:p>
    <w:p>
      <w:pPr>
        <w:keepLines/>
        <w:spacing w:after="0" w:before="0" w:line="260"/>
      </w:pPr>
      <w:r>
        <w:rPr>
          <w:rFonts w:ascii="Calibri" w:cs="Calibri" w:eastAsia="Calibri" w:hAnsi="Calibri"/>
          <w:color w:val="6B6B6B"/>
          <w:sz w:val="22"/>
          <w:szCs w:val="22"/>
        </w:rPr>
        <w:t xml:space="preserve">Principal Metallurgist</w:t>
      </w:r>
    </w:p>
    <w:p>
      <w:pPr>
        <w:keepLines/>
        <w:spacing w:after="0" w:before="0" w:line="260"/>
      </w:pPr>
      <w:r>
        <w:rPr>
          <w:rFonts w:ascii="Calibri" w:cs="Calibri" w:eastAsia="Calibri" w:hAnsi="Calibri"/>
          <w:color w:val="231F20"/>
          <w:sz w:val="22"/>
          <w:szCs w:val="22"/>
        </w:rPr>
        <w:t xml:space="preserve">Resolute Mining Limited</w:t>
      </w:r>
    </w:p>
    <w:p>
      <w:pPr>
        <w:keepLines/>
        <w:spacing w:after="0" w:before="0" w:line="260"/>
      </w:pPr>
      <w:r>
        <w:rPr>
          <w:rFonts w:ascii="Calibri" w:cs="Calibri" w:eastAsia="Calibri" w:hAnsi="Calibri"/>
          <w:color w:val="231F20"/>
          <w:sz w:val="22"/>
          <w:szCs w:val="22"/>
        </w:rPr>
        <w:t xml:space="preserve">2nd Floor, 14 Waterloo Place</w:t>
      </w:r>
    </w:p>
    <w:p>
      <w:pPr>
        <w:keepLines/>
        <w:spacing w:after="230" w:before="0" w:line="260"/>
      </w:pPr>
      <w:r>
        <w:rPr>
          <w:rFonts w:ascii="Calibri" w:cs="Calibri" w:eastAsia="Calibri" w:hAnsi="Calibri"/>
          <w:color w:val="231F20"/>
          <w:sz w:val="22"/>
          <w:szCs w:val="22"/>
        </w:rPr>
        <w:t xml:space="preserve">London SW1Y 4AR, United Kingdom</w:t>
      </w:r>
    </w:p>
    <w:p>
      <w:pPr>
        <w:keepLines/>
        <w:spacing w:after="0" w:before="0" w:line="260"/>
      </w:pPr>
      <w:r>
        <w:rPr>
          <w:rFonts w:ascii="Calibri" w:cs="Calibri" w:eastAsia="Calibri" w:hAnsi="Calibri"/>
          <w:color w:val="231F20"/>
          <w:sz w:val="22"/>
          <w:szCs w:val="22"/>
        </w:rPr>
        <w:t xml:space="preserve">Dear Daniel,</w:t>
      </w:r>
    </w:p>
    <w:p>
      <w:pPr>
        <w:pBdr>
          <w:bottom w:val="single" w:color="60BB46" w:sz="8" w:space="10"/>
        </w:pBdr>
        <w:spacing w:after="200" w:before="240"/>
      </w:pPr>
      <w:r>
        <w:rPr>
          <w:rFonts w:ascii="Trebuchet MS" w:cs="Trebuchet MS" w:eastAsia="Trebuchet MS" w:hAnsi="Trebuchet MS"/>
          <w:b/>
          <w:bCs/>
          <w:color w:val="4E57A6"/>
          <w:sz w:val="28"/>
          <w:szCs w:val="28"/>
        </w:rPr>
        <w:t xml:space="preserve">Syama SAG pebble (scat) ore sorting — assessment and recommendation</w:t>
      </w:r>
    </w:p>
    <w:p>
      <w:pPr>
        <w:spacing w:after="160"/>
      </w:pPr>
      <w:r>
        <w:rPr>
          <w:rFonts w:ascii="Calibri" w:cs="Calibri" w:eastAsia="Calibri" w:hAnsi="Calibri"/>
          <w:color w:val="231F20"/>
          <w:sz w:val="22"/>
          <w:szCs w:val="22"/>
        </w:rPr>
        <w:t xml:space="preserve">Thank you for providing the scat assay data. We have completed the assessment you requested: updating the pebble sorting business case for Syama and testing whether STEINERT ore sorting is worth pursuing on your SAG scat stream. The opportunity is real but conditional, and the next spend should be on test work rather than on plant.</w:t>
      </w:r>
    </w:p>
    <w:p>
      <w:pPr>
        <w:spacing w:after="160"/>
      </w:pPr>
      <w:r>
        <w:rPr>
          <w:rFonts w:ascii="Calibri" w:cs="Calibri" w:eastAsia="Calibri" w:hAnsi="Calibri"/>
          <w:color w:val="231F20"/>
          <w:sz w:val="22"/>
          <w:szCs w:val="22"/>
        </w:rPr>
        <w:t xml:space="preserve">The work builds on the Sukari pebble sorting simulation (ref. SR241558), which rejects barren scat mass, reduces the circulating load and refills the freed SAG capacity with ROM. We re-parameterised it for the converted (ex-oxide) SAG line as it will run after the Sulphide Conversion Project, calibrating to your measured scat stream. The engine transfers unmodified; the material property that made the Sukari case work does not.</w:t>
      </w:r>
    </w:p>
    <w:p>
      <w:pPr>
        <w:pStyle w:val="Heading2"/>
      </w:pPr>
      <w:r>
        <w:t xml:space="preserve">Principal finding</w:t>
      </w:r>
    </w:p>
    <w:p>
      <w:pPr>
        <w:spacing w:after="160"/>
      </w:pPr>
      <w:r>
        <w:rPr>
          <w:rFonts w:ascii="Calibri" w:cs="Calibri" w:eastAsia="Calibri" w:hAnsi="Calibri"/>
          <w:b/>
          <w:bCs/>
          <w:color w:val="231F20"/>
          <w:sz w:val="22"/>
          <w:szCs w:val="22"/>
        </w:rPr>
        <w:t xml:space="preserve">Your measured scat grade of 2.0 g/t Au is the pivotal number. </w:t>
      </w:r>
      <w:r>
        <w:rPr>
          <w:rFonts w:ascii="Calibri" w:cs="Calibri" w:eastAsia="Calibri" w:hAnsi="Calibri"/>
          <w:color w:val="231F20"/>
          <w:sz w:val="22"/>
          <w:szCs w:val="22"/>
        </w:rPr>
        <w:t xml:space="preserve">Sukari's scats assayed 0.56 g/t against a 1.57 g/t ROM — barren material, discardable almost for free. Syama's run at 83% of ROM grade. Back-solving the deportment against 20% sublevel-cave dilution gives a waste-to-ore contrast of only 1.8×, against 8.9× at Sukari, so roughly one third of the scat stream is barren dilution — a hard ceiling on what any sorter can reject.</w:t>
      </w:r>
    </w:p>
    <w:p>
      <w:pPr>
        <w:spacing w:after="80" w:before="120"/>
      </w:pPr>
      <w:r>
        <w:rPr>
          <w:rFonts w:ascii="Calibri" w:cs="Calibri" w:eastAsia="Calibri" w:hAnsi="Calibri"/>
          <w:b/>
          <w:bCs/>
          <w:i/>
          <w:iCs/>
          <w:color w:val="6B6B6B"/>
          <w:sz w:val="20"/>
          <w:szCs w:val="20"/>
        </w:rPr>
        <w:t xml:space="preserve">Table 1: Syama scat stream compared with the Sukari base case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2400"/>
        <w:gridCol w:w="2400"/>
      </w:tblGrid>
      <w:tr>
        <w:trPr>
          <w:tblHeader/>
        </w:trPr>
        <w:tc>
          <w:tcPr>
            <w:tcW w:type="dxa" w:w="4560"/>
            <w:tcBorders>
              <w:top w:val="single" w:color="CCCCCC" w:sz="1"/>
              <w:left w:val="single" w:color="CCCCCC" w:sz="1"/>
              <w:bottom w:val="single" w:color="CCCCCC" w:sz="1"/>
              <w:right w:val="single" w:color="CCCCCC" w:sz="1"/>
            </w:tcBorders>
            <w:shd w:fill="4E57A6" w:val="clear"/>
            <w:tcMar>
              <w:top w:type="dxa" w:w="60"/>
              <w:left w:type="dxa" w:w="100"/>
              <w:bottom w:type="dxa" w:w="60"/>
              <w:right w:type="dxa" w:w="100"/>
            </w:tcMar>
          </w:tcPr>
          <w:p>
            <w:pPr>
              <w:jc w:val="center"/>
            </w:pPr>
            <w:r>
              <w:rPr>
                <w:rFonts w:ascii="Calibri" w:cs="Calibri" w:eastAsia="Calibri" w:hAnsi="Calibri"/>
                <w:b/>
                <w:bCs/>
                <w:color w:val="FFFFFF"/>
                <w:sz w:val="22"/>
                <w:szCs w:val="22"/>
              </w:rPr>
              <w:t xml:space="preserve">Parameter</w:t>
            </w:r>
          </w:p>
        </w:tc>
        <w:tc>
          <w:tcPr>
            <w:tcW w:type="dxa" w:w="2400"/>
            <w:tcBorders>
              <w:top w:val="single" w:color="CCCCCC" w:sz="1"/>
              <w:left w:val="single" w:color="CCCCCC" w:sz="1"/>
              <w:bottom w:val="single" w:color="CCCCCC" w:sz="1"/>
              <w:right w:val="single" w:color="CCCCCC" w:sz="1"/>
            </w:tcBorders>
            <w:shd w:fill="4E57A6" w:val="clear"/>
            <w:tcMar>
              <w:top w:type="dxa" w:w="60"/>
              <w:left w:type="dxa" w:w="100"/>
              <w:bottom w:type="dxa" w:w="60"/>
              <w:right w:type="dxa" w:w="100"/>
            </w:tcMar>
          </w:tcPr>
          <w:p>
            <w:pPr>
              <w:jc w:val="center"/>
            </w:pPr>
            <w:r>
              <w:rPr>
                <w:rFonts w:ascii="Calibri" w:cs="Calibri" w:eastAsia="Calibri" w:hAnsi="Calibri"/>
                <w:b/>
                <w:bCs/>
                <w:color w:val="FFFFFF"/>
                <w:sz w:val="22"/>
                <w:szCs w:val="22"/>
              </w:rPr>
              <w:t xml:space="preserve">Sukari</w:t>
            </w:r>
          </w:p>
        </w:tc>
        <w:tc>
          <w:tcPr>
            <w:tcW w:type="dxa" w:w="2400"/>
            <w:tcBorders>
              <w:top w:val="single" w:color="CCCCCC" w:sz="1"/>
              <w:left w:val="single" w:color="CCCCCC" w:sz="1"/>
              <w:bottom w:val="single" w:color="CCCCCC" w:sz="1"/>
              <w:right w:val="single" w:color="CCCCCC" w:sz="1"/>
            </w:tcBorders>
            <w:shd w:fill="4E57A6" w:val="clear"/>
            <w:tcMar>
              <w:top w:type="dxa" w:w="60"/>
              <w:left w:type="dxa" w:w="100"/>
              <w:bottom w:type="dxa" w:w="60"/>
              <w:right w:type="dxa" w:w="100"/>
            </w:tcMar>
          </w:tcPr>
          <w:p>
            <w:pPr>
              <w:jc w:val="center"/>
            </w:pPr>
            <w:r>
              <w:rPr>
                <w:rFonts w:ascii="Calibri" w:cs="Calibri" w:eastAsia="Calibri" w:hAnsi="Calibri"/>
                <w:b/>
                <w:bCs/>
                <w:color w:val="FFFFFF"/>
                <w:sz w:val="22"/>
                <w:szCs w:val="22"/>
              </w:rPr>
              <w:t xml:space="preserve">Syama</w:t>
            </w:r>
          </w:p>
        </w:tc>
      </w:tr>
      <w:tr>
        <w:trPr>
          <w:cantSplit/>
        </w:trPr>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231F20"/>
                <w:sz w:val="20"/>
                <w:szCs w:val="20"/>
              </w:rPr>
              <w:t xml:space="preserve">ROM / scat grade (g/t Au)</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Calibri" w:cs="Calibri" w:eastAsia="Calibri" w:hAnsi="Calibri"/>
                <w:b w:val="false"/>
                <w:bCs w:val="false"/>
                <w:color w:val="231F20"/>
                <w:sz w:val="20"/>
                <w:szCs w:val="20"/>
              </w:rPr>
              <w:t xml:space="preserve">1.57 / 0.56</w:t>
            </w:r>
          </w:p>
        </w:tc>
        <w:tc>
          <w:tcPr>
            <w:tcW w:type="dxa" w:w="2400"/>
            <w:tcBorders>
              <w:top w:val="single" w:color="CCCCCC" w:sz="1"/>
              <w:left w:val="single" w:color="CCCCCC" w:sz="1"/>
              <w:bottom w:val="single" w:color="CCCCCC" w:sz="1"/>
              <w:right w:val="single" w:color="CCCCCC" w:sz="1"/>
            </w:tcBorders>
            <w:shd w:fill="E8E9F3" w:val="clear"/>
            <w:tcMar>
              <w:top w:type="dxa" w:w="60"/>
              <w:left w:type="dxa" w:w="100"/>
              <w:bottom w:type="dxa" w:w="60"/>
              <w:right w:type="dxa" w:w="100"/>
            </w:tcMar>
          </w:tcPr>
          <w:p>
            <w:pPr>
              <w:jc w:val="right"/>
            </w:pPr>
            <w:r>
              <w:rPr>
                <w:rFonts w:ascii="Calibri" w:cs="Calibri" w:eastAsia="Calibri" w:hAnsi="Calibri"/>
                <w:b/>
                <w:bCs/>
                <w:color w:val="231F20"/>
                <w:sz w:val="20"/>
                <w:szCs w:val="20"/>
              </w:rPr>
              <w:t xml:space="preserve">2.40 / 2.00</w:t>
            </w:r>
          </w:p>
        </w:tc>
      </w:tr>
      <w:tr>
        <w:trPr>
          <w:cantSplit/>
        </w:trPr>
        <w:tc>
          <w:tcPr>
            <w:tcW w:type="dxa" w:w="4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Calibri" w:cs="Calibri" w:eastAsia="Calibri" w:hAnsi="Calibri"/>
                <w:b/>
                <w:bCs/>
                <w:color w:val="231F20"/>
                <w:sz w:val="20"/>
                <w:szCs w:val="20"/>
              </w:rPr>
              <w:t xml:space="preserve">Scat grade as % of ROM</w:t>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right"/>
            </w:pPr>
            <w:r>
              <w:rPr>
                <w:rFonts w:ascii="Calibri" w:cs="Calibri" w:eastAsia="Calibri" w:hAnsi="Calibri"/>
                <w:b w:val="false"/>
                <w:bCs w:val="false"/>
                <w:color w:val="231F20"/>
                <w:sz w:val="20"/>
                <w:szCs w:val="20"/>
              </w:rPr>
              <w:t xml:space="preserve">35%</w:t>
            </w:r>
          </w:p>
        </w:tc>
        <w:tc>
          <w:tcPr>
            <w:tcW w:type="dxa" w:w="2400"/>
            <w:tcBorders>
              <w:top w:val="single" w:color="CCCCCC" w:sz="1"/>
              <w:left w:val="single" w:color="CCCCCC" w:sz="1"/>
              <w:bottom w:val="single" w:color="CCCCCC" w:sz="1"/>
              <w:right w:val="single" w:color="CCCCCC" w:sz="1"/>
            </w:tcBorders>
            <w:shd w:fill="E8E9F3" w:val="clear"/>
            <w:tcMar>
              <w:top w:type="dxa" w:w="60"/>
              <w:left w:type="dxa" w:w="100"/>
              <w:bottom w:type="dxa" w:w="60"/>
              <w:right w:type="dxa" w:w="100"/>
            </w:tcMar>
          </w:tcPr>
          <w:p>
            <w:pPr>
              <w:jc w:val="right"/>
            </w:pPr>
            <w:r>
              <w:rPr>
                <w:rFonts w:ascii="Calibri" w:cs="Calibri" w:eastAsia="Calibri" w:hAnsi="Calibri"/>
                <w:b/>
                <w:bCs/>
                <w:color w:val="231F20"/>
                <w:sz w:val="20"/>
                <w:szCs w:val="20"/>
              </w:rPr>
              <w:t xml:space="preserve">83%</w:t>
            </w:r>
          </w:p>
        </w:tc>
      </w:tr>
      <w:tr>
        <w:trPr>
          <w:cantSplit/>
        </w:trPr>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231F20"/>
                <w:sz w:val="20"/>
                <w:szCs w:val="20"/>
              </w:rPr>
              <w:t xml:space="preserve">Heterogeneity contrast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Calibri" w:cs="Calibri" w:eastAsia="Calibri" w:hAnsi="Calibri"/>
                <w:b w:val="false"/>
                <w:bCs w:val="false"/>
                <w:color w:val="231F20"/>
                <w:sz w:val="20"/>
                <w:szCs w:val="20"/>
              </w:rPr>
              <w:t xml:space="preserve">8.9×</w:t>
            </w:r>
          </w:p>
        </w:tc>
        <w:tc>
          <w:tcPr>
            <w:tcW w:type="dxa" w:w="2400"/>
            <w:tcBorders>
              <w:top w:val="single" w:color="CCCCCC" w:sz="1"/>
              <w:left w:val="single" w:color="CCCCCC" w:sz="1"/>
              <w:bottom w:val="single" w:color="CCCCCC" w:sz="1"/>
              <w:right w:val="single" w:color="CCCCCC" w:sz="1"/>
            </w:tcBorders>
            <w:shd w:fill="E8E9F3" w:val="clear"/>
            <w:tcMar>
              <w:top w:type="dxa" w:w="60"/>
              <w:left w:type="dxa" w:w="100"/>
              <w:bottom w:type="dxa" w:w="60"/>
              <w:right w:type="dxa" w:w="100"/>
            </w:tcMar>
          </w:tcPr>
          <w:p>
            <w:pPr>
              <w:jc w:val="right"/>
            </w:pPr>
            <w:r>
              <w:rPr>
                <w:rFonts w:ascii="Calibri" w:cs="Calibri" w:eastAsia="Calibri" w:hAnsi="Calibri"/>
                <w:b/>
                <w:bCs/>
                <w:color w:val="231F20"/>
                <w:sz w:val="20"/>
                <w:szCs w:val="20"/>
              </w:rPr>
              <w:t xml:space="preserve">1.8×</w:t>
            </w:r>
          </w:p>
        </w:tc>
      </w:tr>
      <w:tr>
        <w:trPr>
          <w:cantSplit/>
        </w:trPr>
        <w:tc>
          <w:tcPr>
            <w:tcW w:type="dxa" w:w="4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Calibri" w:cs="Calibri" w:eastAsia="Calibri" w:hAnsi="Calibri"/>
                <w:b/>
                <w:bCs/>
                <w:color w:val="231F20"/>
                <w:sz w:val="20"/>
                <w:szCs w:val="20"/>
              </w:rPr>
              <w:t xml:space="preserve">Barren mass available in scats</w:t>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right"/>
            </w:pPr>
            <w:r>
              <w:rPr>
                <w:rFonts w:ascii="Calibri" w:cs="Calibri" w:eastAsia="Calibri" w:hAnsi="Calibri"/>
                <w:b w:val="false"/>
                <w:bCs w:val="false"/>
                <w:color w:val="231F20"/>
                <w:sz w:val="20"/>
                <w:szCs w:val="20"/>
              </w:rPr>
              <w:t xml:space="preserve">~69%</w:t>
            </w:r>
          </w:p>
        </w:tc>
        <w:tc>
          <w:tcPr>
            <w:tcW w:type="dxa" w:w="2400"/>
            <w:tcBorders>
              <w:top w:val="single" w:color="CCCCCC" w:sz="1"/>
              <w:left w:val="single" w:color="CCCCCC" w:sz="1"/>
              <w:bottom w:val="single" w:color="CCCCCC" w:sz="1"/>
              <w:right w:val="single" w:color="CCCCCC" w:sz="1"/>
            </w:tcBorders>
            <w:shd w:fill="E8E9F3" w:val="clear"/>
            <w:tcMar>
              <w:top w:type="dxa" w:w="60"/>
              <w:left w:type="dxa" w:w="100"/>
              <w:bottom w:type="dxa" w:w="60"/>
              <w:right w:type="dxa" w:w="100"/>
            </w:tcMar>
          </w:tcPr>
          <w:p>
            <w:pPr>
              <w:jc w:val="right"/>
            </w:pPr>
            <w:r>
              <w:rPr>
                <w:rFonts w:ascii="Calibri" w:cs="Calibri" w:eastAsia="Calibri" w:hAnsi="Calibri"/>
                <w:b/>
                <w:bCs/>
                <w:color w:val="231F20"/>
                <w:sz w:val="20"/>
                <w:szCs w:val="20"/>
              </w:rPr>
              <w:t xml:space="preserve">~33%</w:t>
            </w:r>
          </w:p>
        </w:tc>
      </w:tr>
      <w:tr>
        <w:trPr>
          <w:cantSplit/>
        </w:trPr>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231F20"/>
                <w:sz w:val="20"/>
                <w:szCs w:val="20"/>
              </w:rPr>
              <w:t xml:space="preserve">Reject grade achieved (g/t Au)</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Calibri" w:cs="Calibri" w:eastAsia="Calibri" w:hAnsi="Calibri"/>
                <w:b w:val="false"/>
                <w:bCs w:val="false"/>
                <w:color w:val="231F20"/>
                <w:sz w:val="20"/>
                <w:szCs w:val="20"/>
              </w:rPr>
              <w:t xml:space="preserve">0.148</w:t>
            </w:r>
          </w:p>
        </w:tc>
        <w:tc>
          <w:tcPr>
            <w:tcW w:type="dxa" w:w="2400"/>
            <w:tcBorders>
              <w:top w:val="single" w:color="CCCCCC" w:sz="1"/>
              <w:left w:val="single" w:color="CCCCCC" w:sz="1"/>
              <w:bottom w:val="single" w:color="CCCCCC" w:sz="1"/>
              <w:right w:val="single" w:color="CCCCCC" w:sz="1"/>
            </w:tcBorders>
            <w:shd w:fill="E8E9F3" w:val="clear"/>
            <w:tcMar>
              <w:top w:type="dxa" w:w="60"/>
              <w:left w:type="dxa" w:w="100"/>
              <w:bottom w:type="dxa" w:w="60"/>
              <w:right w:type="dxa" w:w="100"/>
            </w:tcMar>
          </w:tcPr>
          <w:p>
            <w:pPr>
              <w:jc w:val="right"/>
            </w:pPr>
            <w:r>
              <w:rPr>
                <w:rFonts w:ascii="Calibri" w:cs="Calibri" w:eastAsia="Calibri" w:hAnsi="Calibri"/>
                <w:b/>
                <w:bCs/>
                <w:color w:val="231F20"/>
                <w:sz w:val="20"/>
                <w:szCs w:val="20"/>
              </w:rPr>
              <w:t xml:space="preserve">0.429</w:t>
            </w:r>
          </w:p>
        </w:tc>
      </w:tr>
    </w:tbl>
    <w:p>
      <w:pPr>
        <w:spacing w:after="160"/>
      </w:pPr>
      <w:r>
        <w:rPr>
          <w:rFonts w:ascii="Calibri" w:cs="Calibri" w:eastAsia="Calibri" w:hAnsi="Calibri"/>
          <w:color w:val="231F20"/>
          <w:sz w:val="22"/>
          <w:szCs w:val="22"/>
        </w:rPr>
        <w:t xml:space="preserve">Every rejected tonne is therefore expensive. At 0.43 g/t and US$4,000/oz the reject stream holds some US$41 per tonne of recoverable gold against roughly US$10 per tonne of cost avoided, so the sorter must be tuned conservatively for high ore recovery — capping mass pull at about 25%.</w:t>
      </w:r>
    </w:p>
    <w:p>
      <w:pPr>
        <w:pStyle w:val="Heading2"/>
      </w:pPr>
      <w:r>
        <w:t xml:space="preserve">Economics</w:t>
      </w:r>
    </w:p>
    <w:p>
      <w:pPr>
        <w:spacing w:after="160"/>
      </w:pPr>
      <w:r>
        <w:rPr>
          <w:rFonts w:ascii="Calibri" w:cs="Calibri" w:eastAsia="Calibri" w:hAnsi="Calibri"/>
          <w:color w:val="231F20"/>
          <w:sz w:val="22"/>
          <w:szCs w:val="22"/>
        </w:rPr>
        <w:t xml:space="preserve">Your scats already recirculate, and the Sulphide Conversion Project is installing a pebble crusher for this stream, so no gold is being lost today. The case is throughput debottlenecking, not recovery, and turns on whether the freed SAG capacity can be refilled with ore.</w:t>
      </w:r>
    </w:p>
    <w:p>
      <w:pPr>
        <w:spacing w:after="80" w:before="120"/>
      </w:pPr>
      <w:r>
        <w:rPr>
          <w:rFonts w:ascii="Calibri" w:cs="Calibri" w:eastAsia="Calibri" w:hAnsi="Calibri"/>
          <w:b/>
          <w:bCs/>
          <w:i/>
          <w:iCs/>
          <w:color w:val="6B6B6B"/>
          <w:sz w:val="20"/>
          <w:szCs w:val="20"/>
        </w:rPr>
        <w:t xml:space="preserve">Table 2: Outcomes at 95% ore recovery / 70% waste rejection, US$4.1 M capital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2400"/>
        <w:gridCol w:w="2400"/>
      </w:tblGrid>
      <w:tr>
        <w:trPr>
          <w:tblHeader/>
        </w:trPr>
        <w:tc>
          <w:tcPr>
            <w:tcW w:type="dxa" w:w="4560"/>
            <w:tcBorders>
              <w:top w:val="single" w:color="CCCCCC" w:sz="1"/>
              <w:left w:val="single" w:color="CCCCCC" w:sz="1"/>
              <w:bottom w:val="single" w:color="CCCCCC" w:sz="1"/>
              <w:right w:val="single" w:color="CCCCCC" w:sz="1"/>
            </w:tcBorders>
            <w:shd w:fill="4E57A6" w:val="clear"/>
            <w:tcMar>
              <w:top w:type="dxa" w:w="60"/>
              <w:left w:type="dxa" w:w="100"/>
              <w:bottom w:type="dxa" w:w="60"/>
              <w:right w:type="dxa" w:w="100"/>
            </w:tcMar>
          </w:tcPr>
          <w:p>
            <w:pPr>
              <w:jc w:val="center"/>
            </w:pPr>
            <w:r>
              <w:rPr>
                <w:rFonts w:ascii="Calibri" w:cs="Calibri" w:eastAsia="Calibri" w:hAnsi="Calibri"/>
                <w:b/>
                <w:bCs/>
                <w:color w:val="FFFFFF"/>
                <w:sz w:val="22"/>
                <w:szCs w:val="22"/>
              </w:rPr>
              <w:t xml:space="preserve">Scenario</w:t>
            </w:r>
          </w:p>
        </w:tc>
        <w:tc>
          <w:tcPr>
            <w:tcW w:type="dxa" w:w="2400"/>
            <w:tcBorders>
              <w:top w:val="single" w:color="CCCCCC" w:sz="1"/>
              <w:left w:val="single" w:color="CCCCCC" w:sz="1"/>
              <w:bottom w:val="single" w:color="CCCCCC" w:sz="1"/>
              <w:right w:val="single" w:color="CCCCCC" w:sz="1"/>
            </w:tcBorders>
            <w:shd w:fill="4E57A6" w:val="clear"/>
            <w:tcMar>
              <w:top w:type="dxa" w:w="60"/>
              <w:left w:type="dxa" w:w="100"/>
              <w:bottom w:type="dxa" w:w="60"/>
              <w:right w:type="dxa" w:w="100"/>
            </w:tcMar>
          </w:tcPr>
          <w:p>
            <w:pPr>
              <w:jc w:val="center"/>
            </w:pPr>
            <w:r>
              <w:rPr>
                <w:rFonts w:ascii="Calibri" w:cs="Calibri" w:eastAsia="Calibri" w:hAnsi="Calibri"/>
                <w:b/>
                <w:bCs/>
                <w:color w:val="FFFFFF"/>
                <w:sz w:val="22"/>
                <w:szCs w:val="22"/>
              </w:rPr>
              <w:t xml:space="preserve">Net US$/a</w:t>
            </w:r>
          </w:p>
        </w:tc>
        <w:tc>
          <w:tcPr>
            <w:tcW w:type="dxa" w:w="2400"/>
            <w:tcBorders>
              <w:top w:val="single" w:color="CCCCCC" w:sz="1"/>
              <w:left w:val="single" w:color="CCCCCC" w:sz="1"/>
              <w:bottom w:val="single" w:color="CCCCCC" w:sz="1"/>
              <w:right w:val="single" w:color="CCCCCC" w:sz="1"/>
            </w:tcBorders>
            <w:shd w:fill="4E57A6" w:val="clear"/>
            <w:tcMar>
              <w:top w:type="dxa" w:w="60"/>
              <w:left w:type="dxa" w:w="100"/>
              <w:bottom w:type="dxa" w:w="60"/>
              <w:right w:type="dxa" w:w="100"/>
            </w:tcMar>
          </w:tcPr>
          <w:p>
            <w:pPr>
              <w:jc w:val="center"/>
            </w:pPr>
            <w:r>
              <w:rPr>
                <w:rFonts w:ascii="Calibri" w:cs="Calibri" w:eastAsia="Calibri" w:hAnsi="Calibri"/>
                <w:b/>
                <w:bCs/>
                <w:color w:val="FFFFFF"/>
                <w:sz w:val="22"/>
                <w:szCs w:val="22"/>
              </w:rPr>
              <w:t xml:space="preserve">NPV @ 10%</w:t>
            </w:r>
          </w:p>
        </w:tc>
      </w:tr>
      <w:tr>
        <w:trPr>
          <w:cantSplit/>
        </w:trPr>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231F20"/>
                <w:sz w:val="20"/>
                <w:szCs w:val="20"/>
              </w:rPr>
              <w:t xml:space="preserve">Freed capacity refilled at 2.4 g/t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Calibri" w:cs="Calibri" w:eastAsia="Calibri" w:hAnsi="Calibri"/>
                <w:b w:val="false"/>
                <w:bCs w:val="false"/>
                <w:color w:val="231F20"/>
                <w:sz w:val="20"/>
                <w:szCs w:val="20"/>
              </w:rPr>
              <w:t xml:space="preserve">+7.58 M</w:t>
            </w:r>
          </w:p>
        </w:tc>
        <w:tc>
          <w:tcPr>
            <w:tcW w:type="dxa" w:w="2400"/>
            <w:tcBorders>
              <w:top w:val="single" w:color="CCCCCC" w:sz="1"/>
              <w:left w:val="single" w:color="CCCCCC" w:sz="1"/>
              <w:bottom w:val="single" w:color="CCCCCC" w:sz="1"/>
              <w:right w:val="single" w:color="CCCCCC" w:sz="1"/>
            </w:tcBorders>
            <w:shd w:fill="EAF6E6" w:val="clear"/>
            <w:tcMar>
              <w:top w:type="dxa" w:w="60"/>
              <w:left w:type="dxa" w:w="100"/>
              <w:bottom w:type="dxa" w:w="60"/>
              <w:right w:type="dxa" w:w="100"/>
            </w:tcMar>
          </w:tcPr>
          <w:p>
            <w:pPr>
              <w:jc w:val="right"/>
            </w:pPr>
            <w:r>
              <w:rPr>
                <w:rFonts w:ascii="Calibri" w:cs="Calibri" w:eastAsia="Calibri" w:hAnsi="Calibri"/>
                <w:b/>
                <w:bCs/>
                <w:color w:val="231F20"/>
                <w:sz w:val="20"/>
                <w:szCs w:val="20"/>
              </w:rPr>
              <w:t xml:space="preserve">+33.6 M</w:t>
            </w:r>
          </w:p>
        </w:tc>
      </w:tr>
      <w:tr>
        <w:trPr>
          <w:cantSplit/>
        </w:trPr>
        <w:tc>
          <w:tcPr>
            <w:tcW w:type="dxa" w:w="4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Calibri" w:cs="Calibri" w:eastAsia="Calibri" w:hAnsi="Calibri"/>
                <w:b/>
                <w:bCs/>
                <w:color w:val="231F20"/>
                <w:sz w:val="20"/>
                <w:szCs w:val="20"/>
              </w:rPr>
              <w:t xml:space="preserve">Breakeven (29% capture)</w:t>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right"/>
            </w:pPr>
            <w:r>
              <w:rPr>
                <w:rFonts w:ascii="Calibri" w:cs="Calibri" w:eastAsia="Calibri" w:hAnsi="Calibri"/>
                <w:b w:val="false"/>
                <w:bCs w:val="false"/>
                <w:color w:val="231F20"/>
                <w:sz w:val="20"/>
                <w:szCs w:val="20"/>
              </w:rPr>
              <w:t xml:space="preserve">+0.82 M</w:t>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right"/>
            </w:pPr>
            <w:r>
              <w:rPr>
                <w:rFonts w:ascii="Calibri" w:cs="Calibri" w:eastAsia="Calibri" w:hAnsi="Calibri"/>
                <w:b/>
                <w:bCs/>
                <w:color w:val="231F20"/>
                <w:sz w:val="20"/>
                <w:szCs w:val="20"/>
              </w:rPr>
              <w:t xml:space="preserve">0</w:t>
            </w:r>
          </w:p>
        </w:tc>
      </w:tr>
      <w:tr>
        <w:trPr>
          <w:cantSplit/>
        </w:trPr>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Calibri" w:cs="Calibri" w:eastAsia="Calibri" w:hAnsi="Calibri"/>
                <w:b/>
                <w:bCs/>
                <w:color w:val="231F20"/>
                <w:sz w:val="20"/>
                <w:szCs w:val="20"/>
              </w:rPr>
              <w:t xml:space="preserve">No spare ore — ROM feed held flat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right"/>
            </w:pPr>
            <w:r>
              <w:rPr>
                <w:rFonts w:ascii="Calibri" w:cs="Calibri" w:eastAsia="Calibri" w:hAnsi="Calibri"/>
                <w:b w:val="false"/>
                <w:bCs w:val="false"/>
                <w:color w:val="231F20"/>
                <w:sz w:val="20"/>
                <w:szCs w:val="20"/>
              </w:rPr>
              <w:t xml:space="preserve">−1.96 M</w:t>
            </w:r>
          </w:p>
        </w:tc>
        <w:tc>
          <w:tcPr>
            <w:tcW w:type="dxa" w:w="2400"/>
            <w:tcBorders>
              <w:top w:val="single" w:color="CCCCCC" w:sz="1"/>
              <w:left w:val="single" w:color="CCCCCC" w:sz="1"/>
              <w:bottom w:val="single" w:color="CCCCCC" w:sz="1"/>
              <w:right w:val="single" w:color="CCCCCC" w:sz="1"/>
            </w:tcBorders>
            <w:shd w:fill="F7E4E4" w:val="clear"/>
            <w:tcMar>
              <w:top w:type="dxa" w:w="60"/>
              <w:left w:type="dxa" w:w="100"/>
              <w:bottom w:type="dxa" w:w="60"/>
              <w:right w:type="dxa" w:w="100"/>
            </w:tcMar>
          </w:tcPr>
          <w:p>
            <w:pPr>
              <w:jc w:val="right"/>
            </w:pPr>
            <w:r>
              <w:rPr>
                <w:rFonts w:ascii="Calibri" w:cs="Calibri" w:eastAsia="Calibri" w:hAnsi="Calibri"/>
                <w:b/>
                <w:bCs/>
                <w:color w:val="231F20"/>
                <w:sz w:val="20"/>
                <w:szCs w:val="20"/>
              </w:rPr>
              <w:t xml:space="preserve">−13.9 M</w:t>
            </w:r>
          </w:p>
        </w:tc>
      </w:tr>
    </w:tbl>
    <w:p>
      <w:pPr>
        <w:spacing w:after="150"/>
      </w:pPr>
      <w:r>
        <w:rPr>
          <w:rFonts w:ascii="Calibri" w:cs="Calibri" w:eastAsia="Calibri" w:hAnsi="Calibri"/>
          <w:color w:val="231F20"/>
          <w:sz w:val="22"/>
          <w:szCs w:val="22"/>
        </w:rPr>
        <w:t xml:space="preserve">The upside is genuine, with a payback near six and a half months, but the downside is equally real: a plant that cannot fill the capacity it frees destroys value and permanently sends gold to the dump. Price is not the swing factor — at US$2,500/oz the favourable case still returns some US$13 M.</w:t>
      </w:r>
    </w:p>
    <w:p>
      <w:pPr>
        <w:pStyle w:val="Heading2"/>
      </w:pPr>
      <w:r>
        <w:t xml:space="preserve">Recommendation</w:t>
      </w:r>
    </w:p>
    <w:p>
      <w:pPr>
        <w:spacing w:after="140"/>
      </w:pPr>
      <w:r>
        <w:rPr>
          <w:rFonts w:ascii="Calibri" w:cs="Calibri" w:eastAsia="Calibri" w:hAnsi="Calibri"/>
          <w:b/>
          <w:bCs/>
          <w:color w:val="231F20"/>
          <w:sz w:val="22"/>
          <w:szCs w:val="22"/>
        </w:rPr>
        <w:t xml:space="preserve">We recommend a conditional go: fund the test work, not the plant. </w:t>
      </w:r>
      <w:r>
        <w:rPr>
          <w:rFonts w:ascii="Calibri" w:cs="Calibri" w:eastAsia="Calibri" w:hAnsi="Calibri"/>
          <w:color w:val="231F20"/>
          <w:sz w:val="22"/>
          <w:szCs w:val="22"/>
        </w:rPr>
        <w:t xml:space="preserve">Two gates should close before any capital is committed.</w:t>
      </w:r>
    </w:p>
    <w:p>
      <w:pPr>
        <w:pStyle w:val="ListParagraph"/>
        <w:numPr>
          <w:ilvl w:val="0"/>
          <w:numId w:val="2"/>
        </w:numPr>
        <w:spacing w:after="100"/>
      </w:pPr>
      <w:r>
        <w:rPr>
          <w:rFonts w:ascii="Calibri" w:cs="Calibri" w:eastAsia="Calibri" w:hAnsi="Calibri"/>
          <w:b/>
          <w:bCs/>
          <w:color w:val="231F20"/>
          <w:sz w:val="22"/>
          <w:szCs w:val="22"/>
        </w:rPr>
        <w:t xml:space="preserve">Constraint audit — </w:t>
      </w:r>
      <w:r>
        <w:rPr>
          <w:rFonts w:ascii="Calibri" w:cs="Calibri" w:eastAsia="Calibri" w:hAnsi="Calibri"/>
          <w:color w:val="231F20"/>
          <w:sz w:val="22"/>
          <w:szCs w:val="22"/>
        </w:rPr>
        <w:t xml:space="preserve">confirm that comminution, rather than the roaster or ore supply, binds the converted line, and that ore exists at reserve grade to fill it. The published record points the other way, with sulphide stockpiles drawn down through 2025 to maintain throughput. No cost, about four weeks.</w:t>
      </w:r>
    </w:p>
    <w:p>
      <w:pPr>
        <w:pStyle w:val="ListParagraph"/>
        <w:numPr>
          <w:ilvl w:val="0"/>
          <w:numId w:val="2"/>
        </w:numPr>
        <w:spacing w:after="150"/>
      </w:pPr>
      <w:r>
        <w:rPr>
          <w:rFonts w:ascii="Calibri" w:cs="Calibri" w:eastAsia="Calibri" w:hAnsi="Calibri"/>
          <w:b/>
          <w:bCs/>
          <w:color w:val="231F20"/>
          <w:sz w:val="22"/>
          <w:szCs w:val="22"/>
        </w:rPr>
        <w:t xml:space="preserve">Bulk sensor test — </w:t>
      </w:r>
      <w:r>
        <w:rPr>
          <w:rFonts w:ascii="Calibri" w:cs="Calibri" w:eastAsia="Calibri" w:hAnsi="Calibri"/>
          <w:color w:val="231F20"/>
          <w:sz w:val="22"/>
          <w:szCs w:val="22"/>
        </w:rPr>
        <w:t xml:space="preserve">2 to 5 tonnes of scats through an XRT rig. A 1.8× mass contrast is not evidence of a detectable sensor contrast, and Syama's gold is refractory, so reject grades need fire assay. Roughly US$60,000 to US$150,000, about three months.</w:t>
      </w:r>
    </w:p>
    <w:p>
      <w:pPr>
        <w:pStyle w:val="Heading2"/>
      </w:pPr>
      <w:r>
        <w:t xml:space="preserve">Related considerations</w:t>
      </w:r>
    </w:p>
    <w:p>
      <w:pPr>
        <w:pStyle w:val="ListParagraph"/>
        <w:numPr>
          <w:ilvl w:val="0"/>
          <w:numId w:val="3"/>
        </w:numPr>
        <w:spacing w:after="80"/>
      </w:pPr>
      <w:r>
        <w:rPr>
          <w:rFonts w:ascii="Calibri" w:cs="Calibri" w:eastAsia="Calibri" w:hAnsi="Calibri"/>
          <w:color w:val="231F20"/>
          <w:sz w:val="22"/>
          <w:szCs w:val="22"/>
        </w:rPr>
        <w:t xml:space="preserve">We would scope dilution rejection on coarse ROM into the same campaign; 20% dilution across some 2.6 Mt/a of underground feed offers far more heterogeneity than the scats do.</w:t>
      </w:r>
    </w:p>
    <w:p>
      <w:pPr>
        <w:pStyle w:val="ListParagraph"/>
        <w:numPr>
          <w:ilvl w:val="0"/>
          <w:numId w:val="3"/>
        </w:numPr>
        <w:spacing w:after="150"/>
      </w:pPr>
      <w:r>
        <w:rPr>
          <w:rFonts w:ascii="Calibri" w:cs="Calibri" w:eastAsia="Calibri" w:hAnsi="Calibri"/>
          <w:color w:val="231F20"/>
          <w:sz w:val="22"/>
          <w:szCs w:val="22"/>
        </w:rPr>
        <w:t xml:space="preserve">A sulphidic reject stream will need acid rock drainage characterisation before it can be dumped, carrying its own closure cost.</w:t>
      </w:r>
    </w:p>
    <w:p>
      <w:pPr>
        <w:spacing w:after="180"/>
      </w:pPr>
      <w:r>
        <w:rPr>
          <w:rFonts w:ascii="Calibri" w:cs="Calibri" w:eastAsia="Calibri" w:hAnsi="Calibri"/>
          <w:color w:val="231F20"/>
          <w:sz w:val="22"/>
          <w:szCs w:val="22"/>
        </w:rPr>
        <w:t xml:space="preserve">Absent site data, several model inputs remain placeholders, flagged on the enclosed model's Dashboard; dilution in particular drives the result. We would welcome the chance to refine these with your team.</w:t>
      </w:r>
    </w:p>
    <w:p>
      <w:pPr>
        <w:keepNext/>
        <w:keepLines/>
        <w:spacing w:after="150" w:before="0" w:line="260"/>
      </w:pPr>
      <w:r>
        <w:rPr>
          <w:rFonts w:ascii="Calibri" w:cs="Calibri" w:eastAsia="Calibri" w:hAnsi="Calibri"/>
          <w:color w:val="231F20"/>
          <w:sz w:val="22"/>
          <w:szCs w:val="22"/>
        </w:rPr>
        <w:t xml:space="preserve">Yours sincerely,</w:t>
      </w:r>
    </w:p>
    <w:p>
      <w:pPr>
        <w:keepNext/>
        <w:keepLines/>
        <w:spacing w:after="0" w:before="0" w:line="260"/>
      </w:pPr>
      <w:r>
        <w:rPr>
          <w:rFonts w:ascii="Calibri" w:cs="Calibri" w:eastAsia="Calibri" w:hAnsi="Calibri"/>
          <w:b/>
          <w:bCs/>
          <w:color w:val="231F20"/>
          <w:sz w:val="22"/>
          <w:szCs w:val="22"/>
        </w:rPr>
        <w:t xml:space="preserve">Mike Daniel</w:t>
      </w:r>
    </w:p>
    <w:p>
      <w:pPr>
        <w:keepNext/>
        <w:keepLines/>
        <w:spacing w:after="150" w:before="0" w:line="260"/>
      </w:pPr>
      <w:r>
        <w:rPr>
          <w:rFonts w:ascii="Calibri" w:cs="Calibri" w:eastAsia="Calibri" w:hAnsi="Calibri"/>
          <w:color w:val="6B6B6B"/>
          <w:sz w:val="22"/>
          <w:szCs w:val="22"/>
        </w:rPr>
        <w:t xml:space="preserve">CMD Consulting Pty Ltd</w:t>
      </w:r>
    </w:p>
    <w:p>
      <w:pPr>
        <w:keepLines/>
        <w:pBdr>
          <w:top w:val="single" w:color="CCCCCC" w:sz="4" w:space="8"/>
        </w:pBdr>
        <w:spacing w:after="0" w:before="0"/>
      </w:pPr>
      <w:r>
        <w:rPr>
          <w:rFonts w:ascii="Calibri" w:cs="Calibri" w:eastAsia="Calibri" w:hAnsi="Calibri"/>
          <w:b/>
          <w:bCs/>
          <w:color w:val="6B6B6B"/>
          <w:sz w:val="20"/>
          <w:szCs w:val="20"/>
        </w:rPr>
        <w:t xml:space="preserve">Enclosures:  </w:t>
      </w:r>
      <w:r>
        <w:rPr>
          <w:rFonts w:ascii="Calibri" w:cs="Calibri" w:eastAsia="Calibri" w:hAnsi="Calibri"/>
          <w:color w:val="6B6B6B"/>
          <w:sz w:val="20"/>
          <w:szCs w:val="20"/>
        </w:rPr>
        <w:t xml:space="preserve">decision brief;  Syama_Pebble_Sorting_Simulation.xlsx</w:t>
      </w:r>
    </w:p>
    <w:sectPr>
      <w:headerReference w:type="default" r:id="rId7"/>
      <w:footerReference w:type="default" r:id="rId8"/>
      <w:pgSz w:w="12240" w:h="15840" w:orient="portrait"/>
      <w:pgMar w:top="1440" w:right="1440" w:bottom="9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tabs>
        <w:tab w:val="right" w:pos="9026"/>
      </w:tabs>
    </w:pPr>
    <w:r>
      <w:rPr>
        <w:rFonts w:ascii="Calibri" w:cs="Calibri" w:eastAsia="Calibri" w:hAnsi="Calibri"/>
        <w:color w:val="6B6B6B"/>
        <w:sz w:val="16"/>
        <w:szCs w:val="16"/>
      </w:rPr>
      <w:t xml:space="preserve">CMD Consulting Pty Ltd  |  Confidential</w:t>
    </w:r>
    <w:r>
      <w:rPr>
        <w:rFonts w:ascii="Calibri" w:cs="Calibri" w:eastAsia="Calibri" w:hAnsi="Calibri"/>
        <w:color w:val="6B6B6B"/>
        <w:sz w:val="16"/>
        <w:szCs w:val="16"/>
      </w:rPr>
      <w:t xml:space="preserve">	Page </w:t>
    </w:r>
    <w:r>
      <w:rPr>
        <w:rFonts w:ascii="Calibri" w:cs="Calibri" w:eastAsia="Calibri" w:hAnsi="Calibri"/>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E57A6" w:sz="6" w:space="4"/>
      </w:pBdr>
      <w:tabs>
        <w:tab w:val="right" w:pos="9026"/>
      </w:tabs>
      <w:spacing w:after="200"/>
    </w:pPr>
    <w:r>
      <w:drawing>
        <wp:inline distT="0" distB="0" distL="0" distR="0">
          <wp:extent cx="6667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66750" cy="342900"/>
                  </a:xfrm>
                  <a:prstGeom prst="rect">
                    <a:avLst/>
                  </a:prstGeom>
                </pic:spPr>
              </pic:pic>
            </a:graphicData>
          </a:graphic>
        </wp:inline>
      </w:drawing>
    </w:r>
    <w:r>
      <w:rPr>
        <w:rFonts w:ascii="Trebuchet MS" w:cs="Trebuchet MS" w:eastAsia="Trebuchet MS" w:hAnsi="Trebuchet MS"/>
        <w:b/>
        <w:bCs/>
        <w:color w:val="4E57A6"/>
        <w:sz w:val="18"/>
        <w:szCs w:val="18"/>
      </w:rPr>
      <w:t xml:space="preserve">	CMD Consulting Pty Ltd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31F20"/>
        <w:sz w:val="22"/>
        <w:szCs w:val="22"/>
      </w:rPr>
    </w:rPrDefault>
    <w:pPrDefault>
      <w:pPr>
        <w:spacing w:after="120" w:line="25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200"/>
      <w:outlineLvl w:val="0"/>
    </w:pPr>
    <w:rPr>
      <w:rFonts w:ascii="Trebuchet MS" w:cs="Trebuchet MS" w:eastAsia="Trebuchet MS" w:hAnsi="Trebuchet MS"/>
      <w:b/>
      <w:bCs/>
      <w:color w:val="4E57A6"/>
      <w:sz w:val="28"/>
      <w:szCs w:val="28"/>
    </w:rPr>
  </w:style>
  <w:style w:type="paragraph" w:styleId="Heading2">
    <w:name w:val="Heading 2"/>
    <w:basedOn w:val="Normal"/>
    <w:next w:val="Normal"/>
    <w:qFormat/>
    <w:pPr>
      <w:spacing w:after="100" w:before="130"/>
      <w:outlineLvl w:val="1"/>
    </w:pPr>
    <w:rPr>
      <w:rFonts w:ascii="Trebuchet MS" w:cs="Trebuchet MS" w:eastAsia="Trebuchet MS" w:hAnsi="Trebuchet MS"/>
      <w:b/>
      <w:bCs/>
      <w:color w:val="231F20"/>
      <w:sz w:val="28"/>
      <w:szCs w:val="28"/>
    </w:rPr>
  </w:style>
  <w:style w:type="paragraph" w:styleId="Heading3">
    <w:name w:val="Heading 3"/>
    <w:basedOn w:val="Normal"/>
    <w:next w:val="Normal"/>
    <w:qFormat/>
    <w:pPr>
      <w:spacing w:after="100" w:before="100"/>
      <w:outlineLvl w:val="2"/>
    </w:pPr>
    <w:rPr>
      <w:rFonts w:ascii="Trebuchet MS" w:cs="Trebuchet MS" w:eastAsia="Trebuchet MS" w:hAnsi="Trebuchet MS"/>
      <w:b/>
      <w:bCs/>
      <w:color w:val="4E57A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74f1be196fdbc60c04dda23ad9b17f50171ba97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2026-08-05T12:01:25.965Z</dcterms:created>
  <dcterms:modified xsi:type="dcterms:W3CDTF">2026-08-05T12:01:25.980Z</dcterms:modified>
</cp:coreProperties>
</file>

<file path=docProps/custom.xml><?xml version="1.0" encoding="utf-8"?>
<Properties xmlns="http://schemas.openxmlformats.org/officeDocument/2006/custom-properties" xmlns:vt="http://schemas.openxmlformats.org/officeDocument/2006/docPropsVTypes"/>
</file>