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rPr>
          <w:rFonts w:ascii="Calibri" w:cs="Calibri" w:eastAsia="Calibri" w:hAnsi="Calibri"/>
          <w:b/>
          <w:bCs/>
          <w:color w:val="000000"/>
          <w:sz w:val="22"/>
          <w:szCs w:val="22"/>
        </w:rPr>
        <w:t xml:space="preserve">[Your Name]</w:t>
      </w:r>
    </w:p>
    <w:p>
      <w:pPr>
        <w:spacing w:after="0" w:before="0" w:line="240"/>
      </w:pPr>
      <w:r>
        <w:rPr>
          <w:rFonts w:ascii="Calibri" w:cs="Calibri" w:eastAsia="Calibri" w:hAnsi="Calibri"/>
          <w:color w:val="404040"/>
          <w:sz w:val="18"/>
          <w:szCs w:val="18"/>
        </w:rPr>
        <w:t xml:space="preserve">[Title]</w:t>
      </w:r>
    </w:p>
    <w:p>
      <w:pPr>
        <w:spacing w:after="120" w:before="0" w:line="240"/>
      </w:pPr>
      <w:r>
        <w:rPr>
          <w:rFonts w:ascii="Calibri" w:cs="Calibri" w:eastAsia="Calibri" w:hAnsi="Calibri"/>
          <w:color w:val="404040"/>
          <w:sz w:val="18"/>
          <w:szCs w:val="18"/>
        </w:rPr>
        <w:t xml:space="preserve">[Company]  ·  [Address]  ·  [Email]  ·  [Phone]</w:t>
      </w:r>
    </w:p>
    <w:p>
      <w:pPr>
        <w:pBdr>
          <w:bottom w:val="single" w:color="1F3864" w:sz="8"/>
        </w:pBdr>
        <w:spacing w:after="150" w:before="0"/>
      </w:pPr>
      <w:r>
        <w:rPr>
          <w:rFonts w:ascii="Calibri" w:cs="Calibri" w:eastAsia="Calibri" w:hAnsi="Calibri"/>
          <w:color w:val="000000"/>
          <w:sz w:val="20"/>
          <w:szCs w:val="20"/>
        </w:rPr>
        <w:t xml:space="preserve"/>
      </w:r>
    </w:p>
    <w:p>
      <w:pPr>
        <w:spacing w:after="150" w:before="0" w:line="250"/>
      </w:pPr>
      <w:r>
        <w:rPr>
          <w:rFonts w:ascii="Calibri" w:cs="Calibri" w:eastAsia="Calibri" w:hAnsi="Calibri"/>
          <w:color w:val="000000"/>
          <w:sz w:val="20"/>
          <w:szCs w:val="20"/>
        </w:rPr>
        <w:t xml:space="preserve">5 August 2026</w:t>
      </w:r>
    </w:p>
    <w:p>
      <w:pPr>
        <w:spacing w:after="0" w:before="0" w:line="240"/>
      </w:pPr>
      <w:r>
        <w:rPr>
          <w:rFonts w:ascii="Calibri" w:cs="Calibri" w:eastAsia="Calibri" w:hAnsi="Calibri"/>
          <w:b/>
          <w:bCs/>
          <w:color w:val="000000"/>
          <w:sz w:val="20"/>
          <w:szCs w:val="20"/>
        </w:rPr>
        <w:t xml:space="preserve">[Recipient Name]</w:t>
      </w:r>
    </w:p>
    <w:p>
      <w:pPr>
        <w:spacing w:after="0" w:before="0" w:line="240"/>
      </w:pPr>
      <w:r>
        <w:rPr>
          <w:rFonts w:ascii="Calibri" w:cs="Calibri" w:eastAsia="Calibri" w:hAnsi="Calibri"/>
          <w:color w:val="000000"/>
          <w:sz w:val="20"/>
          <w:szCs w:val="20"/>
        </w:rPr>
        <w:t xml:space="preserve">[Title]</w:t>
      </w:r>
    </w:p>
    <w:p>
      <w:pPr>
        <w:spacing w:after="0" w:before="0" w:line="240"/>
      </w:pPr>
      <w:r>
        <w:rPr>
          <w:rFonts w:ascii="Calibri" w:cs="Calibri" w:eastAsia="Calibri" w:hAnsi="Calibri"/>
          <w:color w:val="000000"/>
          <w:sz w:val="20"/>
          <w:szCs w:val="20"/>
        </w:rPr>
        <w:t xml:space="preserve">Société des Mines de Syama S.A. (SOMISY)</w:t>
      </w:r>
    </w:p>
    <w:p>
      <w:pPr>
        <w:spacing w:after="170" w:before="0" w:line="240"/>
      </w:pPr>
      <w:r>
        <w:rPr>
          <w:rFonts w:ascii="Calibri" w:cs="Calibri" w:eastAsia="Calibri" w:hAnsi="Calibri"/>
          <w:color w:val="000000"/>
          <w:sz w:val="20"/>
          <w:szCs w:val="20"/>
        </w:rPr>
        <w:t xml:space="preserve">Syama Gold Mine, Sikasso Region, Mali</w:t>
      </w:r>
    </w:p>
    <w:p>
      <w:pPr>
        <w:spacing w:after="120" w:before="0" w:line="250"/>
      </w:pPr>
      <w:r>
        <w:rPr>
          <w:rFonts w:ascii="Calibri" w:cs="Calibri" w:eastAsia="Calibri" w:hAnsi="Calibri"/>
          <w:color w:val="000000"/>
          <w:sz w:val="20"/>
          <w:szCs w:val="20"/>
        </w:rPr>
        <w:t xml:space="preserve">Dear [Recipient Name],</w:t>
      </w:r>
    </w:p>
    <w:p>
      <w:pPr>
        <w:spacing w:after="160" w:before="0" w:line="250"/>
      </w:pPr>
      <w:r>
        <w:rPr>
          <w:rFonts w:ascii="Calibri" w:cs="Calibri" w:eastAsia="Calibri" w:hAnsi="Calibri"/>
          <w:b/>
          <w:bCs/>
          <w:color w:val="000000"/>
          <w:sz w:val="20"/>
          <w:szCs w:val="20"/>
        </w:rPr>
        <w:t xml:space="preserve">Syama SAG pebble (scat) ore sorting — assessment and recommendation</w:t>
      </w:r>
    </w:p>
    <w:p>
      <w:pPr>
        <w:spacing w:after="110" w:before="0" w:line="250"/>
      </w:pPr>
      <w:r>
        <w:rPr>
          <w:rFonts w:ascii="Calibri" w:cs="Calibri" w:eastAsia="Calibri" w:hAnsi="Calibri"/>
          <w:color w:val="000000"/>
          <w:sz w:val="20"/>
          <w:szCs w:val="20"/>
        </w:rPr>
        <w:t xml:space="preserve">Thank you for providing the scat assay data. We have completed the assessment you requested, updating the pebble sorting business case for Syama and testing whether STEINERT ore sorting is worth pursuing on your SAG scat stream. This letter sets out the conclusion; the enclosed brief and model carry the detail.</w:t>
      </w:r>
    </w:p>
    <w:p>
      <w:pPr>
        <w:spacing w:after="110" w:before="0" w:line="250"/>
      </w:pPr>
      <w:r>
        <w:rPr>
          <w:rFonts w:ascii="Calibri" w:cs="Calibri" w:eastAsia="Calibri" w:hAnsi="Calibri"/>
          <w:color w:val="000000"/>
          <w:sz w:val="20"/>
          <w:szCs w:val="20"/>
        </w:rPr>
        <w:t xml:space="preserve">The work builds on the pebble sorting simulation prepared for Sukari (ref. SR241558), which rejects barren scat mass, reduces the circulating load and refills the freed SAG capacity with ROM. That engine transfers to Syama unmodified. What does not transfer is the material property that made Sukari work.</w:t>
      </w:r>
    </w:p>
    <w:p>
      <w:pPr>
        <w:spacing w:after="110" w:before="0" w:line="250"/>
      </w:pPr>
      <w:r>
        <w:rPr>
          <w:rFonts w:ascii="Calibri" w:cs="Calibri" w:eastAsia="Calibri" w:hAnsi="Calibri"/>
          <w:b/>
          <w:bCs/>
          <w:color w:val="000000"/>
          <w:sz w:val="20"/>
          <w:szCs w:val="20"/>
        </w:rPr>
        <w:t xml:space="preserve">Your measured scat grade of 2.0 g/t Au is the pivotal number.</w:t>
      </w:r>
      <w:r>
        <w:rPr>
          <w:rFonts w:ascii="Calibri" w:cs="Calibri" w:eastAsia="Calibri" w:hAnsi="Calibri"/>
          <w:color w:val="000000"/>
          <w:sz w:val="20"/>
          <w:szCs w:val="20"/>
        </w:rPr>
        <w:t xml:space="preserve"> Sukari's scats assayed 0.56 g/t against a 1.57 g/t ROM — barren material, discardable almost for free. Syama's run at 83% of ROM grade. Back-solving the deportment against 20% sublevel-cave dilution gives a waste-to-ore contrast of only 1.8×, against 8.9× at Sukari, so roughly one third of the scat stream is barren dilution. That is a hard ceiling on what any sorter can reject, and no sorter setting overcomes it.</w:t>
      </w:r>
    </w:p>
    <w:p>
      <w:pPr>
        <w:spacing w:after="110" w:before="0" w:line="250"/>
      </w:pPr>
      <w:r>
        <w:rPr>
          <w:rFonts w:ascii="Calibri" w:cs="Calibri" w:eastAsia="Calibri" w:hAnsi="Calibri"/>
          <w:color w:val="000000"/>
          <w:sz w:val="20"/>
          <w:szCs w:val="20"/>
        </w:rPr>
        <w:t xml:space="preserve">The case is therefore throughput debottlenecking, not gold recovery — your scats already recirculate, so no gold is being lost today, and the Sulphide Conversion Project is installing a pebble crusher for this very stream. The economics hinge on one question:</w:t>
      </w:r>
    </w:p>
    <w:tbl>
      <w:tblPr>
        <w:tblW w:type="dxa" w:w="10080"/>
        <w:tblBorders>
          <w:top w:val="single" w:color="AEBBD0" w:sz="2"/>
          <w:left w:val="single" w:color="AEBBD0" w:sz="2"/>
          <w:bottom w:val="single" w:color="AEBBD0" w:sz="2"/>
          <w:right w:val="single" w:color="AEBBD0" w:sz="2"/>
          <w:insideH w:val="single" w:color="AEBBD0" w:sz="2"/>
          <w:insideV w:val="single" w:color="AEBBD0" w:sz="2"/>
        </w:tblBorders>
      </w:tblPr>
      <w:tblGrid>
        <w:gridCol w:w="4637"/>
        <w:gridCol w:w="2722"/>
        <w:gridCol w:w="2721"/>
      </w:tblGrid>
      <w:tr>
        <w:trPr>
          <w:cantSplit/>
          <w:tblHeader/>
        </w:trPr>
        <w:tc>
          <w:tcPr>
            <w:tcW w:type="dxa" w:w="4637"/>
            <w:shd w:fill="1F3864" w:color="auto" w:val="clear"/>
            <w:tcMar>
              <w:top w:type="dxa" w:w="30"/>
              <w:left w:type="dxa" w:w="80"/>
              <w:bottom w:type="dxa" w:w="30"/>
              <w:right w:type="dxa" w:w="80"/>
            </w:tcMar>
          </w:tcPr>
          <w:p>
            <w:pPr>
              <w:spacing w:after="0" w:before="0" w:line="220"/>
              <w:jc w:val="left"/>
            </w:pPr>
            <w:r>
              <w:rPr>
                <w:rFonts w:ascii="Calibri" w:cs="Calibri" w:eastAsia="Calibri" w:hAnsi="Calibri"/>
                <w:b/>
                <w:bCs/>
                <w:color w:val="FFFFFF"/>
                <w:sz w:val="17"/>
                <w:szCs w:val="17"/>
              </w:rPr>
              <w:t xml:space="preserve">Scenario (95% ore recovery / 70% waste rejection)</w:t>
            </w:r>
          </w:p>
        </w:tc>
        <w:tc>
          <w:tcPr>
            <w:tcW w:type="dxa" w:w="2722"/>
            <w:shd w:fill="1F3864" w:color="auto" w:val="clear"/>
            <w:tcMar>
              <w:top w:type="dxa" w:w="30"/>
              <w:left w:type="dxa" w:w="80"/>
              <w:bottom w:type="dxa" w:w="30"/>
              <w:right w:type="dxa" w:w="80"/>
            </w:tcMar>
          </w:tcPr>
          <w:p>
            <w:pPr>
              <w:spacing w:after="0" w:before="0" w:line="220"/>
              <w:jc w:val="right"/>
            </w:pPr>
            <w:r>
              <w:rPr>
                <w:rFonts w:ascii="Calibri" w:cs="Calibri" w:eastAsia="Calibri" w:hAnsi="Calibri"/>
                <w:b/>
                <w:bCs/>
                <w:color w:val="FFFFFF"/>
                <w:sz w:val="17"/>
                <w:szCs w:val="17"/>
              </w:rPr>
              <w:t xml:space="preserve">Net US$/a</w:t>
            </w:r>
          </w:p>
        </w:tc>
        <w:tc>
          <w:tcPr>
            <w:tcW w:type="dxa" w:w="2721"/>
            <w:shd w:fill="1F3864" w:color="auto" w:val="clear"/>
            <w:tcMar>
              <w:top w:type="dxa" w:w="30"/>
              <w:left w:type="dxa" w:w="80"/>
              <w:bottom w:type="dxa" w:w="30"/>
              <w:right w:type="dxa" w:w="80"/>
            </w:tcMar>
          </w:tcPr>
          <w:p>
            <w:pPr>
              <w:spacing w:after="0" w:before="0" w:line="220"/>
              <w:jc w:val="right"/>
            </w:pPr>
            <w:r>
              <w:rPr>
                <w:rFonts w:ascii="Calibri" w:cs="Calibri" w:eastAsia="Calibri" w:hAnsi="Calibri"/>
                <w:b/>
                <w:bCs/>
                <w:color w:val="FFFFFF"/>
                <w:sz w:val="17"/>
                <w:szCs w:val="17"/>
              </w:rPr>
              <w:t xml:space="preserve">NPV @10%</w:t>
            </w:r>
          </w:p>
        </w:tc>
      </w:tr>
      <w:tr>
        <w:trPr>
          <w:cantSplit/>
          <w:tblHeader w:val="false"/>
        </w:trPr>
        <w:tc>
          <w:tcPr>
            <w:tcW w:type="dxa" w:w="4637"/>
            <w:shd w:fill="FFFFFF" w:color="auto" w:val="clear"/>
            <w:tcMar>
              <w:top w:type="dxa" w:w="30"/>
              <w:left w:type="dxa" w:w="80"/>
              <w:bottom w:type="dxa" w:w="30"/>
              <w:right w:type="dxa" w:w="80"/>
            </w:tcMar>
          </w:tcPr>
          <w:p>
            <w:pPr>
              <w:spacing w:after="0" w:before="0" w:line="220"/>
              <w:jc w:val="left"/>
            </w:pPr>
            <w:r>
              <w:rPr>
                <w:rFonts w:ascii="Calibri" w:cs="Calibri" w:eastAsia="Calibri" w:hAnsi="Calibri"/>
                <w:b/>
                <w:bCs/>
                <w:color w:val="000000"/>
                <w:sz w:val="17"/>
                <w:szCs w:val="17"/>
              </w:rPr>
              <w:t xml:space="preserve">Freed SAG capacity fully refilled with 2.4 g/t ore</w:t>
            </w:r>
          </w:p>
        </w:tc>
        <w:tc>
          <w:tcPr>
            <w:tcW w:type="dxa" w:w="2722"/>
            <w:shd w:fill="FFFFFF" w:color="auto" w:val="clear"/>
            <w:tcMar>
              <w:top w:type="dxa" w:w="30"/>
              <w:left w:type="dxa" w:w="80"/>
              <w:bottom w:type="dxa" w:w="30"/>
              <w:right w:type="dxa" w:w="80"/>
            </w:tcMar>
          </w:tcPr>
          <w:p>
            <w:pPr>
              <w:spacing w:after="0" w:before="0" w:line="220"/>
              <w:jc w:val="right"/>
            </w:pPr>
            <w:r>
              <w:rPr>
                <w:rFonts w:ascii="Calibri" w:cs="Calibri" w:eastAsia="Calibri" w:hAnsi="Calibri"/>
                <w:color w:val="000000"/>
                <w:sz w:val="17"/>
                <w:szCs w:val="17"/>
              </w:rPr>
              <w:t xml:space="preserve">+7.58 M</w:t>
            </w:r>
          </w:p>
        </w:tc>
        <w:tc>
          <w:tcPr>
            <w:tcW w:type="dxa" w:w="2721"/>
            <w:shd w:fill="E2EFDA" w:color="auto" w:val="clear"/>
            <w:tcMar>
              <w:top w:type="dxa" w:w="30"/>
              <w:left w:type="dxa" w:w="80"/>
              <w:bottom w:type="dxa" w:w="30"/>
              <w:right w:type="dxa" w:w="80"/>
            </w:tcMar>
          </w:tcPr>
          <w:p>
            <w:pPr>
              <w:spacing w:after="0" w:before="0" w:line="220"/>
              <w:jc w:val="right"/>
            </w:pPr>
            <w:r>
              <w:rPr>
                <w:rFonts w:ascii="Calibri" w:cs="Calibri" w:eastAsia="Calibri" w:hAnsi="Calibri"/>
                <w:b/>
                <w:bCs/>
                <w:color w:val="000000"/>
                <w:sz w:val="17"/>
                <w:szCs w:val="17"/>
              </w:rPr>
              <w:t xml:space="preserve">+33.6 M</w:t>
            </w:r>
          </w:p>
        </w:tc>
      </w:tr>
      <w:tr>
        <w:trPr>
          <w:cantSplit/>
          <w:tblHeader w:val="false"/>
        </w:trPr>
        <w:tc>
          <w:tcPr>
            <w:tcW w:type="dxa" w:w="4637"/>
            <w:shd w:fill="F2F2F2" w:color="auto" w:val="clear"/>
            <w:tcMar>
              <w:top w:type="dxa" w:w="30"/>
              <w:left w:type="dxa" w:w="80"/>
              <w:bottom w:type="dxa" w:w="30"/>
              <w:right w:type="dxa" w:w="80"/>
            </w:tcMar>
          </w:tcPr>
          <w:p>
            <w:pPr>
              <w:spacing w:after="0" w:before="0" w:line="220"/>
              <w:jc w:val="left"/>
            </w:pPr>
            <w:r>
              <w:rPr>
                <w:rFonts w:ascii="Calibri" w:cs="Calibri" w:eastAsia="Calibri" w:hAnsi="Calibri"/>
                <w:b/>
                <w:bCs/>
                <w:color w:val="000000"/>
                <w:sz w:val="17"/>
                <w:szCs w:val="17"/>
              </w:rPr>
              <w:t xml:space="preserve">Breakeven</w:t>
            </w:r>
          </w:p>
        </w:tc>
        <w:tc>
          <w:tcPr>
            <w:tcW w:type="dxa" w:w="2722"/>
            <w:shd w:fill="F2F2F2" w:color="auto" w:val="clear"/>
            <w:tcMar>
              <w:top w:type="dxa" w:w="30"/>
              <w:left w:type="dxa" w:w="80"/>
              <w:bottom w:type="dxa" w:w="30"/>
              <w:right w:type="dxa" w:w="80"/>
            </w:tcMar>
          </w:tcPr>
          <w:p>
            <w:pPr>
              <w:spacing w:after="0" w:before="0" w:line="220"/>
              <w:jc w:val="right"/>
            </w:pPr>
            <w:r>
              <w:rPr>
                <w:rFonts w:ascii="Calibri" w:cs="Calibri" w:eastAsia="Calibri" w:hAnsi="Calibri"/>
                <w:color w:val="000000"/>
                <w:sz w:val="17"/>
                <w:szCs w:val="17"/>
              </w:rPr>
              <w:t xml:space="preserve">+0.82 M</w:t>
            </w:r>
          </w:p>
        </w:tc>
        <w:tc>
          <w:tcPr>
            <w:tcW w:type="dxa" w:w="2721"/>
            <w:shd w:fill="FFF2CC" w:color="auto" w:val="clear"/>
            <w:tcMar>
              <w:top w:type="dxa" w:w="30"/>
              <w:left w:type="dxa" w:w="80"/>
              <w:bottom w:type="dxa" w:w="30"/>
              <w:right w:type="dxa" w:w="80"/>
            </w:tcMar>
          </w:tcPr>
          <w:p>
            <w:pPr>
              <w:spacing w:after="0" w:before="0" w:line="220"/>
              <w:jc w:val="right"/>
            </w:pPr>
            <w:r>
              <w:rPr>
                <w:rFonts w:ascii="Calibri" w:cs="Calibri" w:eastAsia="Calibri" w:hAnsi="Calibri"/>
                <w:b/>
                <w:bCs/>
                <w:color w:val="000000"/>
                <w:sz w:val="17"/>
                <w:szCs w:val="17"/>
              </w:rPr>
              <w:t xml:space="preserve">0  (29% capture)</w:t>
            </w:r>
          </w:p>
        </w:tc>
      </w:tr>
      <w:tr>
        <w:trPr>
          <w:cantSplit/>
          <w:tblHeader w:val="false"/>
        </w:trPr>
        <w:tc>
          <w:tcPr>
            <w:tcW w:type="dxa" w:w="4637"/>
            <w:shd w:fill="FFFFFF" w:color="auto" w:val="clear"/>
            <w:tcMar>
              <w:top w:type="dxa" w:w="30"/>
              <w:left w:type="dxa" w:w="80"/>
              <w:bottom w:type="dxa" w:w="30"/>
              <w:right w:type="dxa" w:w="80"/>
            </w:tcMar>
          </w:tcPr>
          <w:p>
            <w:pPr>
              <w:spacing w:after="0" w:before="0" w:line="220"/>
              <w:jc w:val="left"/>
            </w:pPr>
            <w:r>
              <w:rPr>
                <w:rFonts w:ascii="Calibri" w:cs="Calibri" w:eastAsia="Calibri" w:hAnsi="Calibri"/>
                <w:b/>
                <w:bCs/>
                <w:color w:val="000000"/>
                <w:sz w:val="17"/>
                <w:szCs w:val="17"/>
              </w:rPr>
              <w:t xml:space="preserve">No spare ore — ROM feed held flat</w:t>
            </w:r>
          </w:p>
        </w:tc>
        <w:tc>
          <w:tcPr>
            <w:tcW w:type="dxa" w:w="2722"/>
            <w:shd w:fill="FFFFFF" w:color="auto" w:val="clear"/>
            <w:tcMar>
              <w:top w:type="dxa" w:w="30"/>
              <w:left w:type="dxa" w:w="80"/>
              <w:bottom w:type="dxa" w:w="30"/>
              <w:right w:type="dxa" w:w="80"/>
            </w:tcMar>
          </w:tcPr>
          <w:p>
            <w:pPr>
              <w:spacing w:after="0" w:before="0" w:line="220"/>
              <w:jc w:val="right"/>
            </w:pPr>
            <w:r>
              <w:rPr>
                <w:rFonts w:ascii="Calibri" w:cs="Calibri" w:eastAsia="Calibri" w:hAnsi="Calibri"/>
                <w:color w:val="000000"/>
                <w:sz w:val="17"/>
                <w:szCs w:val="17"/>
              </w:rPr>
              <w:t xml:space="preserve">−1.96 M</w:t>
            </w:r>
          </w:p>
        </w:tc>
        <w:tc>
          <w:tcPr>
            <w:tcW w:type="dxa" w:w="2721"/>
            <w:shd w:fill="FCE4E4" w:color="auto" w:val="clear"/>
            <w:tcMar>
              <w:top w:type="dxa" w:w="30"/>
              <w:left w:type="dxa" w:w="80"/>
              <w:bottom w:type="dxa" w:w="30"/>
              <w:right w:type="dxa" w:w="80"/>
            </w:tcMar>
          </w:tcPr>
          <w:p>
            <w:pPr>
              <w:spacing w:after="0" w:before="0" w:line="220"/>
              <w:jc w:val="right"/>
            </w:pPr>
            <w:r>
              <w:rPr>
                <w:rFonts w:ascii="Calibri" w:cs="Calibri" w:eastAsia="Calibri" w:hAnsi="Calibri"/>
                <w:b/>
                <w:bCs/>
                <w:color w:val="000000"/>
                <w:sz w:val="17"/>
                <w:szCs w:val="17"/>
              </w:rPr>
              <w:t xml:space="preserve">−13.9 M</w:t>
            </w:r>
          </w:p>
        </w:tc>
      </w:tr>
    </w:tbl>
    <w:p>
      <w:pPr>
        <w:spacing w:after="60" w:before="0" w:line="120"/>
      </w:pPr>
      <w:r>
        <w:rPr>
          <w:rFonts w:ascii="Calibri" w:cs="Calibri" w:eastAsia="Calibri" w:hAnsi="Calibri"/>
          <w:color w:val="000000"/>
          <w:sz w:val="20"/>
          <w:szCs w:val="20"/>
        </w:rPr>
        <w:t xml:space="preserve"/>
      </w:r>
    </w:p>
    <w:p>
      <w:pPr>
        <w:spacing w:after="110" w:before="0" w:line="250"/>
      </w:pPr>
      <w:r>
        <w:rPr>
          <w:rFonts w:ascii="Calibri" w:cs="Calibri" w:eastAsia="Calibri" w:hAnsi="Calibri"/>
          <w:b/>
          <w:bCs/>
          <w:color w:val="000000"/>
          <w:sz w:val="20"/>
          <w:szCs w:val="20"/>
        </w:rPr>
        <w:t xml:space="preserve">Our recommendation is a conditional go: fund the test work, not the plant.</w:t>
      </w:r>
      <w:r>
        <w:rPr>
          <w:rFonts w:ascii="Calibri" w:cs="Calibri" w:eastAsia="Calibri" w:hAnsi="Calibri"/>
          <w:color w:val="000000"/>
          <w:sz w:val="20"/>
          <w:szCs w:val="20"/>
        </w:rPr>
        <w:t xml:space="preserve"> On US$4.1 M of capital the upside is genuine — a 6.5-month payback — but it rests entirely on freed capacity being refilled, and the published record points the other way. Two gates should close first: a constraint audit confirming that comminution rather than the roaster or ore supply binds the converted line, and a bulk sensor test on 2–5 t of scats, since a 1.8× mass contrast is not evidence of a detectable sensor contrast. We would also scope dilution rejection on coarse ROM into that campaign, where the heterogeneity is considerably better.</w:t>
      </w:r>
    </w:p>
    <w:p>
      <w:pPr>
        <w:spacing w:after="110" w:before="0" w:line="250"/>
      </w:pPr>
      <w:r>
        <w:rPr>
          <w:rFonts w:ascii="Calibri" w:cs="Calibri" w:eastAsia="Calibri" w:hAnsi="Calibri"/>
          <w:color w:val="000000"/>
          <w:sz w:val="20"/>
          <w:szCs w:val="20"/>
        </w:rPr>
        <w:t xml:space="preserve">Absent site data, several model inputs remain placeholders — flagged on the Dashboard — and the dilution assumption in particular drives the result. I would welcome the chance to refine these with your metallurgical team and to walk through the model.</w:t>
      </w:r>
    </w:p>
    <w:p>
      <w:pPr>
        <w:spacing w:after="190" w:before="30" w:line="250"/>
      </w:pPr>
      <w:r>
        <w:rPr>
          <w:rFonts w:ascii="Calibri" w:cs="Calibri" w:eastAsia="Calibri" w:hAnsi="Calibri"/>
          <w:color w:val="000000"/>
          <w:sz w:val="20"/>
          <w:szCs w:val="20"/>
        </w:rPr>
        <w:t xml:space="preserve">Yours sincerely,</w:t>
      </w:r>
    </w:p>
    <w:p>
      <w:pPr>
        <w:spacing w:after="0" w:before="0" w:line="240"/>
      </w:pPr>
      <w:r>
        <w:rPr>
          <w:rFonts w:ascii="Calibri" w:cs="Calibri" w:eastAsia="Calibri" w:hAnsi="Calibri"/>
          <w:b/>
          <w:bCs/>
          <w:color w:val="000000"/>
          <w:sz w:val="20"/>
          <w:szCs w:val="20"/>
        </w:rPr>
        <w:t xml:space="preserve">[Your Name]</w:t>
      </w:r>
    </w:p>
    <w:p>
      <w:pPr>
        <w:spacing w:after="150" w:before="0" w:line="240"/>
      </w:pPr>
      <w:r>
        <w:rPr>
          <w:rFonts w:ascii="Calibri" w:cs="Calibri" w:eastAsia="Calibri" w:hAnsi="Calibri"/>
          <w:color w:val="404040"/>
          <w:sz w:val="18"/>
          <w:szCs w:val="18"/>
        </w:rPr>
        <w:t xml:space="preserve">[Title]</w:t>
      </w:r>
    </w:p>
    <w:p>
      <w:pPr>
        <w:pBdr>
          <w:bottom w:val="single" w:color="AEBBD0" w:sz="4"/>
        </w:pBdr>
        <w:spacing w:after="80" w:before="0"/>
      </w:pPr>
      <w:r>
        <w:rPr>
          <w:rFonts w:ascii="Calibri" w:cs="Calibri" w:eastAsia="Calibri" w:hAnsi="Calibri"/>
          <w:color w:val="000000"/>
          <w:sz w:val="20"/>
          <w:szCs w:val="20"/>
        </w:rPr>
        <w:t xml:space="preserve"/>
      </w:r>
    </w:p>
    <w:p>
      <w:pPr>
        <w:spacing w:after="0" w:before="0" w:line="250"/>
      </w:pPr>
      <w:r>
        <w:rPr>
          <w:rFonts w:ascii="Calibri" w:cs="Calibri" w:eastAsia="Calibri" w:hAnsi="Calibri"/>
          <w:b/>
          <w:bCs/>
          <w:color w:val="000000"/>
          <w:sz w:val="17"/>
          <w:szCs w:val="17"/>
        </w:rPr>
        <w:t xml:space="preserve">Enclosures:  </w:t>
      </w:r>
      <w:r>
        <w:rPr>
          <w:rFonts w:ascii="Calibri" w:cs="Calibri" w:eastAsia="Calibri" w:hAnsi="Calibri"/>
          <w:color w:val="000000"/>
          <w:sz w:val="17"/>
          <w:szCs w:val="17"/>
        </w:rPr>
        <w:t xml:space="preserve">two-page decision brief;  Syama_Pebble_Sorting_Simulation.xlsx</w:t>
      </w:r>
    </w:p>
    <w:sectPr>
      <w:pgSz w:w="12240" w:h="15840" w:orient="portrait"/>
      <w:pgMar w:top="680" w:right="1080" w:bottom="5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2026-08-05T09:26:34.502Z</dcterms:created>
  <dcterms:modified xsi:type="dcterms:W3CDTF">2026-08-05T09:26:34.503Z</dcterms:modified>
</cp:coreProperties>
</file>

<file path=docProps/custom.xml><?xml version="1.0" encoding="utf-8"?>
<Properties xmlns="http://schemas.openxmlformats.org/officeDocument/2006/custom-properties" xmlns:vt="http://schemas.openxmlformats.org/officeDocument/2006/docPropsVTypes"/>
</file>