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2FB2" w:rsidRPr="00064401" w:rsidRDefault="003D2FB2">
      <w:pPr>
        <w:rPr>
          <w:rFonts w:ascii="Arial" w:hAnsi="Arial" w:cs="Arial"/>
          <w:sz w:val="20"/>
          <w:szCs w:val="20"/>
        </w:rPr>
      </w:pPr>
    </w:p>
    <w:p w:rsidR="003D2FB2" w:rsidRPr="00064401" w:rsidRDefault="003D2FB2" w:rsidP="00BF5F8A">
      <w:pPr>
        <w:ind w:left="720" w:hanging="720"/>
        <w:rPr>
          <w:rFonts w:ascii="Arial" w:hAnsi="Arial" w:cs="Arial"/>
          <w:sz w:val="20"/>
          <w:szCs w:val="20"/>
        </w:rPr>
      </w:pPr>
    </w:p>
    <w:p w:rsidR="003D2FB2" w:rsidRPr="00064401" w:rsidRDefault="003D2FB2">
      <w:pPr>
        <w:rPr>
          <w:rFonts w:ascii="Arial" w:hAnsi="Arial" w:cs="Arial"/>
          <w:sz w:val="20"/>
          <w:szCs w:val="20"/>
        </w:rPr>
      </w:pPr>
    </w:p>
    <w:p w:rsidR="003D2FB2" w:rsidRPr="00064401" w:rsidRDefault="003D2FB2">
      <w:pPr>
        <w:rPr>
          <w:rFonts w:ascii="Arial" w:hAnsi="Arial" w:cs="Arial"/>
          <w:sz w:val="20"/>
          <w:szCs w:val="20"/>
        </w:rPr>
      </w:pPr>
    </w:p>
    <w:p w:rsidR="003D2FB2" w:rsidRPr="00064401" w:rsidRDefault="007557A4">
      <w:pPr>
        <w:jc w:val="center"/>
        <w:rPr>
          <w:rFonts w:ascii="Arial" w:hAnsi="Arial" w:cs="Arial"/>
          <w:sz w:val="20"/>
          <w:szCs w:val="20"/>
        </w:rPr>
      </w:pPr>
      <w:r w:rsidRPr="00064401">
        <w:rPr>
          <w:rFonts w:ascii="Arial" w:hAnsi="Arial" w:cs="Arial"/>
          <w:color w:val="505050"/>
          <w:sz w:val="20"/>
          <w:szCs w:val="20"/>
        </w:rPr>
        <w:t>Concurso Datos al Ecosistema 2026: IA para Colombia</w:t>
      </w:r>
    </w:p>
    <w:p w:rsidR="00724B9C" w:rsidRPr="00064401" w:rsidRDefault="00724B9C">
      <w:pPr>
        <w:jc w:val="center"/>
        <w:rPr>
          <w:rFonts w:ascii="Arial" w:hAnsi="Arial" w:cs="Arial"/>
          <w:b/>
          <w:color w:val="07255B"/>
          <w:sz w:val="20"/>
          <w:szCs w:val="20"/>
        </w:rPr>
      </w:pPr>
      <w:r w:rsidRPr="00064401">
        <w:rPr>
          <w:rFonts w:ascii="Arial" w:hAnsi="Arial" w:cs="Arial"/>
          <w:b/>
          <w:color w:val="07255B"/>
          <w:sz w:val="20"/>
          <w:szCs w:val="20"/>
        </w:rPr>
        <w:t>Sistema de Análisis de Contexto para la Toma de Decisiones Educativas</w:t>
      </w:r>
    </w:p>
    <w:p w:rsidR="00724B9C" w:rsidRPr="00064401" w:rsidRDefault="00724B9C">
      <w:pPr>
        <w:jc w:val="center"/>
        <w:rPr>
          <w:rFonts w:ascii="Arial" w:hAnsi="Arial" w:cs="Arial"/>
          <w:color w:val="0070C0"/>
          <w:sz w:val="20"/>
          <w:szCs w:val="20"/>
        </w:rPr>
      </w:pPr>
      <w:r w:rsidRPr="00064401">
        <w:rPr>
          <w:rFonts w:ascii="Arial" w:hAnsi="Arial" w:cs="Arial"/>
          <w:color w:val="0070C0"/>
          <w:sz w:val="20"/>
          <w:szCs w:val="20"/>
        </w:rPr>
        <w:t>Aplicación web para integrar datos abiertos, evidencia territorial y analítica institucional en decisiones curriculares</w:t>
      </w:r>
    </w:p>
    <w:p w:rsidR="003D2FB2" w:rsidRPr="00064401" w:rsidRDefault="007557A4">
      <w:pPr>
        <w:jc w:val="center"/>
        <w:rPr>
          <w:rFonts w:ascii="Arial" w:hAnsi="Arial" w:cs="Arial"/>
          <w:sz w:val="20"/>
          <w:szCs w:val="20"/>
        </w:rPr>
      </w:pPr>
      <w:r w:rsidRPr="00064401">
        <w:rPr>
          <w:rFonts w:ascii="Arial" w:hAnsi="Arial" w:cs="Arial"/>
          <w:b/>
          <w:color w:val="07255B"/>
          <w:sz w:val="20"/>
          <w:szCs w:val="20"/>
        </w:rPr>
        <w:t>Categoría: Innovación social | Reto: Educación | Nivel: Intermedio</w:t>
      </w:r>
    </w:p>
    <w:p w:rsidR="003D2FB2" w:rsidRPr="00064401" w:rsidRDefault="003D2FB2">
      <w:pPr>
        <w:rPr>
          <w:rFonts w:ascii="Arial" w:hAnsi="Arial" w:cs="Arial"/>
          <w:sz w:val="20"/>
          <w:szCs w:val="20"/>
        </w:rPr>
      </w:pPr>
    </w:p>
    <w:p w:rsidR="003D2FB2" w:rsidRPr="00064401" w:rsidRDefault="003D2FB2">
      <w:pPr>
        <w:rPr>
          <w:rFonts w:ascii="Arial" w:hAnsi="Arial" w:cs="Arial"/>
          <w:sz w:val="20"/>
          <w:szCs w:val="20"/>
        </w:rPr>
      </w:pPr>
    </w:p>
    <w:p w:rsidR="003D2FB2" w:rsidRPr="00064401" w:rsidRDefault="003D2FB2">
      <w:pPr>
        <w:rPr>
          <w:rFonts w:ascii="Arial" w:hAnsi="Arial" w:cs="Arial"/>
          <w:sz w:val="20"/>
          <w:szCs w:val="20"/>
        </w:rPr>
      </w:pPr>
    </w:p>
    <w:p w:rsidR="003D2FB2" w:rsidRPr="00064401" w:rsidRDefault="003D2FB2">
      <w:pPr>
        <w:rPr>
          <w:rFonts w:ascii="Arial" w:hAnsi="Arial" w:cs="Arial"/>
          <w:sz w:val="20"/>
          <w:szCs w:val="20"/>
        </w:rPr>
      </w:pPr>
    </w:p>
    <w:p w:rsidR="003D2FB2" w:rsidRPr="00064401" w:rsidRDefault="003D2FB2">
      <w:pPr>
        <w:rPr>
          <w:rFonts w:ascii="Arial" w:hAnsi="Arial" w:cs="Arial"/>
          <w:sz w:val="20"/>
          <w:szCs w:val="20"/>
        </w:rPr>
      </w:pPr>
    </w:p>
    <w:p w:rsidR="003D2FB2" w:rsidRPr="00064401" w:rsidRDefault="003D2FB2">
      <w:pPr>
        <w:rPr>
          <w:rFonts w:ascii="Arial" w:hAnsi="Arial" w:cs="Arial"/>
          <w:sz w:val="20"/>
          <w:szCs w:val="20"/>
        </w:rPr>
      </w:pPr>
    </w:p>
    <w:p w:rsidR="003D2FB2" w:rsidRPr="00064401" w:rsidRDefault="003D2FB2">
      <w:pPr>
        <w:rPr>
          <w:rFonts w:ascii="Arial" w:hAnsi="Arial" w:cs="Arial"/>
          <w:sz w:val="20"/>
          <w:szCs w:val="20"/>
        </w:rPr>
      </w:pPr>
    </w:p>
    <w:p w:rsidR="003D2FB2" w:rsidRPr="00064401" w:rsidRDefault="007557A4">
      <w:pPr>
        <w:jc w:val="center"/>
        <w:rPr>
          <w:rFonts w:ascii="Arial" w:hAnsi="Arial" w:cs="Arial"/>
          <w:sz w:val="20"/>
          <w:szCs w:val="20"/>
        </w:rPr>
      </w:pPr>
      <w:r w:rsidRPr="00064401">
        <w:rPr>
          <w:rFonts w:ascii="Arial" w:hAnsi="Arial" w:cs="Arial"/>
          <w:b/>
          <w:sz w:val="20"/>
          <w:szCs w:val="20"/>
        </w:rPr>
        <w:t>Grupo 195 | Jefferson Cuastusa, Ximena Molano y Claudia Milena Muñoz</w:t>
      </w:r>
    </w:p>
    <w:p w:rsidR="003D2FB2" w:rsidRPr="00064401" w:rsidRDefault="007557A4">
      <w:pPr>
        <w:jc w:val="center"/>
        <w:rPr>
          <w:rFonts w:ascii="Arial" w:hAnsi="Arial" w:cs="Arial"/>
          <w:sz w:val="20"/>
          <w:szCs w:val="20"/>
        </w:rPr>
      </w:pPr>
      <w:r w:rsidRPr="00064401">
        <w:rPr>
          <w:rFonts w:ascii="Arial" w:hAnsi="Arial" w:cs="Arial"/>
          <w:sz w:val="20"/>
          <w:szCs w:val="20"/>
        </w:rPr>
        <w:t>Documento técnico ejecutivo para jurados de innovación</w:t>
      </w:r>
    </w:p>
    <w:p w:rsidR="003D2FB2" w:rsidRPr="00064401" w:rsidRDefault="007557A4">
      <w:pPr>
        <w:jc w:val="center"/>
        <w:rPr>
          <w:rFonts w:ascii="Arial" w:hAnsi="Arial" w:cs="Arial"/>
          <w:sz w:val="20"/>
          <w:szCs w:val="20"/>
        </w:rPr>
      </w:pPr>
      <w:r w:rsidRPr="00064401">
        <w:rPr>
          <w:rFonts w:ascii="Arial" w:hAnsi="Arial" w:cs="Arial"/>
          <w:sz w:val="20"/>
          <w:szCs w:val="20"/>
        </w:rPr>
        <w:t>Julio de 2026</w:t>
      </w:r>
    </w:p>
    <w:p w:rsidR="003D2FB2" w:rsidRPr="00064401" w:rsidRDefault="007557A4">
      <w:pPr>
        <w:rPr>
          <w:rFonts w:ascii="Arial" w:hAnsi="Arial" w:cs="Arial"/>
          <w:sz w:val="20"/>
          <w:szCs w:val="20"/>
        </w:rPr>
      </w:pPr>
      <w:r w:rsidRPr="00064401">
        <w:rPr>
          <w:rFonts w:ascii="Arial" w:hAnsi="Arial" w:cs="Arial"/>
          <w:sz w:val="20"/>
          <w:szCs w:val="20"/>
        </w:rPr>
        <w:br w:type="page"/>
      </w:r>
    </w:p>
    <w:p w:rsidR="003D2FB2" w:rsidRPr="00064401" w:rsidRDefault="007557A4">
      <w:pPr>
        <w:pStyle w:val="Ttulo1"/>
        <w:rPr>
          <w:rFonts w:ascii="Arial" w:hAnsi="Arial" w:cs="Arial"/>
          <w:sz w:val="20"/>
          <w:szCs w:val="20"/>
        </w:rPr>
      </w:pPr>
      <w:r w:rsidRPr="00064401">
        <w:rPr>
          <w:rFonts w:ascii="Arial" w:hAnsi="Arial" w:cs="Arial"/>
          <w:sz w:val="20"/>
          <w:szCs w:val="20"/>
        </w:rPr>
        <w:lastRenderedPageBreak/>
        <w:t>0. Ficha técnica y tabla de contenido</w:t>
      </w:r>
    </w:p>
    <w:tbl>
      <w:tblPr>
        <w:tblW w:w="0" w:type="auto"/>
        <w:jc w:val="center"/>
        <w:tblLook w:val="04A0" w:firstRow="1" w:lastRow="0" w:firstColumn="1" w:lastColumn="0" w:noHBand="0" w:noVBand="1"/>
      </w:tblPr>
      <w:tblGrid>
        <w:gridCol w:w="3085"/>
        <w:gridCol w:w="6535"/>
      </w:tblGrid>
      <w:tr w:rsidR="003D2FB2" w:rsidRPr="00064401" w:rsidTr="000862AE">
        <w:trPr>
          <w:tblHeader/>
          <w:jc w:val="center"/>
        </w:trPr>
        <w:tc>
          <w:tcPr>
            <w:tcW w:w="3085"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Campo</w:t>
            </w:r>
          </w:p>
        </w:tc>
        <w:tc>
          <w:tcPr>
            <w:tcW w:w="6535"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Descripción</w:t>
            </w:r>
          </w:p>
        </w:tc>
      </w:tr>
      <w:tr w:rsidR="003D2FB2" w:rsidRPr="00064401" w:rsidTr="000862AE">
        <w:trPr>
          <w:jc w:val="center"/>
        </w:trPr>
        <w:tc>
          <w:tcPr>
            <w:tcW w:w="308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Nombre de la solución</w:t>
            </w:r>
          </w:p>
        </w:tc>
        <w:tc>
          <w:tcPr>
            <w:tcW w:w="6535" w:type="dxa"/>
            <w:tcBorders>
              <w:top w:val="single" w:sz="4" w:space="0" w:color="D9E2F3"/>
              <w:left w:val="single" w:sz="4" w:space="0" w:color="D9E2F3"/>
              <w:bottom w:val="single" w:sz="4" w:space="0" w:color="D9E2F3"/>
              <w:right w:val="single" w:sz="4" w:space="0" w:color="D9E2F3"/>
            </w:tcBorders>
          </w:tcPr>
          <w:p w:rsidR="00D16F92" w:rsidRPr="00064401" w:rsidRDefault="007557A4">
            <w:pPr>
              <w:rPr>
                <w:rFonts w:ascii="Arial" w:hAnsi="Arial" w:cs="Arial"/>
                <w:sz w:val="20"/>
                <w:szCs w:val="20"/>
              </w:rPr>
            </w:pPr>
            <w:r w:rsidRPr="00064401">
              <w:rPr>
                <w:rFonts w:ascii="Arial" w:hAnsi="Arial" w:cs="Arial"/>
                <w:sz w:val="20"/>
                <w:szCs w:val="20"/>
              </w:rPr>
              <w:t>Sistema de Análisis de Contexto para la Toma de Decisiones Educativas</w:t>
            </w:r>
          </w:p>
        </w:tc>
      </w:tr>
      <w:tr w:rsidR="003D2FB2" w:rsidRPr="00064401" w:rsidTr="000862AE">
        <w:trPr>
          <w:jc w:val="center"/>
        </w:trPr>
        <w:tc>
          <w:tcPr>
            <w:tcW w:w="308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Categoría de participación</w:t>
            </w:r>
          </w:p>
        </w:tc>
        <w:tc>
          <w:tcPr>
            <w:tcW w:w="653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Innovación social. Aplicaciones que mejoran la calidad de vida en educación mediante uso de datos abiertos e inteligencia artificial.</w:t>
            </w:r>
          </w:p>
        </w:tc>
      </w:tr>
      <w:tr w:rsidR="003D2FB2" w:rsidRPr="00064401" w:rsidTr="000862AE">
        <w:trPr>
          <w:jc w:val="center"/>
        </w:trPr>
        <w:tc>
          <w:tcPr>
            <w:tcW w:w="308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Reto abordado</w:t>
            </w:r>
          </w:p>
        </w:tc>
        <w:tc>
          <w:tcPr>
            <w:tcW w:w="65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Educación: desarrollar análisis estadísticos y de aprendizaje automático (Machine Learning) para comprender la deserción universitaria.</w:t>
            </w:r>
          </w:p>
        </w:tc>
      </w:tr>
      <w:tr w:rsidR="003D2FB2" w:rsidRPr="00064401" w:rsidTr="000862AE">
        <w:trPr>
          <w:jc w:val="center"/>
        </w:trPr>
        <w:tc>
          <w:tcPr>
            <w:tcW w:w="308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Alcance ajustado</w:t>
            </w:r>
          </w:p>
        </w:tc>
        <w:tc>
          <w:tcPr>
            <w:tcW w:w="653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D133AB">
            <w:pPr>
              <w:rPr>
                <w:rFonts w:ascii="Arial" w:hAnsi="Arial" w:cs="Arial"/>
                <w:sz w:val="20"/>
                <w:szCs w:val="20"/>
              </w:rPr>
            </w:pPr>
            <w:r w:rsidRPr="00064401">
              <w:rPr>
                <w:rFonts w:ascii="Arial" w:hAnsi="Arial" w:cs="Arial"/>
                <w:sz w:val="20"/>
                <w:szCs w:val="20"/>
              </w:rPr>
              <w:t>Aplicación web para la elaboración de estudios de contexto que apoyan la toma de decisiones sobre creación, renovación, modificación y actualización de programas académicos, mediante la integración de datos abiertos, evidencia territorial y analítica institucional. La solución incorpora la deserción como variable crítica para valorar condiciones de pertinencia, permanencia, trayectoria formativa y sostenibilidad de la oferta educativa.</w:t>
            </w:r>
          </w:p>
        </w:tc>
      </w:tr>
      <w:tr w:rsidR="003D2FB2" w:rsidRPr="00064401" w:rsidTr="000862AE">
        <w:trPr>
          <w:jc w:val="center"/>
        </w:trPr>
        <w:tc>
          <w:tcPr>
            <w:tcW w:w="308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Producto entregable</w:t>
            </w:r>
          </w:p>
        </w:tc>
        <w:tc>
          <w:tcPr>
            <w:tcW w:w="65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Aplicación web desplegada en Hugging Face Spaces.</w:t>
            </w:r>
          </w:p>
        </w:tc>
      </w:tr>
      <w:tr w:rsidR="003D2FB2" w:rsidRPr="00064401" w:rsidTr="000862AE">
        <w:trPr>
          <w:jc w:val="center"/>
        </w:trPr>
        <w:tc>
          <w:tcPr>
            <w:tcW w:w="308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Usuarios finales</w:t>
            </w:r>
          </w:p>
        </w:tc>
        <w:tc>
          <w:tcPr>
            <w:tcW w:w="653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Directivos de IES, oficinas de planeación, aseguramiento de la calidad, comités curriculares, MEN, secretarías de educación y estudiantes.</w:t>
            </w:r>
          </w:p>
        </w:tc>
      </w:tr>
      <w:tr w:rsidR="003D2FB2" w:rsidRPr="00064401" w:rsidTr="000862AE">
        <w:trPr>
          <w:jc w:val="center"/>
        </w:trPr>
        <w:tc>
          <w:tcPr>
            <w:tcW w:w="308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Equipo</w:t>
            </w:r>
          </w:p>
        </w:tc>
        <w:tc>
          <w:tcPr>
            <w:tcW w:w="65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Grupo 195: Jefferson Cuastusa, Ximena Molano y Claudia Milena Muñoz.</w:t>
            </w:r>
          </w:p>
        </w:tc>
      </w:tr>
    </w:tbl>
    <w:p w:rsidR="003D2FB2" w:rsidRPr="00064401" w:rsidRDefault="007557A4">
      <w:pPr>
        <w:rPr>
          <w:rFonts w:ascii="Arial" w:hAnsi="Arial" w:cs="Arial"/>
          <w:sz w:val="20"/>
          <w:szCs w:val="20"/>
        </w:rPr>
      </w:pPr>
      <w:r w:rsidRPr="00064401">
        <w:rPr>
          <w:rFonts w:ascii="Arial" w:hAnsi="Arial" w:cs="Arial"/>
          <w:b/>
          <w:sz w:val="20"/>
          <w:szCs w:val="20"/>
        </w:rPr>
        <w:t xml:space="preserve">Enlace de demostración: </w:t>
      </w:r>
      <w:hyperlink r:id="rId8">
        <w:r w:rsidR="003D2FB2" w:rsidRPr="00064401">
          <w:rPr>
            <w:rFonts w:ascii="Arial" w:hAnsi="Arial" w:cs="Arial"/>
            <w:color w:val="0563C1"/>
            <w:sz w:val="20"/>
            <w:szCs w:val="20"/>
            <w:u w:val="single"/>
          </w:rPr>
          <w:t>https://jeffersonca-estudio-contexto.hf.space/</w:t>
        </w:r>
      </w:hyperlink>
    </w:p>
    <w:p w:rsidR="003D2FB2" w:rsidRPr="00064401" w:rsidRDefault="007557A4">
      <w:pPr>
        <w:pStyle w:val="Ttulo2"/>
        <w:rPr>
          <w:rFonts w:ascii="Arial" w:hAnsi="Arial" w:cs="Arial"/>
          <w:sz w:val="20"/>
          <w:szCs w:val="20"/>
        </w:rPr>
      </w:pPr>
      <w:r w:rsidRPr="00064401">
        <w:rPr>
          <w:rFonts w:ascii="Arial" w:hAnsi="Arial" w:cs="Arial"/>
          <w:sz w:val="20"/>
          <w:szCs w:val="20"/>
        </w:rPr>
        <w:t>Tabla de contenido</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1. Resumen ejecutivo: estudios de contexto, permanencia y pertinencia educativa</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2. Planteamiento del problema: deserción y decisiones curriculares sin contexto integrado</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3. Vínculo analítico entre estudios de contexto, permanencia y deserción</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4. Conjunto de datos abiertos y variables de análisis</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5. Propuesta de valor</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6. Metodología, arquitectura y tecnología</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7. Componentes de inteligencia artificial y validación</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8. Resultados, hallazgos e impacto esperado</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9. Evidencia de demostración, equipo y gobernanza</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10. Riesgos, límites y sostenibilidad</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11. Referencias</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Anexo A. Ficha de trazabilidad de datos</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Anexo B. Matriz técnica de decisión para pertinencia y permanencia</w:t>
      </w:r>
    </w:p>
    <w:p w:rsidR="00B65FE3" w:rsidRDefault="007557A4">
      <w:pPr>
        <w:pStyle w:val="Listaconvietas"/>
        <w:jc w:val="both"/>
        <w:rPr>
          <w:rFonts w:ascii="Arial" w:hAnsi="Arial" w:cs="Arial"/>
          <w:sz w:val="20"/>
          <w:szCs w:val="20"/>
        </w:rPr>
      </w:pPr>
      <w:r w:rsidRPr="00064401">
        <w:rPr>
          <w:rFonts w:ascii="Arial" w:hAnsi="Arial" w:cs="Arial"/>
          <w:sz w:val="20"/>
          <w:szCs w:val="20"/>
        </w:rPr>
        <w:t>Anexo C. Ruta de evolución del componente de deserción</w:t>
      </w:r>
    </w:p>
    <w:p w:rsidR="00B65FE3" w:rsidRDefault="00B65FE3">
      <w:pPr>
        <w:spacing w:after="200" w:line="276" w:lineRule="auto"/>
        <w:rPr>
          <w:rFonts w:ascii="Arial" w:hAnsi="Arial" w:cs="Arial"/>
          <w:sz w:val="20"/>
          <w:szCs w:val="20"/>
        </w:rPr>
      </w:pPr>
      <w:r>
        <w:rPr>
          <w:rFonts w:ascii="Arial" w:hAnsi="Arial" w:cs="Arial"/>
          <w:sz w:val="20"/>
          <w:szCs w:val="20"/>
        </w:rPr>
        <w:br w:type="page"/>
      </w:r>
    </w:p>
    <w:p w:rsidR="003D2FB2" w:rsidRPr="00064401" w:rsidRDefault="007557A4">
      <w:pPr>
        <w:pStyle w:val="Ttulo1"/>
        <w:rPr>
          <w:rFonts w:ascii="Arial" w:hAnsi="Arial" w:cs="Arial"/>
          <w:sz w:val="20"/>
          <w:szCs w:val="20"/>
        </w:rPr>
      </w:pPr>
      <w:r w:rsidRPr="00064401">
        <w:rPr>
          <w:rFonts w:ascii="Arial" w:hAnsi="Arial" w:cs="Arial"/>
          <w:sz w:val="20"/>
          <w:szCs w:val="20"/>
        </w:rPr>
        <w:lastRenderedPageBreak/>
        <w:t>1. Resumen ejecutivo: estudios de contexto, permanencia y pertinencia educativa</w:t>
      </w:r>
    </w:p>
    <w:p w:rsidR="003D2FB2" w:rsidRPr="00064401" w:rsidRDefault="007557A4">
      <w:pPr>
        <w:jc w:val="both"/>
        <w:rPr>
          <w:rFonts w:ascii="Arial" w:hAnsi="Arial" w:cs="Arial"/>
          <w:sz w:val="20"/>
          <w:szCs w:val="20"/>
        </w:rPr>
      </w:pPr>
      <w:r w:rsidRPr="00064401">
        <w:rPr>
          <w:rFonts w:ascii="Arial" w:hAnsi="Arial" w:cs="Arial"/>
          <w:sz w:val="20"/>
          <w:szCs w:val="20"/>
        </w:rPr>
        <w:t>El Sistema de Análisis de Contexto para la Toma de Decisiones Educativas es una aplicación web de analítica institucional que integra datos abiertos, clasificaciones oficiales, indicadores de educación superior, señales del mercado laboral, variables territoriales y componentes de inteligencia artificial para orientar decisiones sobre oferta académica. Su identidad funcional es el estudio de contexto para la toma de decisiones; su aporte a la línea de innovación educativa del concurso se expresa en la comprensión de condiciones que pueden incidir en la permanencia estudiantil y en la deserción universitaria.</w:t>
      </w:r>
    </w:p>
    <w:p w:rsidR="003D2FB2" w:rsidRPr="00064401" w:rsidRDefault="007557A4">
      <w:pPr>
        <w:jc w:val="both"/>
        <w:rPr>
          <w:rFonts w:ascii="Arial" w:hAnsi="Arial" w:cs="Arial"/>
          <w:sz w:val="20"/>
          <w:szCs w:val="20"/>
        </w:rPr>
      </w:pPr>
      <w:r w:rsidRPr="00064401">
        <w:rPr>
          <w:rFonts w:ascii="Arial" w:hAnsi="Arial" w:cs="Arial"/>
          <w:sz w:val="20"/>
          <w:szCs w:val="20"/>
        </w:rPr>
        <w:t>La deserción se aborda como una variable crítica de contexto, sostenibilidad y pertinencia. La herramienta no se presenta como un predictor individual de abandono, sino como un sistema de apoyo a la decisión que permite analizar si la creación, renovación, modificación o actualización de un programa académico se encuentra alineada con necesidades de la población, trayectorias formativas viables, condiciones territoriales, demanda laboral, modalidad de formación, competencias requeridas y señales agregadas de permanencia.</w:t>
      </w:r>
    </w:p>
    <w:p w:rsidR="003D2FB2" w:rsidRPr="00064401" w:rsidRDefault="007557A4">
      <w:pPr>
        <w:jc w:val="both"/>
        <w:rPr>
          <w:rFonts w:ascii="Arial" w:hAnsi="Arial" w:cs="Arial"/>
          <w:sz w:val="20"/>
          <w:szCs w:val="20"/>
        </w:rPr>
      </w:pPr>
      <w:r w:rsidRPr="00064401">
        <w:rPr>
          <w:rFonts w:ascii="Arial" w:hAnsi="Arial" w:cs="Arial"/>
          <w:sz w:val="20"/>
          <w:szCs w:val="20"/>
        </w:rPr>
        <w:t>La plataforma transforma información dispersa en un repositorio analítico de decisión. El sistema organiza la evidencia por campos amplios de conocimiento, núcleos básicos de conocimiento, niveles de formación, territorio, ocupaciones, competencias, demanda laboral, conectividad y desempeño educativo. Esta arquitectura permite que directivos, equipos curriculares y unidades de aseguramiento de la calidad pasen de diagnósticos fragmentados a síntesis evaluativas comparables, trazables y accionables.</w:t>
      </w:r>
    </w:p>
    <w:p w:rsidR="003D2FB2" w:rsidRPr="00064401" w:rsidRDefault="007557A4">
      <w:pPr>
        <w:jc w:val="both"/>
        <w:rPr>
          <w:rFonts w:ascii="Arial" w:hAnsi="Arial" w:cs="Arial"/>
          <w:sz w:val="20"/>
          <w:szCs w:val="20"/>
        </w:rPr>
      </w:pPr>
      <w:r w:rsidRPr="00064401">
        <w:rPr>
          <w:rFonts w:ascii="Arial" w:hAnsi="Arial" w:cs="Arial"/>
          <w:sz w:val="20"/>
          <w:szCs w:val="20"/>
        </w:rPr>
        <w:t xml:space="preserve">La propuesta se ubica en el nivel intermedio porque integra múltiples fuentes oficiales y abiertas, aplica procesos de limpieza, normalización y transformación, implementa indicadores cuantitativos derivados, incorpora búsqueda semántica con embeddings multilingües, recuperación aumentada con datos estructurados y generación asistida de informes mediante modelos de lenguaje. El valor social de la solución consiste en fortalecer decisiones institucionales que favorezcan una oferta académica pertinente, viable y conectada con las condiciones reales de los estudiantes y los territorios. De acuerdo con los criterios del concurso, el nivel intermedio exige la </w:t>
      </w:r>
      <w:r w:rsidR="00BF5F8A" w:rsidRPr="00064401">
        <w:rPr>
          <w:rFonts w:ascii="Arial" w:hAnsi="Arial" w:cs="Arial"/>
          <w:sz w:val="20"/>
          <w:szCs w:val="20"/>
        </w:rPr>
        <w:t>articulación</w:t>
      </w:r>
      <w:r w:rsidRPr="00064401">
        <w:rPr>
          <w:rFonts w:ascii="Arial" w:hAnsi="Arial" w:cs="Arial"/>
          <w:sz w:val="20"/>
          <w:szCs w:val="20"/>
        </w:rPr>
        <w:t xml:space="preserve"> de </w:t>
      </w:r>
      <w:r w:rsidR="00BF5F8A" w:rsidRPr="00064401">
        <w:rPr>
          <w:rFonts w:ascii="Arial" w:hAnsi="Arial" w:cs="Arial"/>
          <w:sz w:val="20"/>
          <w:szCs w:val="20"/>
        </w:rPr>
        <w:t>múltiples</w:t>
      </w:r>
      <w:r w:rsidRPr="00064401">
        <w:rPr>
          <w:rFonts w:ascii="Arial" w:hAnsi="Arial" w:cs="Arial"/>
          <w:sz w:val="20"/>
          <w:szCs w:val="20"/>
        </w:rPr>
        <w:t xml:space="preserve"> fuentes de datos, la </w:t>
      </w:r>
      <w:r w:rsidR="00BF5F8A" w:rsidRPr="00064401">
        <w:rPr>
          <w:rFonts w:ascii="Arial" w:hAnsi="Arial" w:cs="Arial"/>
          <w:sz w:val="20"/>
          <w:szCs w:val="20"/>
        </w:rPr>
        <w:t>aplicación</w:t>
      </w:r>
      <w:r w:rsidRPr="00064401">
        <w:rPr>
          <w:rFonts w:ascii="Arial" w:hAnsi="Arial" w:cs="Arial"/>
          <w:sz w:val="20"/>
          <w:szCs w:val="20"/>
        </w:rPr>
        <w:t xml:space="preserve"> de procesos de limpieza y </w:t>
      </w:r>
      <w:r w:rsidR="00BF5F8A" w:rsidRPr="00064401">
        <w:rPr>
          <w:rFonts w:ascii="Arial" w:hAnsi="Arial" w:cs="Arial"/>
          <w:sz w:val="20"/>
          <w:szCs w:val="20"/>
        </w:rPr>
        <w:t>transformación</w:t>
      </w:r>
      <w:r w:rsidRPr="00064401">
        <w:rPr>
          <w:rFonts w:ascii="Arial" w:hAnsi="Arial" w:cs="Arial"/>
          <w:sz w:val="20"/>
          <w:szCs w:val="20"/>
        </w:rPr>
        <w:t xml:space="preserve">, y la </w:t>
      </w:r>
      <w:r w:rsidR="00BF5F8A" w:rsidRPr="00064401">
        <w:rPr>
          <w:rFonts w:ascii="Arial" w:hAnsi="Arial" w:cs="Arial"/>
          <w:sz w:val="20"/>
          <w:szCs w:val="20"/>
        </w:rPr>
        <w:t>incorporación</w:t>
      </w:r>
      <w:r w:rsidRPr="00064401">
        <w:rPr>
          <w:rFonts w:ascii="Arial" w:hAnsi="Arial" w:cs="Arial"/>
          <w:sz w:val="20"/>
          <w:szCs w:val="20"/>
        </w:rPr>
        <w:t xml:space="preserve"> de al menos un componente de inteligencia artificial, requisitos que la </w:t>
      </w:r>
      <w:r w:rsidR="00BF5F8A" w:rsidRPr="00064401">
        <w:rPr>
          <w:rFonts w:ascii="Arial" w:hAnsi="Arial" w:cs="Arial"/>
          <w:sz w:val="20"/>
          <w:szCs w:val="20"/>
        </w:rPr>
        <w:t>solución</w:t>
      </w:r>
      <w:r w:rsidRPr="00064401">
        <w:rPr>
          <w:rFonts w:ascii="Arial" w:hAnsi="Arial" w:cs="Arial"/>
          <w:sz w:val="20"/>
          <w:szCs w:val="20"/>
        </w:rPr>
        <w:t xml:space="preserve"> satisface en cada una de sus dimensiones.</w:t>
      </w:r>
    </w:p>
    <w:p w:rsidR="003D2FB2" w:rsidRPr="00064401" w:rsidRDefault="007557A4">
      <w:pPr>
        <w:pStyle w:val="Ttulo2"/>
        <w:rPr>
          <w:rFonts w:ascii="Arial" w:hAnsi="Arial" w:cs="Arial"/>
          <w:sz w:val="20"/>
          <w:szCs w:val="20"/>
        </w:rPr>
      </w:pPr>
      <w:r w:rsidRPr="00064401">
        <w:rPr>
          <w:rFonts w:ascii="Arial" w:hAnsi="Arial" w:cs="Arial"/>
          <w:sz w:val="20"/>
          <w:szCs w:val="20"/>
        </w:rPr>
        <w:t>Objetivo general</w:t>
      </w:r>
    </w:p>
    <w:p w:rsidR="003D2FB2" w:rsidRPr="00064401" w:rsidRDefault="007557A4">
      <w:pPr>
        <w:jc w:val="both"/>
        <w:rPr>
          <w:rFonts w:ascii="Arial" w:hAnsi="Arial" w:cs="Arial"/>
          <w:sz w:val="20"/>
          <w:szCs w:val="20"/>
        </w:rPr>
      </w:pPr>
      <w:r w:rsidRPr="00064401">
        <w:rPr>
          <w:rFonts w:ascii="Arial" w:hAnsi="Arial" w:cs="Arial"/>
          <w:sz w:val="20"/>
          <w:szCs w:val="20"/>
        </w:rPr>
        <w:t xml:space="preserve">Implementar una aplicación web que integre datos abiertos educativos, laborales y territoriales para producir estudios de contexto, indicadores de pertinencia y recomendaciones accionables sobre oferta académica, incorporando la deserción como variable </w:t>
      </w:r>
      <w:r w:rsidR="00B65FE3">
        <w:rPr>
          <w:rFonts w:ascii="Arial" w:hAnsi="Arial" w:cs="Arial"/>
          <w:sz w:val="20"/>
          <w:szCs w:val="20"/>
        </w:rPr>
        <w:t xml:space="preserve">que permita </w:t>
      </w:r>
      <w:r w:rsidRPr="00064401">
        <w:rPr>
          <w:rFonts w:ascii="Arial" w:hAnsi="Arial" w:cs="Arial"/>
          <w:sz w:val="20"/>
          <w:szCs w:val="20"/>
        </w:rPr>
        <w:t xml:space="preserve">comprender </w:t>
      </w:r>
      <w:r w:rsidR="00B65FE3">
        <w:rPr>
          <w:rFonts w:ascii="Arial" w:hAnsi="Arial" w:cs="Arial"/>
          <w:sz w:val="20"/>
          <w:szCs w:val="20"/>
        </w:rPr>
        <w:t xml:space="preserve">las </w:t>
      </w:r>
      <w:r w:rsidRPr="00064401">
        <w:rPr>
          <w:rFonts w:ascii="Arial" w:hAnsi="Arial" w:cs="Arial"/>
          <w:sz w:val="20"/>
          <w:szCs w:val="20"/>
        </w:rPr>
        <w:t>condiciones de permanencia, sostenibilidad y toma de decisiones curriculares.</w:t>
      </w:r>
    </w:p>
    <w:p w:rsidR="003D2FB2" w:rsidRPr="00064401" w:rsidRDefault="007557A4">
      <w:pPr>
        <w:pStyle w:val="Ttulo2"/>
        <w:rPr>
          <w:rFonts w:ascii="Arial" w:hAnsi="Arial" w:cs="Arial"/>
          <w:sz w:val="20"/>
          <w:szCs w:val="20"/>
        </w:rPr>
      </w:pPr>
      <w:r w:rsidRPr="00064401">
        <w:rPr>
          <w:rFonts w:ascii="Arial" w:hAnsi="Arial" w:cs="Arial"/>
          <w:sz w:val="20"/>
          <w:szCs w:val="20"/>
        </w:rPr>
        <w:t>Objetivos específicos</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Integrar conjuntos de datos oficiales y abiertos relacionados con oferta académica, matrícula, deserción, graduación, tránsito, desempeño, ocupaciones, vacantes, competencias y conectividad.</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Normalizar los datos mediante CINE-F, NBC, CUOC, CIIU, MNC y DIVIPOLA para habilitar cruces comparables entre educación, trabajo y territorio.</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Generar indicadores de pertinencia académica, laboral, territorial y global, incluyendo HHI, CAGR, ratio de absorción laboral, índice de conectividad y puntaje final de decisión.</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Producir reportes de contexto y recomendaciones institucionales trazables, auditables y comprensibles para usuarios directivos, oficinas de planeación, aseguramiento de la calidad y comités curriculares.</w:t>
      </w:r>
    </w:p>
    <w:p w:rsidR="003D2FB2" w:rsidRPr="00064401" w:rsidRDefault="007557A4">
      <w:pPr>
        <w:pStyle w:val="Ttulo1"/>
        <w:rPr>
          <w:rFonts w:ascii="Arial" w:hAnsi="Arial" w:cs="Arial"/>
          <w:sz w:val="20"/>
          <w:szCs w:val="20"/>
        </w:rPr>
      </w:pPr>
      <w:r w:rsidRPr="00064401">
        <w:rPr>
          <w:rFonts w:ascii="Arial" w:hAnsi="Arial" w:cs="Arial"/>
          <w:sz w:val="20"/>
          <w:szCs w:val="20"/>
        </w:rPr>
        <w:t>2. Planteamiento del problema: deserción y decisiones curriculares sin contexto integrado</w:t>
      </w:r>
    </w:p>
    <w:p w:rsidR="003D2FB2" w:rsidRPr="00064401" w:rsidRDefault="007557A4">
      <w:pPr>
        <w:jc w:val="both"/>
        <w:rPr>
          <w:rFonts w:ascii="Arial" w:hAnsi="Arial" w:cs="Arial"/>
          <w:sz w:val="20"/>
          <w:szCs w:val="20"/>
        </w:rPr>
      </w:pPr>
      <w:r w:rsidRPr="00064401">
        <w:rPr>
          <w:rFonts w:ascii="Arial" w:hAnsi="Arial" w:cs="Arial"/>
          <w:sz w:val="20"/>
          <w:szCs w:val="20"/>
        </w:rPr>
        <w:t xml:space="preserve">La deserción universitaria constituye una señal estructural de riesgo para la calidad, la equidad y la sostenibilidad de la educación superior. Sus causas se relacionan con factores académicos, socioeconómicos, territoriales, institucionales, vocacionales y de pertinencia formativa. Cuando la oferta </w:t>
      </w:r>
      <w:r w:rsidRPr="00064401">
        <w:rPr>
          <w:rFonts w:ascii="Arial" w:hAnsi="Arial" w:cs="Arial"/>
          <w:sz w:val="20"/>
          <w:szCs w:val="20"/>
        </w:rPr>
        <w:lastRenderedPageBreak/>
        <w:t>académica se diseña, renueva o modifica sin una lectura integrada del contexto, las instituciones pueden ofrecer programas desconectados de las necesidades de la población, de las condiciones de acceso, de las trayectorias previas, de la modalidad viable y de las oportunidades laborales esperadas.</w:t>
      </w:r>
    </w:p>
    <w:p w:rsidR="003D2FB2" w:rsidRPr="00064401" w:rsidRDefault="007557A4">
      <w:pPr>
        <w:jc w:val="both"/>
        <w:rPr>
          <w:rFonts w:ascii="Arial" w:hAnsi="Arial" w:cs="Arial"/>
          <w:sz w:val="20"/>
          <w:szCs w:val="20"/>
        </w:rPr>
      </w:pPr>
      <w:r w:rsidRPr="00064401">
        <w:rPr>
          <w:rFonts w:ascii="Arial" w:hAnsi="Arial" w:cs="Arial"/>
          <w:sz w:val="20"/>
          <w:szCs w:val="20"/>
        </w:rPr>
        <w:t>Las instituciones de educación superior disponen de múltiples fuentes de información: SNIES, SIET</w:t>
      </w:r>
      <w:r w:rsidR="00B65FE3">
        <w:rPr>
          <w:rFonts w:ascii="Arial" w:hAnsi="Arial" w:cs="Arial"/>
          <w:sz w:val="20"/>
          <w:szCs w:val="20"/>
        </w:rPr>
        <w:t>, SPADIES</w:t>
      </w:r>
      <w:r w:rsidRPr="00064401">
        <w:rPr>
          <w:rFonts w:ascii="Arial" w:hAnsi="Arial" w:cs="Arial"/>
          <w:sz w:val="20"/>
          <w:szCs w:val="20"/>
        </w:rPr>
        <w:t>, estadísticas de educación superior, datos de matrícula, tasas de deserción, resultados de pruebas, datos laborales, catálogos ocupacionales, conectividad, territorio y clasificaciones oficiales. Sin embargo, estas fuentes suelen operar como registros separados. La fragmentación reduce la capacidad institucional para convertir datos abiertos en conocimiento útil para la gestión de permanencia, el diseño curricular y la toma de decisiones sobre portafolio académico.</w:t>
      </w:r>
    </w:p>
    <w:p w:rsidR="003D2FB2" w:rsidRPr="00064401" w:rsidRDefault="007557A4">
      <w:pPr>
        <w:jc w:val="both"/>
        <w:rPr>
          <w:rFonts w:ascii="Arial" w:hAnsi="Arial" w:cs="Arial"/>
          <w:sz w:val="20"/>
          <w:szCs w:val="20"/>
        </w:rPr>
      </w:pPr>
      <w:r w:rsidRPr="00064401">
        <w:rPr>
          <w:rFonts w:ascii="Arial" w:hAnsi="Arial" w:cs="Arial"/>
          <w:sz w:val="20"/>
          <w:szCs w:val="20"/>
        </w:rPr>
        <w:t>En este marco, la deserción no debe leerse como un dato aislado de abandono. Su interpretación exige cruzarla con variables de trayectoria, modalidad, desempeño, territorio, demanda laboral, pertinencia de competencias y condiciones de acceso. Esta lectura permite comprender si un programa cuenta con condiciones académicas, sociales, territoriales y ocupacionales para sostener trayectorias formativas viables.</w:t>
      </w:r>
    </w:p>
    <w:p w:rsidR="00D16F92" w:rsidRPr="00064401" w:rsidRDefault="007557A4">
      <w:pPr>
        <w:rPr>
          <w:rFonts w:ascii="Arial" w:hAnsi="Arial" w:cs="Arial"/>
          <w:sz w:val="20"/>
          <w:szCs w:val="20"/>
        </w:rPr>
      </w:pPr>
      <w:r w:rsidRPr="00064401">
        <w:rPr>
          <w:rFonts w:ascii="Arial" w:hAnsi="Arial" w:cs="Arial"/>
          <w:sz w:val="20"/>
          <w:szCs w:val="20"/>
        </w:rPr>
        <w:br w:type="page"/>
      </w:r>
    </w:p>
    <w:tbl>
      <w:tblPr>
        <w:tblW w:w="0" w:type="auto"/>
        <w:tblLook w:val="04A0" w:firstRow="1" w:lastRow="0" w:firstColumn="1" w:lastColumn="0" w:noHBand="0" w:noVBand="1"/>
      </w:tblPr>
      <w:tblGrid>
        <w:gridCol w:w="3794"/>
        <w:gridCol w:w="5826"/>
      </w:tblGrid>
      <w:tr w:rsidR="003D2FB2" w:rsidRPr="00064401" w:rsidTr="005E69AF">
        <w:tc>
          <w:tcPr>
            <w:tcW w:w="9620" w:type="dxa"/>
            <w:gridSpan w:val="2"/>
            <w:tcBorders>
              <w:top w:val="single" w:sz="8" w:space="0" w:color="B4C6E7"/>
              <w:left w:val="single" w:sz="8" w:space="0" w:color="B4C6E7"/>
              <w:bottom w:val="single" w:sz="8" w:space="0" w:color="B4C6E7"/>
              <w:right w:val="single" w:sz="8" w:space="0" w:color="B4C6E7"/>
            </w:tcBorders>
            <w:shd w:val="clear" w:color="auto" w:fill="EAF2FB"/>
          </w:tcPr>
          <w:p w:rsidR="003D2FB2" w:rsidRPr="00064401" w:rsidRDefault="007557A4">
            <w:pPr>
              <w:rPr>
                <w:rFonts w:ascii="Arial" w:hAnsi="Arial" w:cs="Arial"/>
                <w:sz w:val="20"/>
                <w:szCs w:val="20"/>
              </w:rPr>
            </w:pPr>
            <w:r w:rsidRPr="00064401">
              <w:rPr>
                <w:rFonts w:ascii="Arial" w:hAnsi="Arial" w:cs="Arial"/>
                <w:b/>
                <w:color w:val="07255B"/>
                <w:sz w:val="20"/>
                <w:szCs w:val="20"/>
              </w:rPr>
              <w:lastRenderedPageBreak/>
              <w:t>Pregunta orientadora de la solución</w:t>
            </w:r>
          </w:p>
          <w:p w:rsidR="003D2FB2" w:rsidRPr="00064401" w:rsidRDefault="007557A4">
            <w:pPr>
              <w:jc w:val="both"/>
              <w:rPr>
                <w:rFonts w:ascii="Arial" w:hAnsi="Arial" w:cs="Arial"/>
                <w:sz w:val="20"/>
                <w:szCs w:val="20"/>
              </w:rPr>
            </w:pPr>
            <w:r w:rsidRPr="00064401">
              <w:rPr>
                <w:rFonts w:ascii="Arial" w:hAnsi="Arial" w:cs="Arial"/>
                <w:sz w:val="20"/>
                <w:szCs w:val="20"/>
              </w:rPr>
              <w:t>¿Cómo integrar datos abiertos sobre oferta académica, deserción, matrícula, desempeño, tránsito, ocupaciones, competencias, conectividad y mercado laboral para orientar decisiones curriculares de pertinencia que fortalezcan condiciones de permanencia estudiantil?</w:t>
            </w:r>
          </w:p>
        </w:tc>
      </w:tr>
      <w:tr w:rsidR="003D2FB2" w:rsidRPr="00064401" w:rsidTr="005E69AF">
        <w:tblPrEx>
          <w:jc w:val="center"/>
        </w:tblPrEx>
        <w:trPr>
          <w:tblHeader/>
          <w:jc w:val="center"/>
        </w:trPr>
        <w:tc>
          <w:tcPr>
            <w:tcW w:w="3794"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Situación problemática</w:t>
            </w:r>
          </w:p>
        </w:tc>
        <w:tc>
          <w:tcPr>
            <w:tcW w:w="5826"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Respuesta de la solución</w:t>
            </w:r>
          </w:p>
        </w:tc>
      </w:tr>
      <w:tr w:rsidR="003D2FB2" w:rsidRPr="00064401" w:rsidTr="005E69AF">
        <w:tblPrEx>
          <w:jc w:val="center"/>
        </w:tblPrEx>
        <w:trPr>
          <w:jc w:val="center"/>
        </w:trPr>
        <w:tc>
          <w:tcPr>
            <w:tcW w:w="379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Datos de deserción analizados de manera aislada.</w:t>
            </w:r>
          </w:p>
        </w:tc>
        <w:tc>
          <w:tcPr>
            <w:tcW w:w="5826"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Lectura de deserción integrada con matrícula, trayectoria, modalidad, territorio, desempeño y pertinencia de oferta.</w:t>
            </w:r>
          </w:p>
        </w:tc>
      </w:tr>
      <w:tr w:rsidR="003D2FB2" w:rsidRPr="00064401" w:rsidTr="005E69AF">
        <w:tblPrEx>
          <w:jc w:val="center"/>
        </w:tblPrEx>
        <w:trPr>
          <w:jc w:val="center"/>
        </w:trPr>
        <w:tc>
          <w:tcPr>
            <w:tcW w:w="3794"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Estudios de contexto elaborados como documentos estáticos.</w:t>
            </w:r>
          </w:p>
        </w:tc>
        <w:tc>
          <w:tcPr>
            <w:tcW w:w="5826"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Aplicación web que automatiza consultas, cruces, visualizaciones e informes preliminares.</w:t>
            </w:r>
          </w:p>
        </w:tc>
      </w:tr>
      <w:tr w:rsidR="003D2FB2" w:rsidRPr="00064401" w:rsidTr="005E69AF">
        <w:tblPrEx>
          <w:jc w:val="center"/>
        </w:tblPrEx>
        <w:trPr>
          <w:jc w:val="center"/>
        </w:trPr>
        <w:tc>
          <w:tcPr>
            <w:tcW w:w="379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Fragmentación de fuentes oficiales y abiertas.</w:t>
            </w:r>
          </w:p>
        </w:tc>
        <w:tc>
          <w:tcPr>
            <w:tcW w:w="5826"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Repositorio analítico unificado con trazabilidad de origen, periodo y transformación.</w:t>
            </w:r>
          </w:p>
        </w:tc>
      </w:tr>
      <w:tr w:rsidR="003D2FB2" w:rsidRPr="00064401" w:rsidTr="005E69AF">
        <w:tblPrEx>
          <w:jc w:val="center"/>
        </w:tblPrEx>
        <w:trPr>
          <w:jc w:val="center"/>
        </w:trPr>
        <w:tc>
          <w:tcPr>
            <w:tcW w:w="3794"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Decisiones curriculares poco comparables entre programas.</w:t>
            </w:r>
          </w:p>
        </w:tc>
        <w:tc>
          <w:tcPr>
            <w:tcW w:w="5826"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Síntesis evaluativas por pertinencia académica, laboral, territorial y global.</w:t>
            </w:r>
          </w:p>
        </w:tc>
      </w:tr>
      <w:tr w:rsidR="003D2FB2" w:rsidRPr="00064401" w:rsidTr="005E69AF">
        <w:tblPrEx>
          <w:jc w:val="center"/>
        </w:tblPrEx>
        <w:trPr>
          <w:jc w:val="center"/>
        </w:trPr>
        <w:tc>
          <w:tcPr>
            <w:tcW w:w="379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Oferta académica que puede no corresponder con necesidades reales de la población.</w:t>
            </w:r>
          </w:p>
        </w:tc>
        <w:tc>
          <w:tcPr>
            <w:tcW w:w="5826"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Recomendaciones por campo, nivel, territorio, ocupación, brecha de competencias y tipo de oferta educativa.</w:t>
            </w:r>
          </w:p>
        </w:tc>
      </w:tr>
    </w:tbl>
    <w:p w:rsidR="003D2FB2" w:rsidRPr="00064401" w:rsidRDefault="007557A4">
      <w:pPr>
        <w:pStyle w:val="Ttulo1"/>
        <w:rPr>
          <w:rFonts w:ascii="Arial" w:hAnsi="Arial" w:cs="Arial"/>
          <w:sz w:val="20"/>
          <w:szCs w:val="20"/>
        </w:rPr>
      </w:pPr>
      <w:r w:rsidRPr="00064401">
        <w:rPr>
          <w:rFonts w:ascii="Arial" w:hAnsi="Arial" w:cs="Arial"/>
          <w:sz w:val="20"/>
          <w:szCs w:val="20"/>
        </w:rPr>
        <w:t>3. Vínculo analítico entre estudios de contexto, permanencia y deserción</w:t>
      </w:r>
    </w:p>
    <w:p w:rsidR="009612F0" w:rsidRPr="00064401" w:rsidRDefault="009612F0" w:rsidP="009612F0">
      <w:pPr>
        <w:jc w:val="both"/>
        <w:rPr>
          <w:rFonts w:ascii="Arial" w:hAnsi="Arial" w:cs="Arial"/>
          <w:sz w:val="20"/>
          <w:szCs w:val="20"/>
        </w:rPr>
      </w:pPr>
      <w:r w:rsidRPr="00064401">
        <w:rPr>
          <w:rFonts w:ascii="Arial" w:hAnsi="Arial" w:cs="Arial"/>
          <w:sz w:val="20"/>
          <w:szCs w:val="20"/>
        </w:rPr>
        <w:t>El estudio de contexto funciona como un dispositivo analítico para anticipar condiciones que inciden en la permanencia estudiantil. Su aporte se ubica en el momento previo a la operación de los programas académicos, cuando las instituciones definen el nivel de formación, la modalidad, las competencias, el territorio de oferta, la ruta formativa y la correspondencia entre la propuesta curricular, las necesidades de la población y las dinámicas sociales y laborales del entorno.</w:t>
      </w:r>
    </w:p>
    <w:p w:rsidR="009612F0" w:rsidRPr="00064401" w:rsidRDefault="009612F0" w:rsidP="009612F0">
      <w:pPr>
        <w:jc w:val="both"/>
        <w:rPr>
          <w:rFonts w:ascii="Arial" w:hAnsi="Arial" w:cs="Arial"/>
          <w:sz w:val="20"/>
          <w:szCs w:val="20"/>
        </w:rPr>
      </w:pPr>
      <w:r w:rsidRPr="00064401">
        <w:rPr>
          <w:rFonts w:ascii="Arial" w:hAnsi="Arial" w:cs="Arial"/>
          <w:sz w:val="20"/>
          <w:szCs w:val="20"/>
        </w:rPr>
        <w:t>Desde esta perspectiva, la deserción se interpreta como una señal crítica de pertinencia, trayectoria y sostenibilidad. Su análisis adquiere mayor capacidad explicativa cuando se relaciona con variables de contexto como matrícula, tránsito, desempeño agregado, conectividad, condiciones territoriales, oportunidades laborales, brechas de competencias y coherencia de la oferta académica. La plataforma permite integrar estas variables en una lectura institucional que supera el tratamiento aislado del abandono y orienta decisiones preventivas sobre la configuración, actualización y mejora de los programas.</w:t>
      </w:r>
    </w:p>
    <w:p w:rsidR="003D2FB2" w:rsidRPr="00064401" w:rsidRDefault="009612F0" w:rsidP="009612F0">
      <w:pPr>
        <w:jc w:val="both"/>
        <w:rPr>
          <w:rFonts w:ascii="Arial" w:hAnsi="Arial" w:cs="Arial"/>
          <w:sz w:val="20"/>
          <w:szCs w:val="20"/>
        </w:rPr>
      </w:pPr>
      <w:r w:rsidRPr="00064401">
        <w:rPr>
          <w:rFonts w:ascii="Arial" w:hAnsi="Arial" w:cs="Arial"/>
          <w:sz w:val="20"/>
          <w:szCs w:val="20"/>
        </w:rPr>
        <w:t>La solución se articula con el reto de deserción al identificar desajustes que pueden afectar la continuidad estudiantil antes de que se consoliden en la operación académica. Un programa con baja pertinencia territorial, débil conexión con oportunidades de inserción, modalidad poco viable para la población objetivo o rutas formativas fragmentadas puede generar condiciones adversas para la permanencia. Por ello, el sistema aporta evidencia para diseñar y ajustar una oferta académica más pertinente, focalizada y sostenible, con mejores condiciones para acompañar trayectorias educativas viables.</w:t>
      </w:r>
    </w:p>
    <w:tbl>
      <w:tblPr>
        <w:tblW w:w="0" w:type="auto"/>
        <w:jc w:val="center"/>
        <w:tblLook w:val="04A0" w:firstRow="1" w:lastRow="0" w:firstColumn="1" w:lastColumn="0" w:noHBand="0" w:noVBand="1"/>
      </w:tblPr>
      <w:tblGrid>
        <w:gridCol w:w="2235"/>
        <w:gridCol w:w="3827"/>
        <w:gridCol w:w="3558"/>
      </w:tblGrid>
      <w:tr w:rsidR="003D2FB2" w:rsidRPr="00064401" w:rsidTr="00661BED">
        <w:trPr>
          <w:tblHeader/>
          <w:jc w:val="center"/>
        </w:trPr>
        <w:tc>
          <w:tcPr>
            <w:tcW w:w="2235"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Ruta de análisis</w:t>
            </w:r>
          </w:p>
        </w:tc>
        <w:tc>
          <w:tcPr>
            <w:tcW w:w="3827"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Pregunta que responde</w:t>
            </w:r>
          </w:p>
        </w:tc>
        <w:tc>
          <w:tcPr>
            <w:tcW w:w="3558"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Aporte a permanencia y deserción</w:t>
            </w:r>
          </w:p>
        </w:tc>
      </w:tr>
      <w:tr w:rsidR="003D2FB2" w:rsidRPr="00064401" w:rsidTr="00661BED">
        <w:trPr>
          <w:jc w:val="center"/>
        </w:trPr>
        <w:tc>
          <w:tcPr>
            <w:tcW w:w="22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Pertinencia académica</w:t>
            </w:r>
          </w:p>
        </w:tc>
        <w:tc>
          <w:tcPr>
            <w:tcW w:w="38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¿El programa, el nivel, la duración, la modalidad y la ruta formativa son coherentes con la población objetivo?</w:t>
            </w:r>
          </w:p>
        </w:tc>
        <w:tc>
          <w:tcPr>
            <w:tcW w:w="3558"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Reduce desajustes curriculares y favorece trayectorias formativas comprensibles, acumulativas y viables.</w:t>
            </w:r>
          </w:p>
        </w:tc>
      </w:tr>
      <w:tr w:rsidR="003D2FB2" w:rsidRPr="00064401" w:rsidTr="00661BED">
        <w:trPr>
          <w:jc w:val="center"/>
        </w:trPr>
        <w:tc>
          <w:tcPr>
            <w:tcW w:w="223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Pertinencia territorial y social</w:t>
            </w:r>
          </w:p>
        </w:tc>
        <w:tc>
          <w:tcPr>
            <w:tcW w:w="3827"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¿El territorio cuenta con condiciones de acceso, conectividad, demanda educativa y barreras identificadas?</w:t>
            </w:r>
          </w:p>
        </w:tc>
        <w:tc>
          <w:tcPr>
            <w:tcW w:w="3558"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Permite anticipar restricciones de acceso y modalidad que pueden afectar continuidad.</w:t>
            </w:r>
          </w:p>
        </w:tc>
      </w:tr>
      <w:tr w:rsidR="003D2FB2" w:rsidRPr="00064401" w:rsidTr="00661BED">
        <w:trPr>
          <w:jc w:val="center"/>
        </w:trPr>
        <w:tc>
          <w:tcPr>
            <w:tcW w:w="22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lastRenderedPageBreak/>
              <w:t>Pertinencia laboral</w:t>
            </w:r>
          </w:p>
        </w:tc>
        <w:tc>
          <w:tcPr>
            <w:tcW w:w="38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¿La oferta se conecta con ocupaciones, competencias y oportunidades de inserción?</w:t>
            </w:r>
          </w:p>
        </w:tc>
        <w:tc>
          <w:tcPr>
            <w:tcW w:w="3558"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Fortalece la expectativa de valor del programa y su articulación con proyectos de vida y empleabilidad.</w:t>
            </w:r>
          </w:p>
        </w:tc>
      </w:tr>
      <w:tr w:rsidR="003D2FB2" w:rsidRPr="00064401" w:rsidTr="00661BED">
        <w:trPr>
          <w:jc w:val="center"/>
        </w:trPr>
        <w:tc>
          <w:tcPr>
            <w:tcW w:w="223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Trayectoria formativa</w:t>
            </w:r>
          </w:p>
        </w:tc>
        <w:tc>
          <w:tcPr>
            <w:tcW w:w="3827"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¿La oferta permite progresión entre ETDH, técnico profesional, tecnológico, educación continua o microcredenciales?</w:t>
            </w:r>
          </w:p>
        </w:tc>
        <w:tc>
          <w:tcPr>
            <w:tcW w:w="3558"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Facilita permanencia por rutas flexibles, acumulables y ajustables a distintas condiciones de vida.</w:t>
            </w:r>
          </w:p>
        </w:tc>
      </w:tr>
      <w:tr w:rsidR="003D2FB2" w:rsidRPr="00064401" w:rsidTr="00661BED">
        <w:trPr>
          <w:jc w:val="center"/>
        </w:trPr>
        <w:tc>
          <w:tcPr>
            <w:tcW w:w="22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Gestión institucional</w:t>
            </w:r>
          </w:p>
        </w:tc>
        <w:tc>
          <w:tcPr>
            <w:tcW w:w="38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¿La decisión curricular cuenta con evidencia trazable para registro, renovación, modificación y mejoramiento?</w:t>
            </w:r>
          </w:p>
        </w:tc>
        <w:tc>
          <w:tcPr>
            <w:tcW w:w="3558"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Permite que aseguramiento de la calidad use evidencia para ajustar programas antes de que los riesgos se consoliden.</w:t>
            </w:r>
          </w:p>
        </w:tc>
      </w:tr>
    </w:tbl>
    <w:p w:rsidR="003D2FB2" w:rsidRPr="00064401" w:rsidRDefault="007557A4">
      <w:pPr>
        <w:jc w:val="center"/>
        <w:rPr>
          <w:rFonts w:ascii="Arial" w:hAnsi="Arial" w:cs="Arial"/>
          <w:sz w:val="20"/>
          <w:szCs w:val="20"/>
        </w:rPr>
      </w:pPr>
      <w:r w:rsidRPr="00064401">
        <w:rPr>
          <w:rFonts w:ascii="Arial" w:hAnsi="Arial" w:cs="Arial"/>
          <w:i/>
          <w:color w:val="505050"/>
          <w:sz w:val="20"/>
          <w:szCs w:val="20"/>
        </w:rPr>
        <w:t>Tabla 1. Relación entre estudios de contexto, permanencia y deserción. Elaboración propia del Grupo 195.</w:t>
      </w:r>
    </w:p>
    <w:tbl>
      <w:tblPr>
        <w:tblW w:w="0" w:type="auto"/>
        <w:tblInd w:w="108" w:type="dxa"/>
        <w:tblLook w:val="04A0" w:firstRow="1" w:lastRow="0" w:firstColumn="1" w:lastColumn="0" w:noHBand="0" w:noVBand="1"/>
      </w:tblPr>
      <w:tblGrid>
        <w:gridCol w:w="9356"/>
      </w:tblGrid>
      <w:tr w:rsidR="003D2FB2" w:rsidRPr="00064401" w:rsidTr="00CA61B8">
        <w:tc>
          <w:tcPr>
            <w:tcW w:w="9356" w:type="dxa"/>
            <w:tcBorders>
              <w:top w:val="single" w:sz="8" w:space="0" w:color="B4C6E7"/>
              <w:left w:val="single" w:sz="8" w:space="0" w:color="B4C6E7"/>
              <w:bottom w:val="single" w:sz="8" w:space="0" w:color="B4C6E7"/>
              <w:right w:val="single" w:sz="8" w:space="0" w:color="B4C6E7"/>
            </w:tcBorders>
            <w:shd w:val="clear" w:color="auto" w:fill="EAF2FB"/>
          </w:tcPr>
          <w:p w:rsidR="003D2FB2" w:rsidRPr="00064401" w:rsidRDefault="007557A4">
            <w:pPr>
              <w:rPr>
                <w:rFonts w:ascii="Arial" w:hAnsi="Arial" w:cs="Arial"/>
                <w:sz w:val="20"/>
                <w:szCs w:val="20"/>
              </w:rPr>
            </w:pPr>
            <w:r w:rsidRPr="00064401">
              <w:rPr>
                <w:rFonts w:ascii="Arial" w:hAnsi="Arial" w:cs="Arial"/>
                <w:b/>
                <w:color w:val="07255B"/>
                <w:sz w:val="20"/>
                <w:szCs w:val="20"/>
              </w:rPr>
              <w:t>Precisión metodológica</w:t>
            </w:r>
          </w:p>
          <w:p w:rsidR="003D2FB2" w:rsidRPr="00064401" w:rsidRDefault="007557A4">
            <w:pPr>
              <w:jc w:val="both"/>
              <w:rPr>
                <w:rFonts w:ascii="Arial" w:hAnsi="Arial" w:cs="Arial"/>
                <w:sz w:val="20"/>
                <w:szCs w:val="20"/>
              </w:rPr>
            </w:pPr>
            <w:r w:rsidRPr="00064401">
              <w:rPr>
                <w:rFonts w:ascii="Arial" w:hAnsi="Arial" w:cs="Arial"/>
                <w:sz w:val="20"/>
                <w:szCs w:val="20"/>
              </w:rPr>
              <w:t>La solución aporta a la disminución de condiciones asociadas a la deserción mediante mejores decisiones curriculares y de portafolio. No declara causalidad directa ni predicción individual de abandono en esta fase del prototipo.</w:t>
            </w:r>
          </w:p>
        </w:tc>
      </w:tr>
    </w:tbl>
    <w:p w:rsidR="003D2FB2" w:rsidRPr="00064401" w:rsidRDefault="007557A4">
      <w:pPr>
        <w:pStyle w:val="Ttulo1"/>
        <w:rPr>
          <w:rFonts w:ascii="Arial" w:hAnsi="Arial" w:cs="Arial"/>
          <w:sz w:val="20"/>
          <w:szCs w:val="20"/>
        </w:rPr>
      </w:pPr>
      <w:r w:rsidRPr="00064401">
        <w:rPr>
          <w:rFonts w:ascii="Arial" w:hAnsi="Arial" w:cs="Arial"/>
          <w:sz w:val="20"/>
          <w:szCs w:val="20"/>
        </w:rPr>
        <w:t>4. Conjunto de datos abiertos y variables de análisis</w:t>
      </w:r>
    </w:p>
    <w:p w:rsidR="003D2FB2" w:rsidRPr="00064401" w:rsidRDefault="007557A4">
      <w:pPr>
        <w:jc w:val="both"/>
        <w:rPr>
          <w:rFonts w:ascii="Arial" w:hAnsi="Arial" w:cs="Arial"/>
          <w:sz w:val="20"/>
          <w:szCs w:val="20"/>
        </w:rPr>
      </w:pPr>
      <w:r w:rsidRPr="00064401">
        <w:rPr>
          <w:rFonts w:ascii="Arial" w:hAnsi="Arial" w:cs="Arial"/>
          <w:sz w:val="20"/>
          <w:szCs w:val="20"/>
        </w:rPr>
        <w:t xml:space="preserve">La solución utiliza un repositorio DuckDB organizado por familias temáticas. El inventario técnico identifica fuentes de educación superior, educación para el trabajo, catálogos de articulación, competencias, estadísticas educativas, mercado laboral, resultados de pruebas ICFES (disponibles a través del </w:t>
      </w:r>
      <w:r w:rsidR="00BF5F8A" w:rsidRPr="00064401">
        <w:rPr>
          <w:rFonts w:ascii="Arial" w:hAnsi="Arial" w:cs="Arial"/>
          <w:sz w:val="20"/>
          <w:szCs w:val="20"/>
        </w:rPr>
        <w:t>módulo</w:t>
      </w:r>
      <w:r w:rsidRPr="00064401">
        <w:rPr>
          <w:rFonts w:ascii="Arial" w:hAnsi="Arial" w:cs="Arial"/>
          <w:sz w:val="20"/>
          <w:szCs w:val="20"/>
        </w:rPr>
        <w:t xml:space="preserve"> de </w:t>
      </w:r>
      <w:r w:rsidR="00BF5F8A" w:rsidRPr="00064401">
        <w:rPr>
          <w:rFonts w:ascii="Arial" w:hAnsi="Arial" w:cs="Arial"/>
          <w:sz w:val="20"/>
          <w:szCs w:val="20"/>
        </w:rPr>
        <w:t>recuperación</w:t>
      </w:r>
      <w:r w:rsidRPr="00064401">
        <w:rPr>
          <w:rFonts w:ascii="Arial" w:hAnsi="Arial" w:cs="Arial"/>
          <w:sz w:val="20"/>
          <w:szCs w:val="20"/>
        </w:rPr>
        <w:t xml:space="preserve"> aumentada de contexto), conectividad y territorio. La integración cumple el requisito del nivel intermedio al articular múltiples fuentes, más de diez variables y procesos de limpieza, homologación, normalización y carga analítica.</w:t>
      </w:r>
    </w:p>
    <w:tbl>
      <w:tblPr>
        <w:tblW w:w="0" w:type="auto"/>
        <w:jc w:val="center"/>
        <w:tblLook w:val="04A0" w:firstRow="1" w:lastRow="0" w:firstColumn="1" w:lastColumn="0" w:noHBand="0" w:noVBand="1"/>
      </w:tblPr>
      <w:tblGrid>
        <w:gridCol w:w="3728"/>
        <w:gridCol w:w="2072"/>
        <w:gridCol w:w="3820"/>
      </w:tblGrid>
      <w:tr w:rsidR="003D2FB2" w:rsidRPr="00064401" w:rsidTr="00C75EA4">
        <w:trPr>
          <w:tblHeader/>
          <w:jc w:val="center"/>
        </w:trPr>
        <w:tc>
          <w:tcPr>
            <w:tcW w:w="3699"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Familia de datos</w:t>
            </w:r>
          </w:p>
        </w:tc>
        <w:tc>
          <w:tcPr>
            <w:tcW w:w="2079"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Fuente o entidad</w:t>
            </w:r>
          </w:p>
        </w:tc>
        <w:tc>
          <w:tcPr>
            <w:tcW w:w="3842"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Uso en la solución</w:t>
            </w:r>
          </w:p>
        </w:tc>
      </w:tr>
      <w:tr w:rsidR="003D2FB2" w:rsidRPr="00064401" w:rsidTr="00C75EA4">
        <w:trPr>
          <w:jc w:val="center"/>
        </w:trPr>
        <w:tc>
          <w:tcPr>
            <w:tcW w:w="3699"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MEN_MATRICULA_ESTADISTICA_ES y SNIES matrícula</w:t>
            </w:r>
          </w:p>
        </w:tc>
        <w:tc>
          <w:tcPr>
            <w:tcW w:w="2079"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MEN / datos.gov.co</w:t>
            </w:r>
          </w:p>
        </w:tc>
        <w:tc>
          <w:tcPr>
            <w:tcW w:w="3842"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Matrícula de educación superior por año, nivel, área y modalidad.</w:t>
            </w:r>
          </w:p>
        </w:tc>
      </w:tr>
      <w:tr w:rsidR="003D2FB2" w:rsidRPr="00064401" w:rsidTr="00C75EA4">
        <w:trPr>
          <w:jc w:val="center"/>
        </w:trPr>
        <w:tc>
          <w:tcPr>
            <w:tcW w:w="3699"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SNIES programas, instituciones, inscritos, admitidos y graduados</w:t>
            </w:r>
          </w:p>
        </w:tc>
        <w:tc>
          <w:tcPr>
            <w:tcW w:w="2079"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MEN / SNIES</w:t>
            </w:r>
          </w:p>
        </w:tc>
        <w:tc>
          <w:tcPr>
            <w:tcW w:w="3842"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Oferta académica, carácter institucional, nivel, modalidad, municipio y trayectoria.</w:t>
            </w:r>
          </w:p>
        </w:tc>
      </w:tr>
      <w:tr w:rsidR="003D2FB2" w:rsidRPr="00064401" w:rsidTr="00C75EA4">
        <w:trPr>
          <w:jc w:val="center"/>
        </w:trPr>
        <w:tc>
          <w:tcPr>
            <w:tcW w:w="3699"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Estadísticas de educación superior: cobertura y tránsito inmediato</w:t>
            </w:r>
          </w:p>
        </w:tc>
        <w:tc>
          <w:tcPr>
            <w:tcW w:w="2079"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MEN / OLE</w:t>
            </w:r>
          </w:p>
        </w:tc>
        <w:tc>
          <w:tcPr>
            <w:tcW w:w="3842" w:type="dxa"/>
            <w:tcBorders>
              <w:top w:val="single" w:sz="4" w:space="0" w:color="D9E2F3"/>
              <w:left w:val="single" w:sz="4" w:space="0" w:color="D9E2F3"/>
              <w:bottom w:val="single" w:sz="4" w:space="0" w:color="D9E2F3"/>
              <w:right w:val="single" w:sz="4" w:space="0" w:color="D9E2F3"/>
            </w:tcBorders>
          </w:tcPr>
          <w:p w:rsidR="003D2FB2" w:rsidRPr="00064401" w:rsidRDefault="00CA61B8">
            <w:pPr>
              <w:rPr>
                <w:rFonts w:ascii="Arial" w:hAnsi="Arial" w:cs="Arial"/>
                <w:sz w:val="20"/>
                <w:szCs w:val="20"/>
              </w:rPr>
            </w:pPr>
            <w:r>
              <w:rPr>
                <w:rFonts w:ascii="Arial" w:hAnsi="Arial" w:cs="Arial"/>
                <w:sz w:val="20"/>
                <w:szCs w:val="20"/>
              </w:rPr>
              <w:t>T</w:t>
            </w:r>
            <w:r w:rsidRPr="00064401">
              <w:rPr>
                <w:rFonts w:ascii="Arial" w:hAnsi="Arial" w:cs="Arial"/>
                <w:sz w:val="20"/>
                <w:szCs w:val="20"/>
              </w:rPr>
              <w:t xml:space="preserve">asa de tránsito inmediato y variables de </w:t>
            </w:r>
            <w:r>
              <w:rPr>
                <w:rFonts w:ascii="Arial" w:hAnsi="Arial" w:cs="Arial"/>
                <w:sz w:val="20"/>
                <w:szCs w:val="20"/>
              </w:rPr>
              <w:t xml:space="preserve">vinculación laboral, </w:t>
            </w:r>
            <w:r w:rsidRPr="00064401">
              <w:rPr>
                <w:rFonts w:ascii="Arial" w:hAnsi="Arial" w:cs="Arial"/>
                <w:sz w:val="20"/>
                <w:szCs w:val="20"/>
              </w:rPr>
              <w:t>permanencia</w:t>
            </w:r>
            <w:r>
              <w:rPr>
                <w:rFonts w:ascii="Arial" w:hAnsi="Arial" w:cs="Arial"/>
                <w:sz w:val="20"/>
                <w:szCs w:val="20"/>
              </w:rPr>
              <w:t>, e ingreso base de cotización</w:t>
            </w:r>
            <w:r w:rsidRPr="00064401">
              <w:rPr>
                <w:rFonts w:ascii="Arial" w:hAnsi="Arial" w:cs="Arial"/>
                <w:sz w:val="20"/>
                <w:szCs w:val="20"/>
              </w:rPr>
              <w:t>.</w:t>
            </w:r>
          </w:p>
        </w:tc>
      </w:tr>
      <w:tr w:rsidR="003D2FB2" w:rsidRPr="00064401" w:rsidTr="00C75EA4">
        <w:trPr>
          <w:jc w:val="center"/>
        </w:trPr>
        <w:tc>
          <w:tcPr>
            <w:tcW w:w="3699"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SIET / ETDH programas, matrícula y certificados</w:t>
            </w:r>
          </w:p>
        </w:tc>
        <w:tc>
          <w:tcPr>
            <w:tcW w:w="2079"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MEN / SIET</w:t>
            </w:r>
          </w:p>
        </w:tc>
        <w:tc>
          <w:tcPr>
            <w:tcW w:w="3842"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Oferta de educación para el trabajo, área de desempeño, duración, jornada y certificación.</w:t>
            </w:r>
          </w:p>
        </w:tc>
      </w:tr>
      <w:tr w:rsidR="003D2FB2" w:rsidRPr="00064401" w:rsidTr="00C75EA4">
        <w:trPr>
          <w:jc w:val="center"/>
        </w:trPr>
        <w:tc>
          <w:tcPr>
            <w:tcW w:w="3699"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CUOC 2025 y competencias CUOC</w:t>
            </w:r>
          </w:p>
        </w:tc>
        <w:tc>
          <w:tcPr>
            <w:tcW w:w="2079"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DANE / Ministerio del Trabajo</w:t>
            </w:r>
          </w:p>
        </w:tc>
        <w:tc>
          <w:tcPr>
            <w:tcW w:w="3842"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Ocupaciones, conocimientos, destrezas y niveles de competencia.</w:t>
            </w:r>
          </w:p>
        </w:tc>
      </w:tr>
      <w:tr w:rsidR="003D2FB2" w:rsidRPr="00064401" w:rsidTr="00C75EA4">
        <w:trPr>
          <w:jc w:val="center"/>
        </w:trPr>
        <w:tc>
          <w:tcPr>
            <w:tcW w:w="3699"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APE vacantes, inscritos y colocados 2017-2025</w:t>
            </w:r>
          </w:p>
        </w:tc>
        <w:tc>
          <w:tcPr>
            <w:tcW w:w="2079"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SENA / Ministerio del Trabajo</w:t>
            </w:r>
          </w:p>
        </w:tc>
        <w:tc>
          <w:tcPr>
            <w:tcW w:w="3842"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Demanda laboral, colocaciones y señales ocupacionales por territorio.</w:t>
            </w:r>
          </w:p>
        </w:tc>
      </w:tr>
      <w:tr w:rsidR="003D2FB2" w:rsidRPr="00064401" w:rsidTr="00C75EA4">
        <w:trPr>
          <w:jc w:val="center"/>
        </w:trPr>
        <w:tc>
          <w:tcPr>
            <w:tcW w:w="3699"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ICFES Saber 11, Saber TyT y Saber Pro</w:t>
            </w:r>
          </w:p>
        </w:tc>
        <w:tc>
          <w:tcPr>
            <w:tcW w:w="2079"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ICFES / MEN</w:t>
            </w:r>
          </w:p>
        </w:tc>
        <w:tc>
          <w:tcPr>
            <w:tcW w:w="3842"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 xml:space="preserve">Puntajes y módulos para lectura agregada de desempeño y calidad </w:t>
            </w:r>
            <w:r w:rsidRPr="00064401">
              <w:rPr>
                <w:rFonts w:ascii="Arial" w:hAnsi="Arial" w:cs="Arial"/>
                <w:sz w:val="20"/>
                <w:szCs w:val="20"/>
              </w:rPr>
              <w:lastRenderedPageBreak/>
              <w:t>académica.</w:t>
            </w:r>
          </w:p>
        </w:tc>
      </w:tr>
      <w:tr w:rsidR="003D2FB2" w:rsidRPr="00064401" w:rsidTr="00C75EA4">
        <w:trPr>
          <w:jc w:val="center"/>
        </w:trPr>
        <w:tc>
          <w:tcPr>
            <w:tcW w:w="3699"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lastRenderedPageBreak/>
              <w:t>MinTIC / CRC conectividad</w:t>
            </w:r>
          </w:p>
        </w:tc>
        <w:tc>
          <w:tcPr>
            <w:tcW w:w="2079"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MinTIC / CRC</w:t>
            </w:r>
          </w:p>
        </w:tc>
        <w:tc>
          <w:tcPr>
            <w:tcW w:w="3842"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Accesos a internet, cobertura 4G y condiciones para oferta virtual o híbrida.</w:t>
            </w:r>
          </w:p>
        </w:tc>
      </w:tr>
      <w:tr w:rsidR="003D2FB2" w:rsidRPr="00064401" w:rsidTr="00C75EA4">
        <w:trPr>
          <w:jc w:val="center"/>
        </w:trPr>
        <w:tc>
          <w:tcPr>
            <w:tcW w:w="3699"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MNC, CINE-F, CIIU, DIVIPOLA y ART/PDET</w:t>
            </w:r>
          </w:p>
        </w:tc>
        <w:tc>
          <w:tcPr>
            <w:tcW w:w="2079"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MEN, UNESCO, DANE y ART</w:t>
            </w:r>
          </w:p>
        </w:tc>
        <w:tc>
          <w:tcPr>
            <w:tcW w:w="3842"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Catálogos de articulación entre educación, ocupaciones, sectores y territorio.</w:t>
            </w:r>
          </w:p>
        </w:tc>
      </w:tr>
    </w:tbl>
    <w:p w:rsidR="003D2FB2" w:rsidRPr="00064401" w:rsidRDefault="007557A4">
      <w:pPr>
        <w:jc w:val="center"/>
        <w:rPr>
          <w:rFonts w:ascii="Arial" w:hAnsi="Arial" w:cs="Arial"/>
          <w:sz w:val="20"/>
          <w:szCs w:val="20"/>
        </w:rPr>
      </w:pPr>
      <w:r w:rsidRPr="00064401">
        <w:rPr>
          <w:rFonts w:ascii="Arial" w:hAnsi="Arial" w:cs="Arial"/>
          <w:i/>
          <w:color w:val="505050"/>
          <w:sz w:val="20"/>
          <w:szCs w:val="20"/>
        </w:rPr>
        <w:t>Tabla 2. Familias de datos integradas en la solución. Elaboración propia con base en el inventario técnico del repositorio.</w:t>
      </w:r>
    </w:p>
    <w:p w:rsidR="003D2FB2" w:rsidRPr="00064401" w:rsidRDefault="007557A4">
      <w:pPr>
        <w:jc w:val="both"/>
        <w:rPr>
          <w:rFonts w:ascii="Arial" w:hAnsi="Arial" w:cs="Arial"/>
          <w:sz w:val="20"/>
          <w:szCs w:val="20"/>
        </w:rPr>
      </w:pPr>
      <w:r>
        <w:rPr>
          <w:rFonts w:ascii="Arial" w:hAnsi="Arial"/>
          <w:sz w:val="20"/>
        </w:rPr>
        <w:t>La integración de estas fuentes no se limitó a una recolección de archivos descargables. El equipo destinó un esfuerzo sostenido de armonización para que cada conjunto de datos pudiera dialogar con los demás. Las clasificaciones internacionales CINE-F se alinearon con los núcleos básicos de conocimiento colombianos. Los códigos de la Clasificación Única de Ocupaciones se vincularon con las vacantes registradas por la Agencia Pública de Empleo. Las cifras de conectividad municipal se cruzaron con la oferta de programas en modalidad virtual. Los indicadores de deserción por cohorte se articularon con las trayectorias de matrícula para leer el abandono no como un número aislado sino como una señal que dialoga con la permanencia. El resultado es un repositorio donde las variables no conviven como archivos separados sino como dimensiones de un mismo espacio analítico, permitiendo que una pregunta institucional compleja se responda con evidencia trazable en el momento en que se formula.</w:t>
      </w:r>
    </w:p>
    <w:p w:rsidR="00AB7EF3" w:rsidRPr="004377AD" w:rsidRDefault="007557A4" w:rsidP="004377AD">
      <w:pPr>
        <w:pStyle w:val="Ttulo3"/>
        <w:rPr>
          <w:rFonts w:ascii="Arial" w:hAnsi="Arial" w:cs="Arial"/>
          <w:sz w:val="20"/>
        </w:rPr>
      </w:pPr>
      <w:r w:rsidRPr="004377AD">
        <w:rPr>
          <w:rFonts w:ascii="Arial" w:hAnsi="Arial" w:cs="Arial"/>
          <w:sz w:val="20"/>
        </w:rPr>
        <w:t xml:space="preserve">Datasets del portal datos.gov.co utilizados en la </w:t>
      </w:r>
      <w:r w:rsidR="00BF5F8A" w:rsidRPr="004377AD">
        <w:rPr>
          <w:rFonts w:ascii="Arial" w:hAnsi="Arial" w:cs="Arial"/>
          <w:sz w:val="20"/>
        </w:rPr>
        <w:t>solución</w:t>
      </w:r>
    </w:p>
    <w:p w:rsidR="00AB7EF3" w:rsidRDefault="007557A4">
      <w:pPr>
        <w:jc w:val="both"/>
      </w:pPr>
      <w:r>
        <w:rPr>
          <w:rFonts w:ascii="Arial" w:hAnsi="Arial" w:cs="Arial"/>
          <w:sz w:val="20"/>
          <w:szCs w:val="20"/>
        </w:rPr>
        <w:t xml:space="preserve">De acuerdo con los requisitos del concurso para el nivel intermedio, la </w:t>
      </w:r>
      <w:r w:rsidR="00BF5F8A">
        <w:rPr>
          <w:rFonts w:ascii="Arial" w:hAnsi="Arial" w:cs="Arial"/>
          <w:sz w:val="20"/>
          <w:szCs w:val="20"/>
        </w:rPr>
        <w:t>solución</w:t>
      </w:r>
      <w:r>
        <w:rPr>
          <w:rFonts w:ascii="Arial" w:hAnsi="Arial" w:cs="Arial"/>
          <w:sz w:val="20"/>
          <w:szCs w:val="20"/>
        </w:rPr>
        <w:t xml:space="preserve"> articula conjuntos de datos abiertos obtenidos del portal oficial datos.gov.co (plataforma Socrata). A </w:t>
      </w:r>
      <w:r w:rsidR="00BF5F8A">
        <w:rPr>
          <w:rFonts w:ascii="Arial" w:hAnsi="Arial" w:cs="Arial"/>
          <w:sz w:val="20"/>
          <w:szCs w:val="20"/>
        </w:rPr>
        <w:t>continuación,</w:t>
      </w:r>
      <w:r>
        <w:rPr>
          <w:rFonts w:ascii="Arial" w:hAnsi="Arial" w:cs="Arial"/>
          <w:sz w:val="20"/>
          <w:szCs w:val="20"/>
        </w:rPr>
        <w:t xml:space="preserve"> se detallan los diez datasets </w:t>
      </w:r>
      <w:r w:rsidR="00BF5F8A">
        <w:rPr>
          <w:rFonts w:ascii="Arial" w:hAnsi="Arial" w:cs="Arial"/>
          <w:sz w:val="20"/>
          <w:szCs w:val="20"/>
        </w:rPr>
        <w:t>más</w:t>
      </w:r>
      <w:r>
        <w:rPr>
          <w:rFonts w:ascii="Arial" w:hAnsi="Arial" w:cs="Arial"/>
          <w:sz w:val="20"/>
          <w:szCs w:val="20"/>
        </w:rPr>
        <w:t xml:space="preserve"> relevantes utilizados, indicando las variables clave </w:t>
      </w:r>
      <w:r w:rsidR="00BF5F8A">
        <w:rPr>
          <w:rFonts w:ascii="Arial" w:hAnsi="Arial" w:cs="Arial"/>
          <w:sz w:val="20"/>
          <w:szCs w:val="20"/>
        </w:rPr>
        <w:t>extraídas</w:t>
      </w:r>
      <w:r>
        <w:rPr>
          <w:rFonts w:ascii="Arial" w:hAnsi="Arial" w:cs="Arial"/>
          <w:sz w:val="20"/>
          <w:szCs w:val="20"/>
        </w:rPr>
        <w:t xml:space="preserve"> de cada uno y su aporte especifico al sistema de </w:t>
      </w:r>
      <w:r w:rsidR="00BF5F8A">
        <w:rPr>
          <w:rFonts w:ascii="Arial" w:hAnsi="Arial" w:cs="Arial"/>
          <w:sz w:val="20"/>
          <w:szCs w:val="20"/>
        </w:rPr>
        <w:t>análisis</w:t>
      </w:r>
      <w:r>
        <w:rPr>
          <w:rFonts w:ascii="Arial" w:hAnsi="Arial" w:cs="Arial"/>
          <w:sz w:val="20"/>
          <w:szCs w:val="20"/>
        </w:rPr>
        <w:t xml:space="preserve"> de contexto.</w:t>
      </w:r>
    </w:p>
    <w:tbl>
      <w:tblPr>
        <w:tblW w:w="5000" w:type="pct"/>
        <w:tblLook w:val="04A0" w:firstRow="1" w:lastRow="0" w:firstColumn="1" w:lastColumn="0" w:noHBand="0" w:noVBand="1"/>
      </w:tblPr>
      <w:tblGrid>
        <w:gridCol w:w="3206"/>
        <w:gridCol w:w="3207"/>
        <w:gridCol w:w="3207"/>
      </w:tblGrid>
      <w:tr w:rsidR="00AB7EF3">
        <w:tc>
          <w:tcPr>
            <w:tcW w:w="2800" w:type="dxa"/>
            <w:shd w:val="clear" w:color="auto" w:fill="0B2E63"/>
          </w:tcPr>
          <w:p w:rsidR="00AB7EF3" w:rsidRDefault="007557A4">
            <w:pPr>
              <w:spacing w:before="40" w:after="40" w:line="240" w:lineRule="auto"/>
            </w:pPr>
            <w:r>
              <w:rPr>
                <w:rFonts w:ascii="Arial" w:hAnsi="Arial" w:cs="Arial"/>
                <w:b/>
                <w:color w:val="FFFFFF"/>
                <w:sz w:val="16"/>
                <w:szCs w:val="16"/>
              </w:rPr>
              <w:t>Dataset y entidad</w:t>
            </w:r>
          </w:p>
        </w:tc>
        <w:tc>
          <w:tcPr>
            <w:tcW w:w="2800" w:type="dxa"/>
            <w:shd w:val="clear" w:color="auto" w:fill="0B2E63"/>
          </w:tcPr>
          <w:p w:rsidR="00AB7EF3" w:rsidRDefault="007557A4">
            <w:pPr>
              <w:spacing w:before="40" w:after="40" w:line="240" w:lineRule="auto"/>
            </w:pPr>
            <w:r>
              <w:rPr>
                <w:rFonts w:ascii="Arial" w:hAnsi="Arial" w:cs="Arial"/>
                <w:b/>
                <w:color w:val="FFFFFF"/>
                <w:sz w:val="16"/>
                <w:szCs w:val="16"/>
              </w:rPr>
              <w:t>Variables clave utilizadas</w:t>
            </w:r>
          </w:p>
        </w:tc>
        <w:tc>
          <w:tcPr>
            <w:tcW w:w="2800" w:type="dxa"/>
            <w:shd w:val="clear" w:color="auto" w:fill="0B2E63"/>
          </w:tcPr>
          <w:p w:rsidR="00AB7EF3" w:rsidRDefault="007557A4">
            <w:pPr>
              <w:spacing w:before="40" w:after="40" w:line="240" w:lineRule="auto"/>
            </w:pPr>
            <w:r>
              <w:rPr>
                <w:rFonts w:ascii="Arial" w:hAnsi="Arial" w:cs="Arial"/>
                <w:b/>
                <w:color w:val="FFFFFF"/>
                <w:sz w:val="16"/>
                <w:szCs w:val="16"/>
              </w:rPr>
              <w:t xml:space="preserve">Aporte al sistema de </w:t>
            </w:r>
            <w:r w:rsidR="00BF5F8A">
              <w:rPr>
                <w:rFonts w:ascii="Arial" w:hAnsi="Arial" w:cs="Arial"/>
                <w:b/>
                <w:color w:val="FFFFFF"/>
                <w:sz w:val="16"/>
                <w:szCs w:val="16"/>
              </w:rPr>
              <w:t>análisis</w:t>
            </w:r>
          </w:p>
        </w:tc>
      </w:tr>
      <w:tr w:rsidR="00AB7EF3">
        <w:tc>
          <w:tcPr>
            <w:tcW w:w="2800" w:type="dxa"/>
            <w:shd w:val="clear" w:color="auto" w:fill="F2F2F2"/>
          </w:tcPr>
          <w:p w:rsidR="00AB7EF3" w:rsidRDefault="00BF5F8A">
            <w:pPr>
              <w:spacing w:before="40" w:after="40" w:line="240" w:lineRule="auto"/>
            </w:pPr>
            <w:r>
              <w:rPr>
                <w:rFonts w:ascii="Arial" w:hAnsi="Arial" w:cs="Arial"/>
                <w:sz w:val="16"/>
                <w:szCs w:val="16"/>
              </w:rPr>
              <w:t>Estadísticas</w:t>
            </w:r>
            <w:r w:rsidR="007557A4">
              <w:rPr>
                <w:rFonts w:ascii="Arial" w:hAnsi="Arial" w:cs="Arial"/>
                <w:sz w:val="16"/>
                <w:szCs w:val="16"/>
              </w:rPr>
              <w:t xml:space="preserve"> de </w:t>
            </w:r>
            <w:r>
              <w:rPr>
                <w:rFonts w:ascii="Arial" w:hAnsi="Arial" w:cs="Arial"/>
                <w:sz w:val="16"/>
                <w:szCs w:val="16"/>
              </w:rPr>
              <w:t>Educación</w:t>
            </w:r>
            <w:r w:rsidR="007557A4">
              <w:rPr>
                <w:rFonts w:ascii="Arial" w:hAnsi="Arial" w:cs="Arial"/>
                <w:sz w:val="16"/>
                <w:szCs w:val="16"/>
              </w:rPr>
              <w:t xml:space="preserve"> Superior (MEN)</w:t>
            </w:r>
          </w:p>
        </w:tc>
        <w:tc>
          <w:tcPr>
            <w:tcW w:w="2800" w:type="dxa"/>
            <w:shd w:val="clear" w:color="auto" w:fill="F2F2F2"/>
          </w:tcPr>
          <w:p w:rsidR="00AB7EF3" w:rsidRDefault="007557A4">
            <w:pPr>
              <w:spacing w:before="40" w:after="40" w:line="240" w:lineRule="auto"/>
            </w:pPr>
            <w:r>
              <w:rPr>
                <w:rFonts w:ascii="Arial" w:hAnsi="Arial" w:cs="Arial"/>
                <w:sz w:val="16"/>
                <w:szCs w:val="16"/>
              </w:rPr>
              <w:t xml:space="preserve">Tasas de </w:t>
            </w:r>
            <w:r w:rsidR="00BF5F8A">
              <w:rPr>
                <w:rFonts w:ascii="Arial" w:hAnsi="Arial" w:cs="Arial"/>
                <w:sz w:val="16"/>
                <w:szCs w:val="16"/>
              </w:rPr>
              <w:t>deserción</w:t>
            </w:r>
            <w:r>
              <w:rPr>
                <w:rFonts w:ascii="Arial" w:hAnsi="Arial" w:cs="Arial"/>
                <w:sz w:val="16"/>
                <w:szCs w:val="16"/>
              </w:rPr>
              <w:t xml:space="preserve"> por nivel, cobertura bruta, transito inmediato, matricula por departamento, nivel y modalidad</w:t>
            </w:r>
          </w:p>
        </w:tc>
        <w:tc>
          <w:tcPr>
            <w:tcW w:w="2800" w:type="dxa"/>
            <w:shd w:val="clear" w:color="auto" w:fill="F2F2F2"/>
          </w:tcPr>
          <w:p w:rsidR="00AB7EF3" w:rsidRDefault="007557A4">
            <w:pPr>
              <w:spacing w:before="40" w:after="40" w:line="240" w:lineRule="auto"/>
            </w:pPr>
            <w:r>
              <w:rPr>
                <w:rFonts w:ascii="Arial" w:hAnsi="Arial" w:cs="Arial"/>
                <w:sz w:val="16"/>
                <w:szCs w:val="16"/>
              </w:rPr>
              <w:t xml:space="preserve">21 tablas con series </w:t>
            </w:r>
            <w:r w:rsidR="00BF5F8A">
              <w:rPr>
                <w:rFonts w:ascii="Arial" w:hAnsi="Arial" w:cs="Arial"/>
                <w:sz w:val="16"/>
                <w:szCs w:val="16"/>
              </w:rPr>
              <w:t>históricas</w:t>
            </w:r>
            <w:r>
              <w:rPr>
                <w:rFonts w:ascii="Arial" w:hAnsi="Arial" w:cs="Arial"/>
                <w:sz w:val="16"/>
                <w:szCs w:val="16"/>
              </w:rPr>
              <w:t xml:space="preserve">. Alimentan las </w:t>
            </w:r>
            <w:r w:rsidR="00BF5F8A">
              <w:rPr>
                <w:rFonts w:ascii="Arial" w:hAnsi="Arial" w:cs="Arial"/>
                <w:sz w:val="16"/>
                <w:szCs w:val="16"/>
              </w:rPr>
              <w:t>síntesis</w:t>
            </w:r>
            <w:r>
              <w:rPr>
                <w:rFonts w:ascii="Arial" w:hAnsi="Arial" w:cs="Arial"/>
                <w:sz w:val="16"/>
                <w:szCs w:val="16"/>
              </w:rPr>
              <w:t xml:space="preserve"> </w:t>
            </w:r>
            <w:r w:rsidR="00BF5F8A">
              <w:rPr>
                <w:rFonts w:ascii="Arial" w:hAnsi="Arial" w:cs="Arial"/>
                <w:sz w:val="16"/>
                <w:szCs w:val="16"/>
              </w:rPr>
              <w:t>académica</w:t>
            </w:r>
            <w:r>
              <w:rPr>
                <w:rFonts w:ascii="Arial" w:hAnsi="Arial" w:cs="Arial"/>
                <w:sz w:val="16"/>
                <w:szCs w:val="16"/>
              </w:rPr>
              <w:t xml:space="preserve"> y territorial con indicadores oficiales del MEN que permiten calcular tendencias de cobertura y </w:t>
            </w:r>
            <w:r w:rsidR="00BF5F8A">
              <w:rPr>
                <w:rFonts w:ascii="Arial" w:hAnsi="Arial" w:cs="Arial"/>
                <w:sz w:val="16"/>
                <w:szCs w:val="16"/>
              </w:rPr>
              <w:t>deserción</w:t>
            </w:r>
            <w:r>
              <w:rPr>
                <w:rFonts w:ascii="Arial" w:hAnsi="Arial" w:cs="Arial"/>
                <w:sz w:val="16"/>
                <w:szCs w:val="16"/>
              </w:rPr>
              <w:t xml:space="preserve"> por territorio.</w:t>
            </w:r>
          </w:p>
        </w:tc>
      </w:tr>
      <w:tr w:rsidR="00AB7EF3">
        <w:tc>
          <w:tcPr>
            <w:tcW w:w="2800" w:type="dxa"/>
          </w:tcPr>
          <w:p w:rsidR="00AB7EF3" w:rsidRDefault="007557A4">
            <w:pPr>
              <w:spacing w:before="40" w:after="40" w:line="240" w:lineRule="auto"/>
            </w:pPr>
            <w:r>
              <w:rPr>
                <w:rFonts w:ascii="Arial" w:hAnsi="Arial" w:cs="Arial"/>
                <w:sz w:val="16"/>
                <w:szCs w:val="16"/>
              </w:rPr>
              <w:t xml:space="preserve">Matricula en </w:t>
            </w:r>
            <w:r w:rsidR="00BF5F8A">
              <w:rPr>
                <w:rFonts w:ascii="Arial" w:hAnsi="Arial" w:cs="Arial"/>
                <w:sz w:val="16"/>
                <w:szCs w:val="16"/>
              </w:rPr>
              <w:t>Educación</w:t>
            </w:r>
            <w:r>
              <w:rPr>
                <w:rFonts w:ascii="Arial" w:hAnsi="Arial" w:cs="Arial"/>
                <w:sz w:val="16"/>
                <w:szCs w:val="16"/>
              </w:rPr>
              <w:t xml:space="preserve"> Superior (MEN)</w:t>
            </w:r>
          </w:p>
        </w:tc>
        <w:tc>
          <w:tcPr>
            <w:tcW w:w="2800" w:type="dxa"/>
          </w:tcPr>
          <w:p w:rsidR="00AB7EF3" w:rsidRDefault="00BF5F8A">
            <w:pPr>
              <w:spacing w:before="40" w:after="40" w:line="240" w:lineRule="auto"/>
            </w:pPr>
            <w:r>
              <w:rPr>
                <w:rFonts w:ascii="Arial" w:hAnsi="Arial" w:cs="Arial"/>
                <w:sz w:val="16"/>
                <w:szCs w:val="16"/>
              </w:rPr>
              <w:t>Código</w:t>
            </w:r>
            <w:r w:rsidR="007557A4">
              <w:rPr>
                <w:rFonts w:ascii="Arial" w:hAnsi="Arial" w:cs="Arial"/>
                <w:sz w:val="16"/>
                <w:szCs w:val="16"/>
              </w:rPr>
              <w:t xml:space="preserve"> IES, departamento, municipio, nivel de </w:t>
            </w:r>
            <w:r>
              <w:rPr>
                <w:rFonts w:ascii="Arial" w:hAnsi="Arial" w:cs="Arial"/>
                <w:sz w:val="16"/>
                <w:szCs w:val="16"/>
              </w:rPr>
              <w:t>formación</w:t>
            </w:r>
            <w:r w:rsidR="007557A4">
              <w:rPr>
                <w:rFonts w:ascii="Arial" w:hAnsi="Arial" w:cs="Arial"/>
                <w:sz w:val="16"/>
                <w:szCs w:val="16"/>
              </w:rPr>
              <w:t>, total de matriculados por cohorte</w:t>
            </w:r>
          </w:p>
        </w:tc>
        <w:tc>
          <w:tcPr>
            <w:tcW w:w="2800" w:type="dxa"/>
          </w:tcPr>
          <w:p w:rsidR="00AB7EF3" w:rsidRDefault="007557A4">
            <w:pPr>
              <w:spacing w:before="40" w:after="40" w:line="240" w:lineRule="auto"/>
            </w:pPr>
            <w:r>
              <w:rPr>
                <w:rFonts w:ascii="Arial" w:hAnsi="Arial" w:cs="Arial"/>
                <w:sz w:val="16"/>
                <w:szCs w:val="16"/>
              </w:rPr>
              <w:t xml:space="preserve">206,919 registros. Permite el </w:t>
            </w:r>
            <w:r w:rsidR="00BF5F8A">
              <w:rPr>
                <w:rFonts w:ascii="Arial" w:hAnsi="Arial" w:cs="Arial"/>
                <w:sz w:val="16"/>
                <w:szCs w:val="16"/>
              </w:rPr>
              <w:t>cálculo</w:t>
            </w:r>
            <w:r>
              <w:rPr>
                <w:rFonts w:ascii="Arial" w:hAnsi="Arial" w:cs="Arial"/>
                <w:sz w:val="16"/>
                <w:szCs w:val="16"/>
              </w:rPr>
              <w:t xml:space="preserve"> de HHI, CAGR y market share por NBC, departamento y modalidad. Fuente principal de la </w:t>
            </w:r>
            <w:r w:rsidR="00BF5F8A">
              <w:rPr>
                <w:rFonts w:ascii="Arial" w:hAnsi="Arial" w:cs="Arial"/>
                <w:sz w:val="16"/>
                <w:szCs w:val="16"/>
              </w:rPr>
              <w:t>síntesis</w:t>
            </w:r>
            <w:r>
              <w:rPr>
                <w:rFonts w:ascii="Arial" w:hAnsi="Arial" w:cs="Arial"/>
                <w:sz w:val="16"/>
                <w:szCs w:val="16"/>
              </w:rPr>
              <w:t xml:space="preserve"> </w:t>
            </w:r>
            <w:r w:rsidR="00BF5F8A">
              <w:rPr>
                <w:rFonts w:ascii="Arial" w:hAnsi="Arial" w:cs="Arial"/>
                <w:sz w:val="16"/>
                <w:szCs w:val="16"/>
              </w:rPr>
              <w:t>académica</w:t>
            </w:r>
            <w:r>
              <w:rPr>
                <w:rFonts w:ascii="Arial" w:hAnsi="Arial" w:cs="Arial"/>
                <w:sz w:val="16"/>
                <w:szCs w:val="16"/>
              </w:rPr>
              <w:t>.</w:t>
            </w:r>
          </w:p>
        </w:tc>
      </w:tr>
      <w:tr w:rsidR="00AB7EF3">
        <w:tc>
          <w:tcPr>
            <w:tcW w:w="2800" w:type="dxa"/>
            <w:shd w:val="clear" w:color="auto" w:fill="F2F2F2"/>
          </w:tcPr>
          <w:p w:rsidR="00AB7EF3" w:rsidRDefault="007557A4">
            <w:pPr>
              <w:spacing w:before="40" w:after="40" w:line="240" w:lineRule="auto"/>
            </w:pPr>
            <w:r>
              <w:rPr>
                <w:rFonts w:ascii="Arial" w:hAnsi="Arial" w:cs="Arial"/>
                <w:sz w:val="16"/>
                <w:szCs w:val="16"/>
              </w:rPr>
              <w:t xml:space="preserve">Programas ETDH — </w:t>
            </w:r>
            <w:r w:rsidR="00BF5F8A">
              <w:rPr>
                <w:rFonts w:ascii="Arial" w:hAnsi="Arial" w:cs="Arial"/>
                <w:sz w:val="16"/>
                <w:szCs w:val="16"/>
              </w:rPr>
              <w:t>Educación</w:t>
            </w:r>
            <w:r>
              <w:rPr>
                <w:rFonts w:ascii="Arial" w:hAnsi="Arial" w:cs="Arial"/>
                <w:sz w:val="16"/>
                <w:szCs w:val="16"/>
              </w:rPr>
              <w:t xml:space="preserve"> para el Trabajo (MEN)</w:t>
            </w:r>
          </w:p>
        </w:tc>
        <w:tc>
          <w:tcPr>
            <w:tcW w:w="2800" w:type="dxa"/>
            <w:shd w:val="clear" w:color="auto" w:fill="F2F2F2"/>
          </w:tcPr>
          <w:p w:rsidR="00AB7EF3" w:rsidRDefault="00BF5F8A">
            <w:pPr>
              <w:spacing w:before="40" w:after="40" w:line="240" w:lineRule="auto"/>
            </w:pPr>
            <w:r>
              <w:rPr>
                <w:rFonts w:ascii="Arial" w:hAnsi="Arial" w:cs="Arial"/>
                <w:sz w:val="16"/>
                <w:szCs w:val="16"/>
              </w:rPr>
              <w:t>Código</w:t>
            </w:r>
            <w:r w:rsidR="007557A4">
              <w:rPr>
                <w:rFonts w:ascii="Arial" w:hAnsi="Arial" w:cs="Arial"/>
                <w:sz w:val="16"/>
                <w:szCs w:val="16"/>
              </w:rPr>
              <w:t xml:space="preserve"> de sede, </w:t>
            </w:r>
            <w:r>
              <w:rPr>
                <w:rFonts w:ascii="Arial" w:hAnsi="Arial" w:cs="Arial"/>
                <w:sz w:val="16"/>
                <w:szCs w:val="16"/>
              </w:rPr>
              <w:t>código</w:t>
            </w:r>
            <w:r w:rsidR="007557A4">
              <w:rPr>
                <w:rFonts w:ascii="Arial" w:hAnsi="Arial" w:cs="Arial"/>
                <w:sz w:val="16"/>
                <w:szCs w:val="16"/>
              </w:rPr>
              <w:t xml:space="preserve"> y nombre de </w:t>
            </w:r>
            <w:r>
              <w:rPr>
                <w:rFonts w:ascii="Arial" w:hAnsi="Arial" w:cs="Arial"/>
                <w:sz w:val="16"/>
                <w:szCs w:val="16"/>
              </w:rPr>
              <w:t>institución</w:t>
            </w:r>
            <w:r w:rsidR="007557A4">
              <w:rPr>
                <w:rFonts w:ascii="Arial" w:hAnsi="Arial" w:cs="Arial"/>
                <w:sz w:val="16"/>
                <w:szCs w:val="16"/>
              </w:rPr>
              <w:t xml:space="preserve">, </w:t>
            </w:r>
            <w:r>
              <w:rPr>
                <w:rFonts w:ascii="Arial" w:hAnsi="Arial" w:cs="Arial"/>
                <w:sz w:val="16"/>
                <w:szCs w:val="16"/>
              </w:rPr>
              <w:t>código</w:t>
            </w:r>
            <w:r w:rsidR="007557A4">
              <w:rPr>
                <w:rFonts w:ascii="Arial" w:hAnsi="Arial" w:cs="Arial"/>
                <w:sz w:val="16"/>
                <w:szCs w:val="16"/>
              </w:rPr>
              <w:t xml:space="preserve"> y nombre de programa, </w:t>
            </w:r>
            <w:r>
              <w:rPr>
                <w:rFonts w:ascii="Arial" w:hAnsi="Arial" w:cs="Arial"/>
                <w:sz w:val="16"/>
                <w:szCs w:val="16"/>
              </w:rPr>
              <w:t>área</w:t>
            </w:r>
            <w:r w:rsidR="007557A4">
              <w:rPr>
                <w:rFonts w:ascii="Arial" w:hAnsi="Arial" w:cs="Arial"/>
                <w:sz w:val="16"/>
                <w:szCs w:val="16"/>
              </w:rPr>
              <w:t xml:space="preserve"> de </w:t>
            </w:r>
            <w:r>
              <w:rPr>
                <w:rFonts w:ascii="Arial" w:hAnsi="Arial" w:cs="Arial"/>
                <w:sz w:val="16"/>
                <w:szCs w:val="16"/>
              </w:rPr>
              <w:t>desempeño</w:t>
            </w:r>
            <w:r w:rsidR="007557A4">
              <w:rPr>
                <w:rFonts w:ascii="Arial" w:hAnsi="Arial" w:cs="Arial"/>
                <w:sz w:val="16"/>
                <w:szCs w:val="16"/>
              </w:rPr>
              <w:t xml:space="preserve">, </w:t>
            </w:r>
            <w:r>
              <w:rPr>
                <w:rFonts w:ascii="Arial" w:hAnsi="Arial" w:cs="Arial"/>
                <w:sz w:val="16"/>
                <w:szCs w:val="16"/>
              </w:rPr>
              <w:t>duración</w:t>
            </w:r>
            <w:r w:rsidR="007557A4">
              <w:rPr>
                <w:rFonts w:ascii="Arial" w:hAnsi="Arial" w:cs="Arial"/>
                <w:sz w:val="16"/>
                <w:szCs w:val="16"/>
              </w:rPr>
              <w:t xml:space="preserve"> en horas, costo, estado</w:t>
            </w:r>
          </w:p>
        </w:tc>
        <w:tc>
          <w:tcPr>
            <w:tcW w:w="2800" w:type="dxa"/>
            <w:shd w:val="clear" w:color="auto" w:fill="F2F2F2"/>
          </w:tcPr>
          <w:p w:rsidR="00AB7EF3" w:rsidRDefault="007557A4">
            <w:pPr>
              <w:spacing w:before="40" w:after="40" w:line="240" w:lineRule="auto"/>
            </w:pPr>
            <w:r>
              <w:rPr>
                <w:rFonts w:ascii="Arial" w:hAnsi="Arial" w:cs="Arial"/>
                <w:sz w:val="16"/>
                <w:szCs w:val="16"/>
              </w:rPr>
              <w:t xml:space="preserve">19,867 programas de </w:t>
            </w:r>
            <w:r w:rsidR="00BF5F8A">
              <w:rPr>
                <w:rFonts w:ascii="Arial" w:hAnsi="Arial" w:cs="Arial"/>
                <w:sz w:val="16"/>
                <w:szCs w:val="16"/>
              </w:rPr>
              <w:t>formación</w:t>
            </w:r>
            <w:r>
              <w:rPr>
                <w:rFonts w:ascii="Arial" w:hAnsi="Arial" w:cs="Arial"/>
                <w:sz w:val="16"/>
                <w:szCs w:val="16"/>
              </w:rPr>
              <w:t xml:space="preserve"> para el trabajo. Habilita el puente SNIES-SIET mediante matching </w:t>
            </w:r>
            <w:r w:rsidR="00BF5F8A">
              <w:rPr>
                <w:rFonts w:ascii="Arial" w:hAnsi="Arial" w:cs="Arial"/>
                <w:sz w:val="16"/>
                <w:szCs w:val="16"/>
              </w:rPr>
              <w:t>semántico</w:t>
            </w:r>
            <w:r>
              <w:rPr>
                <w:rFonts w:ascii="Arial" w:hAnsi="Arial" w:cs="Arial"/>
                <w:sz w:val="16"/>
                <w:szCs w:val="16"/>
              </w:rPr>
              <w:t xml:space="preserve"> con embeddings multilingues.</w:t>
            </w:r>
          </w:p>
        </w:tc>
      </w:tr>
      <w:tr w:rsidR="00AB7EF3">
        <w:tc>
          <w:tcPr>
            <w:tcW w:w="2800" w:type="dxa"/>
          </w:tcPr>
          <w:p w:rsidR="00AB7EF3" w:rsidRDefault="00BF5F8A">
            <w:pPr>
              <w:spacing w:before="40" w:after="40" w:line="240" w:lineRule="auto"/>
            </w:pPr>
            <w:r>
              <w:rPr>
                <w:rFonts w:ascii="Arial" w:hAnsi="Arial" w:cs="Arial"/>
                <w:sz w:val="16"/>
                <w:szCs w:val="16"/>
              </w:rPr>
              <w:t>Certificación</w:t>
            </w:r>
            <w:r w:rsidR="007557A4">
              <w:rPr>
                <w:rFonts w:ascii="Arial" w:hAnsi="Arial" w:cs="Arial"/>
                <w:sz w:val="16"/>
                <w:szCs w:val="16"/>
              </w:rPr>
              <w:t xml:space="preserve"> de </w:t>
            </w:r>
            <w:r>
              <w:rPr>
                <w:rFonts w:ascii="Arial" w:hAnsi="Arial" w:cs="Arial"/>
                <w:sz w:val="16"/>
                <w:szCs w:val="16"/>
              </w:rPr>
              <w:t>Formación</w:t>
            </w:r>
            <w:r w:rsidR="007557A4">
              <w:rPr>
                <w:rFonts w:ascii="Arial" w:hAnsi="Arial" w:cs="Arial"/>
                <w:sz w:val="16"/>
                <w:szCs w:val="16"/>
              </w:rPr>
              <w:t xml:space="preserve"> Profesional Integral (SENA)</w:t>
            </w:r>
          </w:p>
        </w:tc>
        <w:tc>
          <w:tcPr>
            <w:tcW w:w="2800" w:type="dxa"/>
          </w:tcPr>
          <w:p w:rsidR="00AB7EF3" w:rsidRDefault="007557A4">
            <w:pPr>
              <w:spacing w:before="40" w:after="40" w:line="240" w:lineRule="auto"/>
            </w:pPr>
            <w:r>
              <w:rPr>
                <w:rFonts w:ascii="Arial" w:hAnsi="Arial" w:cs="Arial"/>
                <w:sz w:val="16"/>
                <w:szCs w:val="16"/>
              </w:rPr>
              <w:t xml:space="preserve">Regional, centro de </w:t>
            </w:r>
            <w:r w:rsidR="00BF5F8A">
              <w:rPr>
                <w:rFonts w:ascii="Arial" w:hAnsi="Arial" w:cs="Arial"/>
                <w:sz w:val="16"/>
                <w:szCs w:val="16"/>
              </w:rPr>
              <w:t>formación</w:t>
            </w:r>
            <w:r>
              <w:rPr>
                <w:rFonts w:ascii="Arial" w:hAnsi="Arial" w:cs="Arial"/>
                <w:sz w:val="16"/>
                <w:szCs w:val="16"/>
              </w:rPr>
              <w:t xml:space="preserve">, ficha, programa, nivel de </w:t>
            </w:r>
            <w:r w:rsidR="00BF5F8A">
              <w:rPr>
                <w:rFonts w:ascii="Arial" w:hAnsi="Arial" w:cs="Arial"/>
                <w:sz w:val="16"/>
                <w:szCs w:val="16"/>
              </w:rPr>
              <w:t>formación</w:t>
            </w:r>
            <w:r>
              <w:rPr>
                <w:rFonts w:ascii="Arial" w:hAnsi="Arial" w:cs="Arial"/>
                <w:sz w:val="16"/>
                <w:szCs w:val="16"/>
              </w:rPr>
              <w:t xml:space="preserve">, municipio, </w:t>
            </w:r>
            <w:r w:rsidR="00BF5F8A">
              <w:rPr>
                <w:rFonts w:ascii="Arial" w:hAnsi="Arial" w:cs="Arial"/>
                <w:sz w:val="16"/>
                <w:szCs w:val="16"/>
              </w:rPr>
              <w:t>duración</w:t>
            </w:r>
          </w:p>
        </w:tc>
        <w:tc>
          <w:tcPr>
            <w:tcW w:w="2800" w:type="dxa"/>
          </w:tcPr>
          <w:p w:rsidR="00AB7EF3" w:rsidRDefault="007557A4">
            <w:pPr>
              <w:spacing w:before="40" w:after="40" w:line="240" w:lineRule="auto"/>
            </w:pPr>
            <w:r>
              <w:rPr>
                <w:rFonts w:ascii="Arial" w:hAnsi="Arial" w:cs="Arial"/>
                <w:sz w:val="16"/>
                <w:szCs w:val="16"/>
              </w:rPr>
              <w:t xml:space="preserve">8,538 registros. Aporta al </w:t>
            </w:r>
            <w:r w:rsidR="00BF5F8A">
              <w:rPr>
                <w:rFonts w:ascii="Arial" w:hAnsi="Arial" w:cs="Arial"/>
                <w:sz w:val="16"/>
                <w:szCs w:val="16"/>
              </w:rPr>
              <w:t>análisis</w:t>
            </w:r>
            <w:r>
              <w:rPr>
                <w:rFonts w:ascii="Arial" w:hAnsi="Arial" w:cs="Arial"/>
                <w:sz w:val="16"/>
                <w:szCs w:val="16"/>
              </w:rPr>
              <w:t xml:space="preserve"> de complementariedad entre la </w:t>
            </w:r>
            <w:r w:rsidR="00BF5F8A">
              <w:rPr>
                <w:rFonts w:ascii="Arial" w:hAnsi="Arial" w:cs="Arial"/>
                <w:sz w:val="16"/>
                <w:szCs w:val="16"/>
              </w:rPr>
              <w:t>formación</w:t>
            </w:r>
            <w:r>
              <w:rPr>
                <w:rFonts w:ascii="Arial" w:hAnsi="Arial" w:cs="Arial"/>
                <w:sz w:val="16"/>
                <w:szCs w:val="16"/>
              </w:rPr>
              <w:t xml:space="preserve"> profesional del SENA y la </w:t>
            </w:r>
            <w:r w:rsidR="00BF5F8A">
              <w:rPr>
                <w:rFonts w:ascii="Arial" w:hAnsi="Arial" w:cs="Arial"/>
                <w:sz w:val="16"/>
                <w:szCs w:val="16"/>
              </w:rPr>
              <w:t>educación</w:t>
            </w:r>
            <w:r>
              <w:rPr>
                <w:rFonts w:ascii="Arial" w:hAnsi="Arial" w:cs="Arial"/>
                <w:sz w:val="16"/>
                <w:szCs w:val="16"/>
              </w:rPr>
              <w:t xml:space="preserve"> superior formal.</w:t>
            </w:r>
          </w:p>
        </w:tc>
      </w:tr>
      <w:tr w:rsidR="00AB7EF3">
        <w:tc>
          <w:tcPr>
            <w:tcW w:w="2800" w:type="dxa"/>
            <w:shd w:val="clear" w:color="auto" w:fill="F2F2F2"/>
          </w:tcPr>
          <w:p w:rsidR="00AB7EF3" w:rsidRDefault="007557A4">
            <w:pPr>
              <w:spacing w:before="40" w:after="40" w:line="240" w:lineRule="auto"/>
            </w:pPr>
            <w:r>
              <w:rPr>
                <w:rFonts w:ascii="Arial" w:hAnsi="Arial" w:cs="Arial"/>
                <w:sz w:val="16"/>
                <w:szCs w:val="16"/>
              </w:rPr>
              <w:t xml:space="preserve">Cupos y </w:t>
            </w:r>
            <w:r w:rsidR="00BF5F8A">
              <w:rPr>
                <w:rFonts w:ascii="Arial" w:hAnsi="Arial" w:cs="Arial"/>
                <w:sz w:val="16"/>
                <w:szCs w:val="16"/>
              </w:rPr>
              <w:t>Deserción</w:t>
            </w:r>
            <w:r>
              <w:rPr>
                <w:rFonts w:ascii="Arial" w:hAnsi="Arial" w:cs="Arial"/>
                <w:sz w:val="16"/>
                <w:szCs w:val="16"/>
              </w:rPr>
              <w:t xml:space="preserve"> en FPI (SENA)</w:t>
            </w:r>
          </w:p>
        </w:tc>
        <w:tc>
          <w:tcPr>
            <w:tcW w:w="2800" w:type="dxa"/>
            <w:shd w:val="clear" w:color="auto" w:fill="F2F2F2"/>
          </w:tcPr>
          <w:p w:rsidR="00AB7EF3" w:rsidRDefault="007557A4">
            <w:pPr>
              <w:spacing w:before="40" w:after="40" w:line="240" w:lineRule="auto"/>
            </w:pPr>
            <w:r>
              <w:rPr>
                <w:rFonts w:ascii="Arial" w:hAnsi="Arial" w:cs="Arial"/>
                <w:sz w:val="16"/>
                <w:szCs w:val="16"/>
              </w:rPr>
              <w:t xml:space="preserve">Periodo, regional, centro, tipo de </w:t>
            </w:r>
            <w:r w:rsidR="00BF5F8A">
              <w:rPr>
                <w:rFonts w:ascii="Arial" w:hAnsi="Arial" w:cs="Arial"/>
                <w:sz w:val="16"/>
                <w:szCs w:val="16"/>
              </w:rPr>
              <w:t>población</w:t>
            </w:r>
            <w:r>
              <w:rPr>
                <w:rFonts w:ascii="Arial" w:hAnsi="Arial" w:cs="Arial"/>
                <w:sz w:val="16"/>
                <w:szCs w:val="16"/>
              </w:rPr>
              <w:t xml:space="preserve">, estado de la </w:t>
            </w:r>
            <w:r w:rsidR="00BF5F8A">
              <w:rPr>
                <w:rFonts w:ascii="Arial" w:hAnsi="Arial" w:cs="Arial"/>
                <w:sz w:val="16"/>
                <w:szCs w:val="16"/>
              </w:rPr>
              <w:t>formación</w:t>
            </w:r>
            <w:r>
              <w:rPr>
                <w:rFonts w:ascii="Arial" w:hAnsi="Arial" w:cs="Arial"/>
                <w:sz w:val="16"/>
                <w:szCs w:val="16"/>
              </w:rPr>
              <w:t xml:space="preserve">, causa de </w:t>
            </w:r>
            <w:r w:rsidR="00BF5F8A">
              <w:rPr>
                <w:rFonts w:ascii="Arial" w:hAnsi="Arial" w:cs="Arial"/>
                <w:sz w:val="16"/>
                <w:szCs w:val="16"/>
              </w:rPr>
              <w:t>deserción</w:t>
            </w:r>
          </w:p>
        </w:tc>
        <w:tc>
          <w:tcPr>
            <w:tcW w:w="2800" w:type="dxa"/>
            <w:shd w:val="clear" w:color="auto" w:fill="F2F2F2"/>
          </w:tcPr>
          <w:p w:rsidR="00AB7EF3" w:rsidRDefault="007557A4">
            <w:pPr>
              <w:spacing w:before="40" w:after="40" w:line="240" w:lineRule="auto"/>
            </w:pPr>
            <w:r>
              <w:rPr>
                <w:rFonts w:ascii="Arial" w:hAnsi="Arial" w:cs="Arial"/>
                <w:sz w:val="16"/>
                <w:szCs w:val="16"/>
              </w:rPr>
              <w:t xml:space="preserve">42,080 registros. Enriquece el componente de </w:t>
            </w:r>
            <w:r w:rsidR="00BF5F8A">
              <w:rPr>
                <w:rFonts w:ascii="Arial" w:hAnsi="Arial" w:cs="Arial"/>
                <w:sz w:val="16"/>
                <w:szCs w:val="16"/>
              </w:rPr>
              <w:t>análisis</w:t>
            </w:r>
            <w:r>
              <w:rPr>
                <w:rFonts w:ascii="Arial" w:hAnsi="Arial" w:cs="Arial"/>
                <w:sz w:val="16"/>
                <w:szCs w:val="16"/>
              </w:rPr>
              <w:t xml:space="preserve"> de permanencia con datos del ecosistema SENA, contrastando patrones de </w:t>
            </w:r>
            <w:r w:rsidR="00BF5F8A">
              <w:rPr>
                <w:rFonts w:ascii="Arial" w:hAnsi="Arial" w:cs="Arial"/>
                <w:sz w:val="16"/>
                <w:szCs w:val="16"/>
              </w:rPr>
              <w:t>deserción</w:t>
            </w:r>
            <w:r>
              <w:rPr>
                <w:rFonts w:ascii="Arial" w:hAnsi="Arial" w:cs="Arial"/>
                <w:sz w:val="16"/>
                <w:szCs w:val="16"/>
              </w:rPr>
              <w:t xml:space="preserve"> entre </w:t>
            </w:r>
            <w:r w:rsidR="00BF5F8A">
              <w:rPr>
                <w:rFonts w:ascii="Arial" w:hAnsi="Arial" w:cs="Arial"/>
                <w:sz w:val="16"/>
                <w:szCs w:val="16"/>
              </w:rPr>
              <w:t>formación</w:t>
            </w:r>
            <w:r>
              <w:rPr>
                <w:rFonts w:ascii="Arial" w:hAnsi="Arial" w:cs="Arial"/>
                <w:sz w:val="16"/>
                <w:szCs w:val="16"/>
              </w:rPr>
              <w:t xml:space="preserve"> profesional y </w:t>
            </w:r>
            <w:r w:rsidR="00BF5F8A">
              <w:rPr>
                <w:rFonts w:ascii="Arial" w:hAnsi="Arial" w:cs="Arial"/>
                <w:sz w:val="16"/>
                <w:szCs w:val="16"/>
              </w:rPr>
              <w:t>educación</w:t>
            </w:r>
            <w:r>
              <w:rPr>
                <w:rFonts w:ascii="Arial" w:hAnsi="Arial" w:cs="Arial"/>
                <w:sz w:val="16"/>
                <w:szCs w:val="16"/>
              </w:rPr>
              <w:t xml:space="preserve"> superior.</w:t>
            </w:r>
          </w:p>
        </w:tc>
      </w:tr>
      <w:tr w:rsidR="00AB7EF3">
        <w:tc>
          <w:tcPr>
            <w:tcW w:w="2800" w:type="dxa"/>
          </w:tcPr>
          <w:p w:rsidR="00AB7EF3" w:rsidRDefault="007557A4">
            <w:pPr>
              <w:spacing w:before="40" w:after="40" w:line="240" w:lineRule="auto"/>
            </w:pPr>
            <w:r>
              <w:rPr>
                <w:rFonts w:ascii="Arial" w:hAnsi="Arial" w:cs="Arial"/>
                <w:sz w:val="16"/>
                <w:szCs w:val="16"/>
              </w:rPr>
              <w:t xml:space="preserve">Inscritos en la Agencia </w:t>
            </w:r>
            <w:r w:rsidR="00BF5F8A">
              <w:rPr>
                <w:rFonts w:ascii="Arial" w:hAnsi="Arial" w:cs="Arial"/>
                <w:sz w:val="16"/>
                <w:szCs w:val="16"/>
              </w:rPr>
              <w:t>Pública</w:t>
            </w:r>
            <w:r>
              <w:rPr>
                <w:rFonts w:ascii="Arial" w:hAnsi="Arial" w:cs="Arial"/>
                <w:sz w:val="16"/>
                <w:szCs w:val="16"/>
              </w:rPr>
              <w:t xml:space="preserve"> de Empleo (SENA)</w:t>
            </w:r>
          </w:p>
        </w:tc>
        <w:tc>
          <w:tcPr>
            <w:tcW w:w="2800" w:type="dxa"/>
          </w:tcPr>
          <w:p w:rsidR="00AB7EF3" w:rsidRDefault="007557A4">
            <w:pPr>
              <w:spacing w:before="40" w:after="40" w:line="240" w:lineRule="auto"/>
            </w:pPr>
            <w:r>
              <w:rPr>
                <w:rFonts w:ascii="Arial" w:hAnsi="Arial" w:cs="Arial"/>
                <w:sz w:val="16"/>
                <w:szCs w:val="16"/>
              </w:rPr>
              <w:t xml:space="preserve">ID de </w:t>
            </w:r>
            <w:r w:rsidR="00BF5F8A">
              <w:rPr>
                <w:rFonts w:ascii="Arial" w:hAnsi="Arial" w:cs="Arial"/>
                <w:sz w:val="16"/>
                <w:szCs w:val="16"/>
              </w:rPr>
              <w:t>ocupación</w:t>
            </w:r>
            <w:r>
              <w:rPr>
                <w:rFonts w:ascii="Arial" w:hAnsi="Arial" w:cs="Arial"/>
                <w:sz w:val="16"/>
                <w:szCs w:val="16"/>
              </w:rPr>
              <w:t xml:space="preserve">, nombre de la </w:t>
            </w:r>
            <w:r w:rsidR="00BF5F8A">
              <w:rPr>
                <w:rFonts w:ascii="Arial" w:hAnsi="Arial" w:cs="Arial"/>
                <w:sz w:val="16"/>
                <w:szCs w:val="16"/>
              </w:rPr>
              <w:t>ocupación</w:t>
            </w:r>
            <w:r>
              <w:rPr>
                <w:rFonts w:ascii="Arial" w:hAnsi="Arial" w:cs="Arial"/>
                <w:sz w:val="16"/>
                <w:szCs w:val="16"/>
              </w:rPr>
              <w:t xml:space="preserve">, nivel, </w:t>
            </w:r>
            <w:r w:rsidR="00BF5F8A">
              <w:rPr>
                <w:rFonts w:ascii="Arial" w:hAnsi="Arial" w:cs="Arial"/>
                <w:sz w:val="16"/>
                <w:szCs w:val="16"/>
              </w:rPr>
              <w:t>número</w:t>
            </w:r>
            <w:r>
              <w:rPr>
                <w:rFonts w:ascii="Arial" w:hAnsi="Arial" w:cs="Arial"/>
                <w:sz w:val="16"/>
                <w:szCs w:val="16"/>
              </w:rPr>
              <w:t xml:space="preserve"> de inscritos anuales</w:t>
            </w:r>
          </w:p>
        </w:tc>
        <w:tc>
          <w:tcPr>
            <w:tcW w:w="2800" w:type="dxa"/>
          </w:tcPr>
          <w:p w:rsidR="00AB7EF3" w:rsidRDefault="007557A4">
            <w:pPr>
              <w:spacing w:before="40" w:after="40" w:line="240" w:lineRule="auto"/>
            </w:pPr>
            <w:r>
              <w:rPr>
                <w:rFonts w:ascii="Arial" w:hAnsi="Arial" w:cs="Arial"/>
                <w:sz w:val="16"/>
                <w:szCs w:val="16"/>
              </w:rPr>
              <w:t xml:space="preserve">566 registros de ocupaciones con demanda laboral. Contribuye al </w:t>
            </w:r>
            <w:r w:rsidR="00BF5F8A">
              <w:rPr>
                <w:rFonts w:ascii="Arial" w:hAnsi="Arial" w:cs="Arial"/>
                <w:sz w:val="16"/>
                <w:szCs w:val="16"/>
              </w:rPr>
              <w:t>cálculo</w:t>
            </w:r>
            <w:r>
              <w:rPr>
                <w:rFonts w:ascii="Arial" w:hAnsi="Arial" w:cs="Arial"/>
                <w:sz w:val="16"/>
                <w:szCs w:val="16"/>
              </w:rPr>
              <w:t xml:space="preserve"> del ratio de </w:t>
            </w:r>
            <w:r w:rsidR="00BF5F8A">
              <w:rPr>
                <w:rFonts w:ascii="Arial" w:hAnsi="Arial" w:cs="Arial"/>
                <w:sz w:val="16"/>
                <w:szCs w:val="16"/>
              </w:rPr>
              <w:t>absorción</w:t>
            </w:r>
            <w:r>
              <w:rPr>
                <w:rFonts w:ascii="Arial" w:hAnsi="Arial" w:cs="Arial"/>
                <w:sz w:val="16"/>
                <w:szCs w:val="16"/>
              </w:rPr>
              <w:t xml:space="preserve"> laboral y al matching </w:t>
            </w:r>
            <w:r w:rsidR="00BF5F8A">
              <w:rPr>
                <w:rFonts w:ascii="Arial" w:hAnsi="Arial" w:cs="Arial"/>
                <w:sz w:val="16"/>
                <w:szCs w:val="16"/>
              </w:rPr>
              <w:t>semántico</w:t>
            </w:r>
            <w:r>
              <w:rPr>
                <w:rFonts w:ascii="Arial" w:hAnsi="Arial" w:cs="Arial"/>
                <w:sz w:val="16"/>
                <w:szCs w:val="16"/>
              </w:rPr>
              <w:t xml:space="preserve"> con ocupaciones CUOC.</w:t>
            </w:r>
          </w:p>
        </w:tc>
      </w:tr>
      <w:tr w:rsidR="00AB7EF3">
        <w:tc>
          <w:tcPr>
            <w:tcW w:w="2800" w:type="dxa"/>
            <w:shd w:val="clear" w:color="auto" w:fill="F2F2F2"/>
          </w:tcPr>
          <w:p w:rsidR="00AB7EF3" w:rsidRDefault="007557A4">
            <w:pPr>
              <w:spacing w:before="40" w:after="40" w:line="240" w:lineRule="auto"/>
            </w:pPr>
            <w:r>
              <w:rPr>
                <w:rFonts w:ascii="Arial" w:hAnsi="Arial" w:cs="Arial"/>
                <w:sz w:val="16"/>
                <w:szCs w:val="16"/>
              </w:rPr>
              <w:lastRenderedPageBreak/>
              <w:t>Accesos a Internet Fijo (MinTIC - CRC)</w:t>
            </w:r>
          </w:p>
        </w:tc>
        <w:tc>
          <w:tcPr>
            <w:tcW w:w="2800" w:type="dxa"/>
            <w:shd w:val="clear" w:color="auto" w:fill="F2F2F2"/>
          </w:tcPr>
          <w:p w:rsidR="00AB7EF3" w:rsidRDefault="007557A4">
            <w:pPr>
              <w:spacing w:before="40" w:after="40" w:line="240" w:lineRule="auto"/>
            </w:pPr>
            <w:r>
              <w:rPr>
                <w:rFonts w:ascii="Arial" w:hAnsi="Arial" w:cs="Arial"/>
                <w:sz w:val="16"/>
                <w:szCs w:val="16"/>
              </w:rPr>
              <w:t xml:space="preserve">Departamento, municipio, proveedor, </w:t>
            </w:r>
            <w:r w:rsidR="00BF5F8A">
              <w:rPr>
                <w:rFonts w:ascii="Arial" w:hAnsi="Arial" w:cs="Arial"/>
                <w:sz w:val="16"/>
                <w:szCs w:val="16"/>
              </w:rPr>
              <w:t>tecnología</w:t>
            </w:r>
            <w:r>
              <w:rPr>
                <w:rFonts w:ascii="Arial" w:hAnsi="Arial" w:cs="Arial"/>
                <w:sz w:val="16"/>
                <w:szCs w:val="16"/>
              </w:rPr>
              <w:t>, velocidad de bajada, numero de accesos</w:t>
            </w:r>
          </w:p>
        </w:tc>
        <w:tc>
          <w:tcPr>
            <w:tcW w:w="2800" w:type="dxa"/>
            <w:shd w:val="clear" w:color="auto" w:fill="F2F2F2"/>
          </w:tcPr>
          <w:p w:rsidR="00AB7EF3" w:rsidRDefault="007557A4">
            <w:pPr>
              <w:spacing w:before="40" w:after="40" w:line="240" w:lineRule="auto"/>
            </w:pPr>
            <w:r>
              <w:rPr>
                <w:rFonts w:ascii="Arial" w:hAnsi="Arial" w:cs="Arial"/>
                <w:sz w:val="16"/>
                <w:szCs w:val="16"/>
              </w:rPr>
              <w:t xml:space="preserve">1,678,363 registros de conectividad. Alimentan la </w:t>
            </w:r>
            <w:r w:rsidR="00BF5F8A">
              <w:rPr>
                <w:rFonts w:ascii="Arial" w:hAnsi="Arial" w:cs="Arial"/>
                <w:sz w:val="16"/>
                <w:szCs w:val="16"/>
              </w:rPr>
              <w:t>síntesis</w:t>
            </w:r>
            <w:r>
              <w:rPr>
                <w:rFonts w:ascii="Arial" w:hAnsi="Arial" w:cs="Arial"/>
                <w:sz w:val="16"/>
                <w:szCs w:val="16"/>
              </w:rPr>
              <w:t xml:space="preserve"> territorial determinando la viabilidad de modalidades virtuales o hibridas.</w:t>
            </w:r>
          </w:p>
        </w:tc>
      </w:tr>
      <w:tr w:rsidR="00AB7EF3">
        <w:tc>
          <w:tcPr>
            <w:tcW w:w="2800" w:type="dxa"/>
          </w:tcPr>
          <w:p w:rsidR="00AB7EF3" w:rsidRDefault="007557A4">
            <w:pPr>
              <w:spacing w:before="40" w:after="40" w:line="240" w:lineRule="auto"/>
            </w:pPr>
            <w:r>
              <w:rPr>
                <w:rFonts w:ascii="Arial" w:hAnsi="Arial" w:cs="Arial"/>
                <w:sz w:val="16"/>
                <w:szCs w:val="16"/>
              </w:rPr>
              <w:t xml:space="preserve">Cobertura </w:t>
            </w:r>
            <w:r w:rsidR="00BF5F8A">
              <w:rPr>
                <w:rFonts w:ascii="Arial" w:hAnsi="Arial" w:cs="Arial"/>
                <w:sz w:val="16"/>
                <w:szCs w:val="16"/>
              </w:rPr>
              <w:t>Móvil</w:t>
            </w:r>
            <w:r>
              <w:rPr>
                <w:rFonts w:ascii="Arial" w:hAnsi="Arial" w:cs="Arial"/>
                <w:sz w:val="16"/>
                <w:szCs w:val="16"/>
              </w:rPr>
              <w:t xml:space="preserve"> por </w:t>
            </w:r>
            <w:r w:rsidR="00BF5F8A">
              <w:rPr>
                <w:rFonts w:ascii="Arial" w:hAnsi="Arial" w:cs="Arial"/>
                <w:sz w:val="16"/>
                <w:szCs w:val="16"/>
              </w:rPr>
              <w:t>Tecnología</w:t>
            </w:r>
            <w:r>
              <w:rPr>
                <w:rFonts w:ascii="Arial" w:hAnsi="Arial" w:cs="Arial"/>
                <w:sz w:val="16"/>
                <w:szCs w:val="16"/>
              </w:rPr>
              <w:t xml:space="preserve"> (MinTIC - ANE)</w:t>
            </w:r>
          </w:p>
        </w:tc>
        <w:tc>
          <w:tcPr>
            <w:tcW w:w="2800" w:type="dxa"/>
          </w:tcPr>
          <w:p w:rsidR="00AB7EF3" w:rsidRDefault="007557A4">
            <w:pPr>
              <w:spacing w:before="40" w:after="40" w:line="240" w:lineRule="auto"/>
            </w:pPr>
            <w:r>
              <w:rPr>
                <w:rFonts w:ascii="Arial" w:hAnsi="Arial" w:cs="Arial"/>
                <w:sz w:val="16"/>
                <w:szCs w:val="16"/>
              </w:rPr>
              <w:t>Departamento, municipio, proveedor, cobertura 2G, 3G, 4G, LTE, 5G, cabecera municipal</w:t>
            </w:r>
          </w:p>
        </w:tc>
        <w:tc>
          <w:tcPr>
            <w:tcW w:w="2800" w:type="dxa"/>
          </w:tcPr>
          <w:p w:rsidR="00AB7EF3" w:rsidRDefault="007557A4">
            <w:pPr>
              <w:spacing w:before="40" w:after="40" w:line="240" w:lineRule="auto"/>
            </w:pPr>
            <w:r>
              <w:rPr>
                <w:rFonts w:ascii="Arial" w:hAnsi="Arial" w:cs="Arial"/>
                <w:sz w:val="16"/>
                <w:szCs w:val="16"/>
              </w:rPr>
              <w:t xml:space="preserve">177,152 registros de cobertura </w:t>
            </w:r>
            <w:r w:rsidR="00BF5F8A">
              <w:rPr>
                <w:rFonts w:ascii="Arial" w:hAnsi="Arial" w:cs="Arial"/>
                <w:sz w:val="16"/>
                <w:szCs w:val="16"/>
              </w:rPr>
              <w:t>móvil</w:t>
            </w:r>
            <w:r>
              <w:rPr>
                <w:rFonts w:ascii="Arial" w:hAnsi="Arial" w:cs="Arial"/>
                <w:sz w:val="16"/>
                <w:szCs w:val="16"/>
              </w:rPr>
              <w:t xml:space="preserve">. Complementan el </w:t>
            </w:r>
            <w:r w:rsidR="00BF5F8A">
              <w:rPr>
                <w:rFonts w:ascii="Arial" w:hAnsi="Arial" w:cs="Arial"/>
                <w:sz w:val="16"/>
                <w:szCs w:val="16"/>
              </w:rPr>
              <w:t>índice</w:t>
            </w:r>
            <w:r>
              <w:rPr>
                <w:rFonts w:ascii="Arial" w:hAnsi="Arial" w:cs="Arial"/>
                <w:sz w:val="16"/>
                <w:szCs w:val="16"/>
              </w:rPr>
              <w:t xml:space="preserve"> de conectividad territorial para evaluar condiciones de acceso a </w:t>
            </w:r>
            <w:r w:rsidR="00BF5F8A">
              <w:rPr>
                <w:rFonts w:ascii="Arial" w:hAnsi="Arial" w:cs="Arial"/>
                <w:sz w:val="16"/>
                <w:szCs w:val="16"/>
              </w:rPr>
              <w:t>educación</w:t>
            </w:r>
            <w:r>
              <w:rPr>
                <w:rFonts w:ascii="Arial" w:hAnsi="Arial" w:cs="Arial"/>
                <w:sz w:val="16"/>
                <w:szCs w:val="16"/>
              </w:rPr>
              <w:t xml:space="preserve"> virtual.</w:t>
            </w:r>
          </w:p>
        </w:tc>
      </w:tr>
      <w:tr w:rsidR="00AB7EF3">
        <w:tc>
          <w:tcPr>
            <w:tcW w:w="2800" w:type="dxa"/>
            <w:shd w:val="clear" w:color="auto" w:fill="F2F2F2"/>
          </w:tcPr>
          <w:p w:rsidR="00AB7EF3" w:rsidRDefault="007557A4">
            <w:pPr>
              <w:spacing w:before="40" w:after="40" w:line="240" w:lineRule="auto"/>
            </w:pPr>
            <w:r>
              <w:rPr>
                <w:rFonts w:ascii="Arial" w:hAnsi="Arial" w:cs="Arial"/>
                <w:sz w:val="16"/>
                <w:szCs w:val="16"/>
              </w:rPr>
              <w:t>Estructura Empresarial — RUES (Confecamaras)</w:t>
            </w:r>
          </w:p>
        </w:tc>
        <w:tc>
          <w:tcPr>
            <w:tcW w:w="2800" w:type="dxa"/>
            <w:shd w:val="clear" w:color="auto" w:fill="F2F2F2"/>
          </w:tcPr>
          <w:p w:rsidR="00AB7EF3" w:rsidRDefault="007557A4">
            <w:pPr>
              <w:spacing w:before="40" w:after="40" w:line="240" w:lineRule="auto"/>
            </w:pPr>
            <w:r>
              <w:rPr>
                <w:rFonts w:ascii="Arial" w:hAnsi="Arial" w:cs="Arial"/>
                <w:sz w:val="16"/>
                <w:szCs w:val="16"/>
              </w:rPr>
              <w:t xml:space="preserve">Sector CIIU, </w:t>
            </w:r>
            <w:r w:rsidR="00BF5F8A">
              <w:rPr>
                <w:rFonts w:ascii="Arial" w:hAnsi="Arial" w:cs="Arial"/>
                <w:sz w:val="16"/>
                <w:szCs w:val="16"/>
              </w:rPr>
              <w:t>número</w:t>
            </w:r>
            <w:r>
              <w:rPr>
                <w:rFonts w:ascii="Arial" w:hAnsi="Arial" w:cs="Arial"/>
                <w:sz w:val="16"/>
                <w:szCs w:val="16"/>
              </w:rPr>
              <w:t xml:space="preserve"> de empresas, </w:t>
            </w:r>
            <w:r w:rsidR="00BF5F8A">
              <w:rPr>
                <w:rFonts w:ascii="Arial" w:hAnsi="Arial" w:cs="Arial"/>
                <w:sz w:val="16"/>
                <w:szCs w:val="16"/>
              </w:rPr>
              <w:t>tamaño</w:t>
            </w:r>
            <w:r>
              <w:rPr>
                <w:rFonts w:ascii="Arial" w:hAnsi="Arial" w:cs="Arial"/>
                <w:sz w:val="16"/>
                <w:szCs w:val="16"/>
              </w:rPr>
              <w:t xml:space="preserve">, municipio, actividad </w:t>
            </w:r>
            <w:r w:rsidR="00BF5F8A">
              <w:rPr>
                <w:rFonts w:ascii="Arial" w:hAnsi="Arial" w:cs="Arial"/>
                <w:sz w:val="16"/>
                <w:szCs w:val="16"/>
              </w:rPr>
              <w:t>económica</w:t>
            </w:r>
          </w:p>
        </w:tc>
        <w:tc>
          <w:tcPr>
            <w:tcW w:w="2800" w:type="dxa"/>
            <w:shd w:val="clear" w:color="auto" w:fill="F2F2F2"/>
          </w:tcPr>
          <w:p w:rsidR="00AB7EF3" w:rsidRDefault="007557A4">
            <w:pPr>
              <w:spacing w:before="40" w:after="40" w:line="240" w:lineRule="auto"/>
            </w:pPr>
            <w:r>
              <w:rPr>
                <w:rFonts w:ascii="Arial" w:hAnsi="Arial" w:cs="Arial"/>
                <w:sz w:val="16"/>
                <w:szCs w:val="16"/>
              </w:rPr>
              <w:t xml:space="preserve">141,729 empresas activas. Permiten el </w:t>
            </w:r>
            <w:r w:rsidR="00BF5F8A">
              <w:rPr>
                <w:rFonts w:ascii="Arial" w:hAnsi="Arial" w:cs="Arial"/>
                <w:sz w:val="16"/>
                <w:szCs w:val="16"/>
              </w:rPr>
              <w:t>análisis</w:t>
            </w:r>
            <w:r>
              <w:rPr>
                <w:rFonts w:ascii="Arial" w:hAnsi="Arial" w:cs="Arial"/>
                <w:sz w:val="16"/>
                <w:szCs w:val="16"/>
              </w:rPr>
              <w:t xml:space="preserve"> de </w:t>
            </w:r>
            <w:r w:rsidR="00BF5F8A">
              <w:rPr>
                <w:rFonts w:ascii="Arial" w:hAnsi="Arial" w:cs="Arial"/>
                <w:sz w:val="16"/>
                <w:szCs w:val="16"/>
              </w:rPr>
              <w:t>clúster</w:t>
            </w:r>
            <w:r>
              <w:rPr>
                <w:rFonts w:ascii="Arial" w:hAnsi="Arial" w:cs="Arial"/>
                <w:sz w:val="16"/>
                <w:szCs w:val="16"/>
              </w:rPr>
              <w:t xml:space="preserve"> empresarial por NBC y departamento, evaluando la demanda laboral territorial.</w:t>
            </w:r>
          </w:p>
        </w:tc>
      </w:tr>
      <w:tr w:rsidR="00AB7EF3">
        <w:tc>
          <w:tcPr>
            <w:tcW w:w="2800" w:type="dxa"/>
          </w:tcPr>
          <w:p w:rsidR="00AB7EF3" w:rsidRDefault="00BF5F8A">
            <w:pPr>
              <w:spacing w:before="40" w:after="40" w:line="240" w:lineRule="auto"/>
            </w:pPr>
            <w:r>
              <w:rPr>
                <w:rFonts w:ascii="Arial" w:hAnsi="Arial" w:cs="Arial"/>
                <w:sz w:val="16"/>
                <w:szCs w:val="16"/>
              </w:rPr>
              <w:t>Medición</w:t>
            </w:r>
            <w:r w:rsidR="007557A4">
              <w:rPr>
                <w:rFonts w:ascii="Arial" w:hAnsi="Arial" w:cs="Arial"/>
                <w:sz w:val="16"/>
                <w:szCs w:val="16"/>
              </w:rPr>
              <w:t xml:space="preserve"> de </w:t>
            </w:r>
            <w:r>
              <w:rPr>
                <w:rFonts w:ascii="Arial" w:hAnsi="Arial" w:cs="Arial"/>
                <w:sz w:val="16"/>
                <w:szCs w:val="16"/>
              </w:rPr>
              <w:t>Desempeño</w:t>
            </w:r>
            <w:r w:rsidR="007557A4">
              <w:rPr>
                <w:rFonts w:ascii="Arial" w:hAnsi="Arial" w:cs="Arial"/>
                <w:sz w:val="16"/>
                <w:szCs w:val="16"/>
              </w:rPr>
              <w:t xml:space="preserve"> Municipal — MDM (DNP)</w:t>
            </w:r>
          </w:p>
        </w:tc>
        <w:tc>
          <w:tcPr>
            <w:tcW w:w="2800" w:type="dxa"/>
          </w:tcPr>
          <w:p w:rsidR="00AB7EF3" w:rsidRDefault="007557A4">
            <w:pPr>
              <w:spacing w:before="40" w:after="40" w:line="240" w:lineRule="auto"/>
            </w:pPr>
            <w:r>
              <w:rPr>
                <w:rFonts w:ascii="Arial" w:hAnsi="Arial" w:cs="Arial"/>
                <w:sz w:val="16"/>
                <w:szCs w:val="16"/>
              </w:rPr>
              <w:t xml:space="preserve">Indicador, dato, </w:t>
            </w:r>
            <w:r w:rsidR="00BF5F8A">
              <w:rPr>
                <w:rFonts w:ascii="Arial" w:hAnsi="Arial" w:cs="Arial"/>
                <w:sz w:val="16"/>
                <w:szCs w:val="16"/>
              </w:rPr>
              <w:t>código</w:t>
            </w:r>
            <w:r>
              <w:rPr>
                <w:rFonts w:ascii="Arial" w:hAnsi="Arial" w:cs="Arial"/>
                <w:sz w:val="16"/>
                <w:szCs w:val="16"/>
              </w:rPr>
              <w:t xml:space="preserve"> de entidad, municipio, vigencia</w:t>
            </w:r>
          </w:p>
        </w:tc>
        <w:tc>
          <w:tcPr>
            <w:tcW w:w="2800" w:type="dxa"/>
          </w:tcPr>
          <w:p w:rsidR="00AB7EF3" w:rsidRDefault="007557A4">
            <w:pPr>
              <w:spacing w:before="40" w:after="40" w:line="240" w:lineRule="auto"/>
            </w:pPr>
            <w:r>
              <w:rPr>
                <w:rFonts w:ascii="Arial" w:hAnsi="Arial" w:cs="Arial"/>
                <w:sz w:val="16"/>
                <w:szCs w:val="16"/>
              </w:rPr>
              <w:t xml:space="preserve">22,020 registros de </w:t>
            </w:r>
            <w:r w:rsidR="00BF5F8A">
              <w:rPr>
                <w:rFonts w:ascii="Arial" w:hAnsi="Arial" w:cs="Arial"/>
                <w:sz w:val="16"/>
                <w:szCs w:val="16"/>
              </w:rPr>
              <w:t>desempeño</w:t>
            </w:r>
            <w:r>
              <w:rPr>
                <w:rFonts w:ascii="Arial" w:hAnsi="Arial" w:cs="Arial"/>
                <w:sz w:val="16"/>
                <w:szCs w:val="16"/>
              </w:rPr>
              <w:t xml:space="preserve"> institucional. Aportan a la </w:t>
            </w:r>
            <w:r w:rsidR="00BF5F8A">
              <w:rPr>
                <w:rFonts w:ascii="Arial" w:hAnsi="Arial" w:cs="Arial"/>
                <w:sz w:val="16"/>
                <w:szCs w:val="16"/>
              </w:rPr>
              <w:t>síntesis</w:t>
            </w:r>
            <w:r>
              <w:rPr>
                <w:rFonts w:ascii="Arial" w:hAnsi="Arial" w:cs="Arial"/>
                <w:sz w:val="16"/>
                <w:szCs w:val="16"/>
              </w:rPr>
              <w:t xml:space="preserve"> territorial evaluando la capacidad institucional del departamento.</w:t>
            </w:r>
          </w:p>
        </w:tc>
      </w:tr>
    </w:tbl>
    <w:p w:rsidR="00AB7EF3" w:rsidRDefault="007557A4">
      <w:pPr>
        <w:jc w:val="both"/>
      </w:pPr>
      <w:r>
        <w:rPr>
          <w:rFonts w:ascii="Arial" w:hAnsi="Arial" w:cs="Arial"/>
          <w:i/>
          <w:sz w:val="20"/>
          <w:szCs w:val="20"/>
        </w:rPr>
        <w:t xml:space="preserve">Tabla 2b. Datasets del portal datos.gov.co utilizados en la </w:t>
      </w:r>
      <w:r w:rsidR="00BF5F8A">
        <w:rPr>
          <w:rFonts w:ascii="Arial" w:hAnsi="Arial" w:cs="Arial"/>
          <w:i/>
          <w:sz w:val="20"/>
          <w:szCs w:val="20"/>
        </w:rPr>
        <w:t>solución</w:t>
      </w:r>
      <w:r>
        <w:rPr>
          <w:rFonts w:ascii="Arial" w:hAnsi="Arial" w:cs="Arial"/>
          <w:i/>
          <w:sz w:val="20"/>
          <w:szCs w:val="20"/>
        </w:rPr>
        <w:t>, con variables clave y aporte al sistema. Grupo 195.</w:t>
      </w:r>
    </w:p>
    <w:p w:rsidR="00AB7EF3" w:rsidRDefault="007557A4">
      <w:pPr>
        <w:jc w:val="both"/>
      </w:pPr>
      <w:r>
        <w:rPr>
          <w:rFonts w:ascii="Arial" w:hAnsi="Arial" w:cs="Arial"/>
          <w:sz w:val="20"/>
          <w:szCs w:val="20"/>
        </w:rPr>
        <w:t xml:space="preserve">Todos los datasets anteriores se descargaron desde el portal datos.gov.co utilizando la API Socrata, que es la plataforma que opera el portal oficial de datos abiertos del Estado colombiano. Las URL de descarga, los identificadores de cada conjunto de datos y las fechas de corte se conservan en los scripts de </w:t>
      </w:r>
      <w:r w:rsidR="00BF5F8A">
        <w:rPr>
          <w:rFonts w:ascii="Arial" w:hAnsi="Arial" w:cs="Arial"/>
          <w:sz w:val="20"/>
          <w:szCs w:val="20"/>
        </w:rPr>
        <w:t>ingestión</w:t>
      </w:r>
      <w:r>
        <w:rPr>
          <w:rFonts w:ascii="Arial" w:hAnsi="Arial" w:cs="Arial"/>
          <w:sz w:val="20"/>
          <w:szCs w:val="20"/>
        </w:rPr>
        <w:t xml:space="preserve"> (admin/ingestar_*.py) y en el diccionario centralizado de fuentes (services/sources.py). La ficha de trazabilidad completa, con la </w:t>
      </w:r>
      <w:r w:rsidR="00BF5F8A">
        <w:rPr>
          <w:rFonts w:ascii="Arial" w:hAnsi="Arial" w:cs="Arial"/>
          <w:sz w:val="20"/>
          <w:szCs w:val="20"/>
        </w:rPr>
        <w:t>relación</w:t>
      </w:r>
      <w:r>
        <w:rPr>
          <w:rFonts w:ascii="Arial" w:hAnsi="Arial" w:cs="Arial"/>
          <w:sz w:val="20"/>
          <w:szCs w:val="20"/>
        </w:rPr>
        <w:t xml:space="preserve"> entre fuente original, tabla destino en DuckDB y </w:t>
      </w:r>
      <w:r w:rsidR="00BF5F8A">
        <w:rPr>
          <w:rFonts w:ascii="Arial" w:hAnsi="Arial" w:cs="Arial"/>
          <w:sz w:val="20"/>
          <w:szCs w:val="20"/>
        </w:rPr>
        <w:t>transformación</w:t>
      </w:r>
      <w:r>
        <w:rPr>
          <w:rFonts w:ascii="Arial" w:hAnsi="Arial" w:cs="Arial"/>
          <w:sz w:val="20"/>
          <w:szCs w:val="20"/>
        </w:rPr>
        <w:t xml:space="preserve"> aplicada, se presenta en el Anexo A de este documento.</w:t>
      </w:r>
    </w:p>
    <w:p w:rsidR="003D2FB2" w:rsidRPr="00064401" w:rsidRDefault="007557A4">
      <w:pPr>
        <w:pStyle w:val="Ttulo2"/>
        <w:rPr>
          <w:rFonts w:ascii="Arial" w:hAnsi="Arial" w:cs="Arial"/>
          <w:sz w:val="20"/>
          <w:szCs w:val="20"/>
        </w:rPr>
      </w:pPr>
      <w:r w:rsidRPr="00064401">
        <w:rPr>
          <w:rFonts w:ascii="Arial" w:hAnsi="Arial" w:cs="Arial"/>
          <w:sz w:val="20"/>
          <w:szCs w:val="20"/>
        </w:rPr>
        <w:t>4.1. Variables finales, calidad y transformación</w:t>
      </w:r>
    </w:p>
    <w:tbl>
      <w:tblPr>
        <w:tblW w:w="0" w:type="auto"/>
        <w:jc w:val="center"/>
        <w:tblLook w:val="04A0" w:firstRow="1" w:lastRow="0" w:firstColumn="1" w:lastColumn="0" w:noHBand="0" w:noVBand="1"/>
      </w:tblPr>
      <w:tblGrid>
        <w:gridCol w:w="3227"/>
        <w:gridCol w:w="6393"/>
      </w:tblGrid>
      <w:tr w:rsidR="003D2FB2" w:rsidRPr="00064401" w:rsidTr="000E4611">
        <w:trPr>
          <w:tblHeader/>
          <w:jc w:val="center"/>
        </w:trPr>
        <w:tc>
          <w:tcPr>
            <w:tcW w:w="3227"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Dominio</w:t>
            </w:r>
          </w:p>
        </w:tc>
        <w:tc>
          <w:tcPr>
            <w:tcW w:w="6393"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Variables usadas</w:t>
            </w:r>
          </w:p>
        </w:tc>
      </w:tr>
      <w:tr w:rsidR="003D2FB2" w:rsidRPr="00064401" w:rsidTr="000E4611">
        <w:trPr>
          <w:jc w:val="center"/>
        </w:trPr>
        <w:tc>
          <w:tcPr>
            <w:tcW w:w="32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Académico-formativas</w:t>
            </w:r>
          </w:p>
        </w:tc>
        <w:tc>
          <w:tcPr>
            <w:tcW w:w="63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Campo amplio CINE-F; área de conocimiento; NBC; programa; nivel de formación; modalidad/metodología; créditos u horas; duración.</w:t>
            </w:r>
          </w:p>
        </w:tc>
      </w:tr>
      <w:tr w:rsidR="003D2FB2" w:rsidRPr="00064401" w:rsidTr="000E4611">
        <w:trPr>
          <w:jc w:val="center"/>
        </w:trPr>
        <w:tc>
          <w:tcPr>
            <w:tcW w:w="3227"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Permanencia y trayectoria</w:t>
            </w:r>
          </w:p>
        </w:tc>
        <w:tc>
          <w:tcPr>
            <w:tcW w:w="639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Matrícula anual; matriculados de primer curso; admitidos; inscritos; graduados; tasa de deserción por cohorte; tasa de deserción de periodo; tasa de tránsito inmediato.</w:t>
            </w:r>
          </w:p>
        </w:tc>
      </w:tr>
      <w:tr w:rsidR="003D2FB2" w:rsidRPr="00064401" w:rsidTr="000E4611">
        <w:trPr>
          <w:jc w:val="center"/>
        </w:trPr>
        <w:tc>
          <w:tcPr>
            <w:tcW w:w="32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Oferta y mercado educativo</w:t>
            </w:r>
          </w:p>
        </w:tc>
        <w:tc>
          <w:tcPr>
            <w:tcW w:w="63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Institución oferente; municipio; departamento; sector institucional; HHI; CAGR de matrícula; tasa de certificación ETDH.</w:t>
            </w:r>
          </w:p>
        </w:tc>
      </w:tr>
      <w:tr w:rsidR="003D2FB2" w:rsidRPr="00064401" w:rsidTr="000E4611">
        <w:trPr>
          <w:jc w:val="center"/>
        </w:trPr>
        <w:tc>
          <w:tcPr>
            <w:tcW w:w="3227"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Laboral y competencias</w:t>
            </w:r>
          </w:p>
        </w:tc>
        <w:tc>
          <w:tcPr>
            <w:tcW w:w="639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Ocupación CUOC; código CUOC; sector CIIU; vacantes APE; colocados; ratio de absorción; conocimientos; destrezas; competencias digitales y transversales.</w:t>
            </w:r>
          </w:p>
        </w:tc>
      </w:tr>
      <w:tr w:rsidR="003D2FB2" w:rsidRPr="00064401" w:rsidTr="000E4611">
        <w:trPr>
          <w:jc w:val="center"/>
        </w:trPr>
        <w:tc>
          <w:tcPr>
            <w:tcW w:w="32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Territorial y decisión</w:t>
            </w:r>
          </w:p>
        </w:tc>
        <w:tc>
          <w:tcPr>
            <w:tcW w:w="63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DIVIPOLA; conectividad fija; cobertura 4G; indicador PDET; índice de conectividad; score de pertinencia; semáforo de decisión; tipo de oferta recomendado.</w:t>
            </w:r>
          </w:p>
        </w:tc>
      </w:tr>
    </w:tbl>
    <w:p w:rsidR="003D2FB2" w:rsidRPr="00064401" w:rsidRDefault="007557A4">
      <w:pPr>
        <w:pStyle w:val="Ttulo3"/>
        <w:rPr>
          <w:rFonts w:ascii="Arial" w:hAnsi="Arial" w:cs="Arial"/>
          <w:sz w:val="20"/>
          <w:szCs w:val="20"/>
        </w:rPr>
      </w:pPr>
      <w:r w:rsidRPr="00064401">
        <w:rPr>
          <w:rFonts w:ascii="Arial" w:hAnsi="Arial" w:cs="Arial"/>
          <w:sz w:val="20"/>
          <w:szCs w:val="20"/>
        </w:rPr>
        <w:t>Procesos de calidad de datos</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Extracción diferenciada desde fuentes oficiales y repositorios descargables.</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Estandarización de nombres, formatos, periodos, códigos y unidades de análisis.</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Homologación con clasificaciones CINE-F, NBC, CUOC, CIIU, MNC y DIVIPOLA.</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Depuración de duplicados, control de campos nulos y validación de consistencia entre tablas.</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Carga en estructuras DuckDB para consultas SQL, visualización y recuperación aumentada.</w:t>
      </w:r>
    </w:p>
    <w:p w:rsidR="003D2FB2" w:rsidRPr="00064401" w:rsidRDefault="007557A4">
      <w:pPr>
        <w:pStyle w:val="Listaconvietas"/>
        <w:jc w:val="both"/>
        <w:rPr>
          <w:rFonts w:ascii="Arial" w:hAnsi="Arial" w:cs="Arial"/>
          <w:sz w:val="20"/>
          <w:szCs w:val="20"/>
        </w:rPr>
      </w:pPr>
      <w:r w:rsidRPr="00064401">
        <w:rPr>
          <w:rFonts w:ascii="Arial" w:hAnsi="Arial" w:cs="Arial"/>
          <w:sz w:val="20"/>
          <w:szCs w:val="20"/>
        </w:rPr>
        <w:t>Registro de fuente, fecha de corte, transformación aplicada y regla de interpretación.</w:t>
      </w:r>
    </w:p>
    <w:p w:rsidR="003D2FB2" w:rsidRPr="00064401" w:rsidRDefault="007557A4">
      <w:pPr>
        <w:pStyle w:val="Ttulo1"/>
        <w:rPr>
          <w:rFonts w:ascii="Arial" w:hAnsi="Arial" w:cs="Arial"/>
          <w:sz w:val="20"/>
          <w:szCs w:val="20"/>
        </w:rPr>
      </w:pPr>
      <w:r w:rsidRPr="00064401">
        <w:rPr>
          <w:rFonts w:ascii="Arial" w:hAnsi="Arial" w:cs="Arial"/>
          <w:sz w:val="20"/>
          <w:szCs w:val="20"/>
        </w:rPr>
        <w:lastRenderedPageBreak/>
        <w:t>5. Propuesta de valor</w:t>
      </w:r>
    </w:p>
    <w:p w:rsidR="003D2FB2" w:rsidRPr="00064401" w:rsidRDefault="007557A4">
      <w:pPr>
        <w:jc w:val="both"/>
        <w:rPr>
          <w:rFonts w:ascii="Arial" w:hAnsi="Arial" w:cs="Arial"/>
          <w:sz w:val="20"/>
          <w:szCs w:val="20"/>
        </w:rPr>
      </w:pPr>
      <w:r w:rsidRPr="00064401">
        <w:rPr>
          <w:rFonts w:ascii="Arial" w:hAnsi="Arial" w:cs="Arial"/>
          <w:sz w:val="20"/>
          <w:szCs w:val="20"/>
        </w:rPr>
        <w:t>La solución convierte datos abiertos en decisiones curriculares orientadas a pertinencia y permanencia. Su valor consiste en identificar, antes de crear, renovar o modificar programas, las condiciones de contexto que pueden favorecer o afectar la continuidad estudiantil: pertinencia académica, demanda territorial, modalidad viable, conectividad, oportunidades laborales, brechas de competencias y coherencia de trayectorias formativas.</w:t>
      </w:r>
    </w:p>
    <w:p w:rsidR="003D2FB2" w:rsidRPr="00064401" w:rsidRDefault="007557A4">
      <w:pPr>
        <w:jc w:val="both"/>
        <w:rPr>
          <w:rFonts w:ascii="Arial" w:hAnsi="Arial" w:cs="Arial"/>
          <w:sz w:val="20"/>
          <w:szCs w:val="20"/>
        </w:rPr>
      </w:pPr>
      <w:r w:rsidRPr="00064401">
        <w:rPr>
          <w:rFonts w:ascii="Arial" w:hAnsi="Arial" w:cs="Arial"/>
          <w:sz w:val="20"/>
          <w:szCs w:val="20"/>
        </w:rPr>
        <w:t>El sistema no se limita a visualizar datos. Articula fuentes, clasificaciones, indicadores y componentes de inteligencia artificial para responder preguntas institucionales de alto impacto: qué programas son pertinentes, qué necesidades de población atienden, qué brechas formativas justifican su existencia, qué modalidad resulta viable, qué competencias deben actualizarse y qué señales de deserción o sostenibilidad deben considerarse antes de formalizar una decisión académica.</w:t>
      </w:r>
    </w:p>
    <w:tbl>
      <w:tblPr>
        <w:tblW w:w="0" w:type="auto"/>
        <w:jc w:val="center"/>
        <w:tblLook w:val="04A0" w:firstRow="1" w:lastRow="0" w:firstColumn="1" w:lastColumn="0" w:noHBand="0" w:noVBand="1"/>
      </w:tblPr>
      <w:tblGrid>
        <w:gridCol w:w="3085"/>
        <w:gridCol w:w="6535"/>
      </w:tblGrid>
      <w:tr w:rsidR="003D2FB2" w:rsidRPr="00064401" w:rsidTr="00B048B8">
        <w:trPr>
          <w:tblHeader/>
          <w:jc w:val="center"/>
        </w:trPr>
        <w:tc>
          <w:tcPr>
            <w:tcW w:w="3085"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Usuario</w:t>
            </w:r>
          </w:p>
        </w:tc>
        <w:tc>
          <w:tcPr>
            <w:tcW w:w="6535"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Valor generado</w:t>
            </w:r>
          </w:p>
        </w:tc>
      </w:tr>
      <w:tr w:rsidR="003D2FB2" w:rsidRPr="00064401" w:rsidTr="00B048B8">
        <w:trPr>
          <w:jc w:val="center"/>
        </w:trPr>
        <w:tc>
          <w:tcPr>
            <w:tcW w:w="308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Directivos de IES</w:t>
            </w:r>
          </w:p>
        </w:tc>
        <w:tc>
          <w:tcPr>
            <w:tcW w:w="65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Reduce incertidumbre en decisiones de portafolio, permite comparar escenarios y documenta trazabilidad para creación, renovación, modificación o cierre de programas.</w:t>
            </w:r>
          </w:p>
        </w:tc>
      </w:tr>
      <w:tr w:rsidR="003D2FB2" w:rsidRPr="00064401" w:rsidTr="00B048B8">
        <w:trPr>
          <w:jc w:val="center"/>
        </w:trPr>
        <w:tc>
          <w:tcPr>
            <w:tcW w:w="308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Aseguramiento de la calidad</w:t>
            </w:r>
          </w:p>
        </w:tc>
        <w:tc>
          <w:tcPr>
            <w:tcW w:w="653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Entrega evidencia organizada para justificar pertinencia, coherencia, resultados esperados, mejoramiento continuo y seguimiento de condiciones de calidad.</w:t>
            </w:r>
          </w:p>
        </w:tc>
      </w:tr>
      <w:tr w:rsidR="003D2FB2" w:rsidRPr="00064401" w:rsidTr="00B048B8">
        <w:trPr>
          <w:jc w:val="center"/>
        </w:trPr>
        <w:tc>
          <w:tcPr>
            <w:tcW w:w="308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Comités curriculares</w:t>
            </w:r>
          </w:p>
        </w:tc>
        <w:tc>
          <w:tcPr>
            <w:tcW w:w="65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Traduce ocupaciones, competencias, brechas y trayectorias en orientaciones concretas para diseño o ajuste curricular.</w:t>
            </w:r>
          </w:p>
        </w:tc>
      </w:tr>
      <w:tr w:rsidR="003D2FB2" w:rsidRPr="00064401" w:rsidTr="00B048B8">
        <w:trPr>
          <w:jc w:val="center"/>
        </w:trPr>
        <w:tc>
          <w:tcPr>
            <w:tcW w:w="308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Equipos de permanencia</w:t>
            </w:r>
          </w:p>
        </w:tc>
        <w:tc>
          <w:tcPr>
            <w:tcW w:w="653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Aporta lectura contextual sobre factores que pueden incidir en continuidad: modalidad, territorio, trayectoria, desempeño agregado y pertinencia de la oferta.</w:t>
            </w:r>
          </w:p>
        </w:tc>
      </w:tr>
      <w:tr w:rsidR="003D2FB2" w:rsidRPr="00064401" w:rsidTr="00B048B8">
        <w:trPr>
          <w:jc w:val="center"/>
        </w:trPr>
        <w:tc>
          <w:tcPr>
            <w:tcW w:w="308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Estudiantes</w:t>
            </w:r>
          </w:p>
        </w:tc>
        <w:tc>
          <w:tcPr>
            <w:tcW w:w="65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Contribuye a una oferta más alineada con oportunidades laborales, modalidades viables y trayectorias formativas acumulativas.</w:t>
            </w:r>
          </w:p>
        </w:tc>
      </w:tr>
      <w:tr w:rsidR="003D2FB2" w:rsidRPr="00064401" w:rsidTr="00B048B8">
        <w:trPr>
          <w:jc w:val="center"/>
        </w:trPr>
        <w:tc>
          <w:tcPr>
            <w:tcW w:w="308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Entidades públicas</w:t>
            </w:r>
          </w:p>
        </w:tc>
        <w:tc>
          <w:tcPr>
            <w:tcW w:w="653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Facilita lectura territorial de necesidades educativas, brechas de acceso y condiciones de conectividad para focalización de políticas.</w:t>
            </w:r>
          </w:p>
        </w:tc>
      </w:tr>
    </w:tbl>
    <w:p w:rsidR="003D2FB2" w:rsidRPr="00064401" w:rsidRDefault="007557A4">
      <w:pPr>
        <w:pStyle w:val="Ttulo2"/>
        <w:rPr>
          <w:rFonts w:ascii="Arial" w:hAnsi="Arial" w:cs="Arial"/>
          <w:sz w:val="20"/>
          <w:szCs w:val="20"/>
        </w:rPr>
      </w:pPr>
      <w:r w:rsidRPr="00064401">
        <w:rPr>
          <w:rFonts w:ascii="Arial" w:hAnsi="Arial" w:cs="Arial"/>
          <w:sz w:val="20"/>
          <w:szCs w:val="20"/>
        </w:rPr>
        <w:t>Diferencial de innovación</w:t>
      </w:r>
    </w:p>
    <w:p w:rsidR="003D2FB2" w:rsidRPr="00064401" w:rsidRDefault="007557A4">
      <w:pPr>
        <w:jc w:val="both"/>
        <w:rPr>
          <w:rFonts w:ascii="Arial" w:hAnsi="Arial" w:cs="Arial"/>
          <w:sz w:val="20"/>
          <w:szCs w:val="20"/>
        </w:rPr>
      </w:pPr>
      <w:r w:rsidRPr="00064401">
        <w:rPr>
          <w:rFonts w:ascii="Arial" w:hAnsi="Arial" w:cs="Arial"/>
          <w:sz w:val="20"/>
          <w:szCs w:val="20"/>
        </w:rPr>
        <w:t>El diferencial consiste en integrar analítica educativa, clasificaciones oficiales, mercado laboral, territorio y componentes de IA en una sola aplicación web. La herramienta opera como sistema de apoyo a la decisión y produce síntesis evaluativas, semáforos, reportes preliminares y recomendaciones sobre tipo de oferta. Su aporte a la innovación social radica en mejorar la capacidad institucional para tomar decisiones educativas que respondan a necesidades reales de población y reduzcan desajustes que pueden impactar la permanencia.</w:t>
      </w:r>
    </w:p>
    <w:p w:rsidR="003D2FB2" w:rsidRPr="00064401" w:rsidRDefault="007557A4">
      <w:pPr>
        <w:pStyle w:val="Ttulo1"/>
        <w:rPr>
          <w:rFonts w:ascii="Arial" w:hAnsi="Arial" w:cs="Arial"/>
          <w:sz w:val="20"/>
          <w:szCs w:val="20"/>
        </w:rPr>
      </w:pPr>
      <w:r w:rsidRPr="00064401">
        <w:rPr>
          <w:rFonts w:ascii="Arial" w:hAnsi="Arial" w:cs="Arial"/>
          <w:sz w:val="20"/>
          <w:szCs w:val="20"/>
        </w:rPr>
        <w:t>6. Metodología, arquitectura y tecnología</w:t>
      </w:r>
    </w:p>
    <w:p w:rsidR="003D2FB2" w:rsidRPr="00064401" w:rsidRDefault="007557A4">
      <w:pPr>
        <w:jc w:val="both"/>
        <w:rPr>
          <w:rFonts w:ascii="Arial" w:hAnsi="Arial" w:cs="Arial"/>
          <w:sz w:val="20"/>
          <w:szCs w:val="20"/>
        </w:rPr>
      </w:pPr>
      <w:r w:rsidRPr="00064401">
        <w:rPr>
          <w:rFonts w:ascii="Arial" w:hAnsi="Arial" w:cs="Arial"/>
          <w:sz w:val="20"/>
          <w:szCs w:val="20"/>
        </w:rPr>
        <w:t xml:space="preserve">La metodología de desarrollo se organiza bajo el marco CRISP-ML (Cross-Industry Standard Process for Machine Learning), adaptado al dominio de la </w:t>
      </w:r>
      <w:r w:rsidR="00BF5F8A" w:rsidRPr="00064401">
        <w:rPr>
          <w:rFonts w:ascii="Arial" w:hAnsi="Arial" w:cs="Arial"/>
          <w:sz w:val="20"/>
          <w:szCs w:val="20"/>
        </w:rPr>
        <w:t>analítica</w:t>
      </w:r>
      <w:r w:rsidRPr="00064401">
        <w:rPr>
          <w:rFonts w:ascii="Arial" w:hAnsi="Arial" w:cs="Arial"/>
          <w:sz w:val="20"/>
          <w:szCs w:val="20"/>
        </w:rPr>
        <w:t xml:space="preserve"> educativa. A </w:t>
      </w:r>
      <w:r w:rsidR="00BF5F8A" w:rsidRPr="00064401">
        <w:rPr>
          <w:rFonts w:ascii="Arial" w:hAnsi="Arial" w:cs="Arial"/>
          <w:sz w:val="20"/>
          <w:szCs w:val="20"/>
        </w:rPr>
        <w:t>continuación,</w:t>
      </w:r>
      <w:r w:rsidRPr="00064401">
        <w:rPr>
          <w:rFonts w:ascii="Arial" w:hAnsi="Arial" w:cs="Arial"/>
          <w:sz w:val="20"/>
          <w:szCs w:val="20"/>
        </w:rPr>
        <w:t xml:space="preserve"> se describe como cada fase del modelo se materializo en el proyecto.</w:t>
      </w:r>
    </w:p>
    <w:p w:rsidR="00AB7EF3" w:rsidRDefault="00BF5F8A">
      <w:pPr>
        <w:pStyle w:val="Listaconvietas"/>
        <w:jc w:val="both"/>
      </w:pPr>
      <w:r>
        <w:rPr>
          <w:rFonts w:ascii="Arial" w:hAnsi="Arial"/>
          <w:sz w:val="20"/>
        </w:rPr>
        <w:t>Comprensión</w:t>
      </w:r>
      <w:r w:rsidR="007557A4">
        <w:rPr>
          <w:rFonts w:ascii="Arial" w:hAnsi="Arial"/>
          <w:sz w:val="20"/>
        </w:rPr>
        <w:t xml:space="preserve"> del problema. </w:t>
      </w:r>
      <w:r>
        <w:rPr>
          <w:rFonts w:ascii="Arial" w:hAnsi="Arial"/>
          <w:sz w:val="20"/>
        </w:rPr>
        <w:t>Definición</w:t>
      </w:r>
      <w:r w:rsidR="007557A4">
        <w:rPr>
          <w:rFonts w:ascii="Arial" w:hAnsi="Arial"/>
          <w:sz w:val="20"/>
        </w:rPr>
        <w:t xml:space="preserve"> del marco de pertinencia educativa como dispositivo de </w:t>
      </w:r>
      <w:r>
        <w:rPr>
          <w:rFonts w:ascii="Arial" w:hAnsi="Arial"/>
          <w:sz w:val="20"/>
        </w:rPr>
        <w:t>decisión</w:t>
      </w:r>
      <w:r w:rsidR="007557A4">
        <w:rPr>
          <w:rFonts w:ascii="Arial" w:hAnsi="Arial"/>
          <w:sz w:val="20"/>
        </w:rPr>
        <w:t xml:space="preserve"> institucional, estructurado en cuatro </w:t>
      </w:r>
      <w:r>
        <w:rPr>
          <w:rFonts w:ascii="Arial" w:hAnsi="Arial"/>
          <w:sz w:val="20"/>
        </w:rPr>
        <w:t>síntesis</w:t>
      </w:r>
      <w:r w:rsidR="007557A4">
        <w:rPr>
          <w:rFonts w:ascii="Arial" w:hAnsi="Arial"/>
          <w:sz w:val="20"/>
        </w:rPr>
        <w:t xml:space="preserve"> evaluativas (</w:t>
      </w:r>
      <w:r>
        <w:rPr>
          <w:rFonts w:ascii="Arial" w:hAnsi="Arial"/>
          <w:sz w:val="20"/>
        </w:rPr>
        <w:t>académica</w:t>
      </w:r>
      <w:r w:rsidR="007557A4">
        <w:rPr>
          <w:rFonts w:ascii="Arial" w:hAnsi="Arial"/>
          <w:sz w:val="20"/>
        </w:rPr>
        <w:t xml:space="preserve">, laboral, territorial, global) y articulando la </w:t>
      </w:r>
      <w:r>
        <w:rPr>
          <w:rFonts w:ascii="Arial" w:hAnsi="Arial"/>
          <w:sz w:val="20"/>
        </w:rPr>
        <w:t>deserción</w:t>
      </w:r>
      <w:r w:rsidR="007557A4">
        <w:rPr>
          <w:rFonts w:ascii="Arial" w:hAnsi="Arial"/>
          <w:sz w:val="20"/>
        </w:rPr>
        <w:t xml:space="preserve"> como variable critica de permanencia estudiantil.</w:t>
      </w:r>
    </w:p>
    <w:p w:rsidR="00AB7EF3" w:rsidRDefault="007557A4">
      <w:pPr>
        <w:pStyle w:val="Listaconvietas"/>
        <w:jc w:val="both"/>
      </w:pPr>
      <w:r>
        <w:rPr>
          <w:rFonts w:ascii="Arial" w:hAnsi="Arial"/>
          <w:sz w:val="20"/>
        </w:rPr>
        <w:t xml:space="preserve">Comprensión de los datos. Inventario exhaustivo de fuentes oficiales y abiertas del ecosistema educativo colombiano, que derivo en la </w:t>
      </w:r>
      <w:r w:rsidR="00BF5F8A">
        <w:rPr>
          <w:rFonts w:ascii="Arial" w:hAnsi="Arial"/>
          <w:sz w:val="20"/>
        </w:rPr>
        <w:t>construcción</w:t>
      </w:r>
      <w:r>
        <w:rPr>
          <w:rFonts w:ascii="Arial" w:hAnsi="Arial"/>
          <w:sz w:val="20"/>
        </w:rPr>
        <w:t xml:space="preserve"> de un repositorio unif</w:t>
      </w:r>
      <w:r w:rsidR="00BF5F8A">
        <w:rPr>
          <w:rFonts w:ascii="Arial" w:hAnsi="Arial"/>
          <w:sz w:val="20"/>
        </w:rPr>
        <w:t>icado con 54</w:t>
      </w:r>
      <w:r>
        <w:rPr>
          <w:rFonts w:ascii="Arial" w:hAnsi="Arial"/>
          <w:sz w:val="20"/>
        </w:rPr>
        <w:t xml:space="preserve"> esquemas </w:t>
      </w:r>
      <w:r w:rsidR="00BF5F8A">
        <w:rPr>
          <w:rFonts w:ascii="Arial" w:hAnsi="Arial"/>
          <w:sz w:val="20"/>
        </w:rPr>
        <w:lastRenderedPageBreak/>
        <w:t>temáticos</w:t>
      </w:r>
      <w:r>
        <w:rPr>
          <w:rFonts w:ascii="Arial" w:hAnsi="Arial"/>
          <w:sz w:val="20"/>
        </w:rPr>
        <w:t xml:space="preserve"> organizados por familia: </w:t>
      </w:r>
      <w:r w:rsidR="00BF5F8A">
        <w:rPr>
          <w:rFonts w:ascii="Arial" w:hAnsi="Arial"/>
          <w:sz w:val="20"/>
        </w:rPr>
        <w:t>educación</w:t>
      </w:r>
      <w:r>
        <w:rPr>
          <w:rFonts w:ascii="Arial" w:hAnsi="Arial"/>
          <w:sz w:val="20"/>
        </w:rPr>
        <w:t xml:space="preserve"> superior, </w:t>
      </w:r>
      <w:r w:rsidR="00BF5F8A">
        <w:rPr>
          <w:rFonts w:ascii="Arial" w:hAnsi="Arial"/>
          <w:sz w:val="20"/>
        </w:rPr>
        <w:t>formación</w:t>
      </w:r>
      <w:r>
        <w:rPr>
          <w:rFonts w:ascii="Arial" w:hAnsi="Arial"/>
          <w:sz w:val="20"/>
        </w:rPr>
        <w:t xml:space="preserve"> para el trabajo, mercado laboral, clasificaciones ocupacionales, conectividad, </w:t>
      </w:r>
      <w:r w:rsidR="00BF5F8A">
        <w:rPr>
          <w:rFonts w:ascii="Arial" w:hAnsi="Arial"/>
          <w:sz w:val="20"/>
        </w:rPr>
        <w:t>estadísticas</w:t>
      </w:r>
      <w:r>
        <w:rPr>
          <w:rFonts w:ascii="Arial" w:hAnsi="Arial"/>
          <w:sz w:val="20"/>
        </w:rPr>
        <w:t xml:space="preserve"> territoriales e indicadores internacionales.</w:t>
      </w:r>
    </w:p>
    <w:p w:rsidR="00AB7EF3" w:rsidRDefault="007557A4">
      <w:pPr>
        <w:pStyle w:val="Listaconvietas"/>
        <w:jc w:val="both"/>
      </w:pPr>
      <w:r>
        <w:rPr>
          <w:rFonts w:ascii="Arial" w:hAnsi="Arial"/>
          <w:sz w:val="20"/>
        </w:rPr>
        <w:t xml:space="preserve">Preparación de los datos. Extracción, limpieza y homologación de todas las fuentes con los clasificadores oficiales CINE-F, NBC, CUOC, CIIU, MNC y DIVIPOLA. Carga en estructuras </w:t>
      </w:r>
      <w:r w:rsidR="00BF5F8A">
        <w:rPr>
          <w:rFonts w:ascii="Arial" w:hAnsi="Arial"/>
          <w:sz w:val="20"/>
        </w:rPr>
        <w:t>analíticas</w:t>
      </w:r>
      <w:r>
        <w:rPr>
          <w:rFonts w:ascii="Arial" w:hAnsi="Arial"/>
          <w:sz w:val="20"/>
        </w:rPr>
        <w:t xml:space="preserve"> DuckDB que habilitan consultas cruzadas entre familias de datos, con registro de trazabilidad por fuente, fecha de corte y </w:t>
      </w:r>
      <w:r w:rsidR="00BF5F8A">
        <w:rPr>
          <w:rFonts w:ascii="Arial" w:hAnsi="Arial"/>
          <w:sz w:val="20"/>
        </w:rPr>
        <w:t>transformación</w:t>
      </w:r>
      <w:r>
        <w:rPr>
          <w:rFonts w:ascii="Arial" w:hAnsi="Arial"/>
          <w:sz w:val="20"/>
        </w:rPr>
        <w:t xml:space="preserve"> aplicada.</w:t>
      </w:r>
    </w:p>
    <w:p w:rsidR="00AB7EF3" w:rsidRDefault="007557A4">
      <w:pPr>
        <w:pStyle w:val="Listaconvietas"/>
        <w:jc w:val="both"/>
      </w:pPr>
      <w:r>
        <w:rPr>
          <w:rFonts w:ascii="Arial" w:hAnsi="Arial"/>
          <w:sz w:val="20"/>
        </w:rPr>
        <w:t xml:space="preserve">Modelado. Cálculo de indicadores cuantitativos derivados (HHI, CAGR, ratio de </w:t>
      </w:r>
      <w:r w:rsidR="00BF5F8A">
        <w:rPr>
          <w:rFonts w:ascii="Arial" w:hAnsi="Arial"/>
          <w:sz w:val="20"/>
        </w:rPr>
        <w:t>absorción</w:t>
      </w:r>
      <w:r>
        <w:rPr>
          <w:rFonts w:ascii="Arial" w:hAnsi="Arial"/>
          <w:sz w:val="20"/>
        </w:rPr>
        <w:t xml:space="preserve"> laboral, índice de conectividad). </w:t>
      </w:r>
      <w:r w:rsidR="00BF5F8A">
        <w:rPr>
          <w:rFonts w:ascii="Arial" w:hAnsi="Arial"/>
          <w:sz w:val="20"/>
        </w:rPr>
        <w:t>Incorporación</w:t>
      </w:r>
      <w:r>
        <w:rPr>
          <w:rFonts w:ascii="Arial" w:hAnsi="Arial"/>
          <w:sz w:val="20"/>
        </w:rPr>
        <w:t xml:space="preserve"> y despliegue de un modelo </w:t>
      </w:r>
      <w:r w:rsidR="00BF5F8A">
        <w:rPr>
          <w:rFonts w:ascii="Arial" w:hAnsi="Arial"/>
          <w:sz w:val="20"/>
        </w:rPr>
        <w:t>pre entrenado</w:t>
      </w:r>
      <w:r>
        <w:rPr>
          <w:rFonts w:ascii="Arial" w:hAnsi="Arial"/>
          <w:sz w:val="20"/>
        </w:rPr>
        <w:t xml:space="preserve"> de </w:t>
      </w:r>
      <w:r w:rsidR="00BF5F8A">
        <w:rPr>
          <w:rFonts w:ascii="Arial" w:hAnsi="Arial"/>
          <w:sz w:val="20"/>
        </w:rPr>
        <w:t>búsqueda</w:t>
      </w:r>
      <w:r>
        <w:rPr>
          <w:rFonts w:ascii="Arial" w:hAnsi="Arial"/>
          <w:sz w:val="20"/>
        </w:rPr>
        <w:t xml:space="preserve"> </w:t>
      </w:r>
      <w:r w:rsidR="00BF5F8A">
        <w:rPr>
          <w:rFonts w:ascii="Arial" w:hAnsi="Arial"/>
          <w:sz w:val="20"/>
        </w:rPr>
        <w:t>semántica</w:t>
      </w:r>
      <w:r>
        <w:rPr>
          <w:rFonts w:ascii="Arial" w:hAnsi="Arial"/>
          <w:sz w:val="20"/>
        </w:rPr>
        <w:t xml:space="preserve"> con embeddings multilingues para establecer correspondencias entre programas </w:t>
      </w:r>
      <w:r w:rsidR="00BF5F8A">
        <w:rPr>
          <w:rFonts w:ascii="Arial" w:hAnsi="Arial"/>
          <w:sz w:val="20"/>
        </w:rPr>
        <w:t>académicos</w:t>
      </w:r>
      <w:r>
        <w:rPr>
          <w:rFonts w:ascii="Arial" w:hAnsi="Arial"/>
          <w:sz w:val="20"/>
        </w:rPr>
        <w:t xml:space="preserve">, ocupaciones CUOC y competencias laborales. Desarrollo de un motor de </w:t>
      </w:r>
      <w:r w:rsidR="00BF5F8A">
        <w:rPr>
          <w:rFonts w:ascii="Arial" w:hAnsi="Arial"/>
          <w:sz w:val="20"/>
        </w:rPr>
        <w:t>decisión</w:t>
      </w:r>
      <w:r>
        <w:rPr>
          <w:rFonts w:ascii="Arial" w:hAnsi="Arial"/>
          <w:sz w:val="20"/>
        </w:rPr>
        <w:t xml:space="preserve"> que integra las cuatro </w:t>
      </w:r>
      <w:r w:rsidR="00BF5F8A">
        <w:rPr>
          <w:rFonts w:ascii="Arial" w:hAnsi="Arial"/>
          <w:sz w:val="20"/>
        </w:rPr>
        <w:t>síntesis</w:t>
      </w:r>
      <w:r>
        <w:rPr>
          <w:rFonts w:ascii="Arial" w:hAnsi="Arial"/>
          <w:sz w:val="20"/>
        </w:rPr>
        <w:t xml:space="preserve"> en un puntaje ponderado y produce recomendaciones diferenciadas por tipo de oferta educativa (seis </w:t>
      </w:r>
      <w:r w:rsidR="00BF5F8A">
        <w:rPr>
          <w:rFonts w:ascii="Arial" w:hAnsi="Arial"/>
          <w:sz w:val="20"/>
        </w:rPr>
        <w:t>categorías</w:t>
      </w:r>
      <w:r>
        <w:rPr>
          <w:rFonts w:ascii="Arial" w:hAnsi="Arial"/>
          <w:sz w:val="20"/>
        </w:rPr>
        <w:t xml:space="preserve">). </w:t>
      </w:r>
      <w:r w:rsidR="00BF5F8A">
        <w:rPr>
          <w:rFonts w:ascii="Arial" w:hAnsi="Arial"/>
          <w:sz w:val="20"/>
        </w:rPr>
        <w:t>Incorporación</w:t>
      </w:r>
      <w:r>
        <w:rPr>
          <w:rFonts w:ascii="Arial" w:hAnsi="Arial"/>
          <w:sz w:val="20"/>
        </w:rPr>
        <w:t xml:space="preserve"> de un sistema de </w:t>
      </w:r>
      <w:r w:rsidR="00BF5F8A">
        <w:rPr>
          <w:rFonts w:ascii="Arial" w:hAnsi="Arial"/>
          <w:sz w:val="20"/>
        </w:rPr>
        <w:t>recuperación</w:t>
      </w:r>
      <w:r>
        <w:rPr>
          <w:rFonts w:ascii="Arial" w:hAnsi="Arial"/>
          <w:sz w:val="20"/>
        </w:rPr>
        <w:t xml:space="preserve"> aumentada (RAG) que enriquece cada </w:t>
      </w:r>
      <w:r w:rsidR="00BF5F8A">
        <w:rPr>
          <w:rFonts w:ascii="Arial" w:hAnsi="Arial"/>
          <w:sz w:val="20"/>
        </w:rPr>
        <w:t>análisis</w:t>
      </w:r>
      <w:r>
        <w:rPr>
          <w:rFonts w:ascii="Arial" w:hAnsi="Arial"/>
          <w:sz w:val="20"/>
        </w:rPr>
        <w:t xml:space="preserve"> con datos de </w:t>
      </w:r>
      <w:r w:rsidR="00BF5F8A">
        <w:rPr>
          <w:rFonts w:ascii="Arial" w:hAnsi="Arial"/>
          <w:sz w:val="20"/>
        </w:rPr>
        <w:t>deserción</w:t>
      </w:r>
      <w:r>
        <w:rPr>
          <w:rFonts w:ascii="Arial" w:hAnsi="Arial"/>
          <w:sz w:val="20"/>
        </w:rPr>
        <w:t>, pruebas Saber y transito educativo.</w:t>
      </w:r>
    </w:p>
    <w:p w:rsidR="00AB7EF3" w:rsidRDefault="007557A4">
      <w:pPr>
        <w:pStyle w:val="Listaconvietas"/>
        <w:jc w:val="both"/>
      </w:pPr>
      <w:r>
        <w:rPr>
          <w:rFonts w:ascii="Arial" w:hAnsi="Arial"/>
          <w:sz w:val="20"/>
        </w:rPr>
        <w:t xml:space="preserve">Evaluación. Batería de 50 pruebas automatizadas ejecutadas directamente contra el repositorio real de datos, cubriendo </w:t>
      </w:r>
      <w:r w:rsidR="00BF5F8A">
        <w:rPr>
          <w:rFonts w:ascii="Arial" w:hAnsi="Arial"/>
          <w:sz w:val="20"/>
        </w:rPr>
        <w:t>construcción</w:t>
      </w:r>
      <w:r>
        <w:rPr>
          <w:rFonts w:ascii="Arial" w:hAnsi="Arial"/>
          <w:sz w:val="20"/>
        </w:rPr>
        <w:t xml:space="preserve"> de filtros, consultas entre tablas, consistencia interna y rendimiento. Procesos de </w:t>
      </w:r>
      <w:r w:rsidR="00BF5F8A">
        <w:rPr>
          <w:rFonts w:ascii="Arial" w:hAnsi="Arial"/>
          <w:sz w:val="20"/>
        </w:rPr>
        <w:t>validación</w:t>
      </w:r>
      <w:r>
        <w:rPr>
          <w:rFonts w:ascii="Arial" w:hAnsi="Arial"/>
          <w:sz w:val="20"/>
        </w:rPr>
        <w:t xml:space="preserve"> de cruces entre fuentes y </w:t>
      </w:r>
      <w:r w:rsidR="00BF5F8A">
        <w:rPr>
          <w:rFonts w:ascii="Arial" w:hAnsi="Arial"/>
          <w:sz w:val="20"/>
        </w:rPr>
        <w:t>calibración</w:t>
      </w:r>
      <w:r>
        <w:rPr>
          <w:rFonts w:ascii="Arial" w:hAnsi="Arial"/>
          <w:sz w:val="20"/>
        </w:rPr>
        <w:t xml:space="preserve"> de umbrales de similitud </w:t>
      </w:r>
      <w:r w:rsidR="00BF5F8A">
        <w:rPr>
          <w:rFonts w:ascii="Arial" w:hAnsi="Arial"/>
          <w:sz w:val="20"/>
        </w:rPr>
        <w:t>semántica</w:t>
      </w:r>
      <w:r>
        <w:rPr>
          <w:rFonts w:ascii="Arial" w:hAnsi="Arial"/>
          <w:sz w:val="20"/>
        </w:rPr>
        <w:t xml:space="preserve"> con criterios adaptativos.</w:t>
      </w:r>
    </w:p>
    <w:p w:rsidR="00AB7EF3" w:rsidRDefault="007557A4">
      <w:pPr>
        <w:pStyle w:val="Listaconvietas"/>
        <w:jc w:val="both"/>
      </w:pPr>
      <w:r>
        <w:rPr>
          <w:rFonts w:ascii="Arial" w:hAnsi="Arial"/>
          <w:sz w:val="20"/>
        </w:rPr>
        <w:t xml:space="preserve">Despliegue. Contenerización mediante Docker sobre una plataforma de alojamiento de aplicaciones de inteligencia artificial. Exposición de una interfaz de </w:t>
      </w:r>
      <w:r w:rsidR="00BF5F8A">
        <w:rPr>
          <w:rFonts w:ascii="Arial" w:hAnsi="Arial"/>
          <w:sz w:val="20"/>
        </w:rPr>
        <w:t>programación</w:t>
      </w:r>
      <w:r>
        <w:rPr>
          <w:rFonts w:ascii="Arial" w:hAnsi="Arial"/>
          <w:sz w:val="20"/>
        </w:rPr>
        <w:t xml:space="preserve"> documentada que permite la consulta automatizada de todas las variables del sistema, la </w:t>
      </w:r>
      <w:r w:rsidR="00BF5F8A">
        <w:rPr>
          <w:rFonts w:ascii="Arial" w:hAnsi="Arial"/>
          <w:sz w:val="20"/>
        </w:rPr>
        <w:t>integración</w:t>
      </w:r>
      <w:r>
        <w:rPr>
          <w:rFonts w:ascii="Arial" w:hAnsi="Arial"/>
          <w:sz w:val="20"/>
        </w:rPr>
        <w:t xml:space="preserve"> con otros sistemas institucionales y la </w:t>
      </w:r>
      <w:r w:rsidR="00BF5F8A">
        <w:rPr>
          <w:rFonts w:ascii="Arial" w:hAnsi="Arial"/>
          <w:sz w:val="20"/>
        </w:rPr>
        <w:t>actualización</w:t>
      </w:r>
      <w:r>
        <w:rPr>
          <w:rFonts w:ascii="Arial" w:hAnsi="Arial"/>
          <w:sz w:val="20"/>
        </w:rPr>
        <w:t xml:space="preserve"> </w:t>
      </w:r>
      <w:r w:rsidR="00BF5F8A">
        <w:rPr>
          <w:rFonts w:ascii="Arial" w:hAnsi="Arial"/>
          <w:sz w:val="20"/>
        </w:rPr>
        <w:t>periódica</w:t>
      </w:r>
      <w:r>
        <w:rPr>
          <w:rFonts w:ascii="Arial" w:hAnsi="Arial"/>
          <w:sz w:val="20"/>
        </w:rPr>
        <w:t xml:space="preserve"> de fuentes.</w:t>
      </w:r>
    </w:p>
    <w:tbl>
      <w:tblPr>
        <w:tblW w:w="0" w:type="auto"/>
        <w:jc w:val="center"/>
        <w:tblLook w:val="04A0" w:firstRow="1" w:lastRow="0" w:firstColumn="1" w:lastColumn="0" w:noHBand="0" w:noVBand="1"/>
      </w:tblPr>
      <w:tblGrid>
        <w:gridCol w:w="3510"/>
        <w:gridCol w:w="6110"/>
      </w:tblGrid>
      <w:tr w:rsidR="003D2FB2" w:rsidRPr="00064401" w:rsidTr="00016267">
        <w:trPr>
          <w:tblHeader/>
          <w:jc w:val="center"/>
        </w:trPr>
        <w:tc>
          <w:tcPr>
            <w:tcW w:w="3510"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Fase</w:t>
            </w:r>
          </w:p>
        </w:tc>
        <w:tc>
          <w:tcPr>
            <w:tcW w:w="6110"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Implementación en la solución</w:t>
            </w:r>
          </w:p>
        </w:tc>
      </w:tr>
      <w:tr w:rsidR="003D2FB2" w:rsidRPr="00064401" w:rsidTr="00016267">
        <w:trPr>
          <w:jc w:val="center"/>
        </w:trPr>
        <w:tc>
          <w:tcPr>
            <w:tcW w:w="351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1. Comprensión del problema</w:t>
            </w:r>
          </w:p>
        </w:tc>
        <w:tc>
          <w:tcPr>
            <w:tcW w:w="611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Definición del reto: integrar evidencia para decisiones de oferta académica, con deserción como variable crítica de permanencia.</w:t>
            </w:r>
          </w:p>
        </w:tc>
      </w:tr>
      <w:tr w:rsidR="003D2FB2" w:rsidRPr="00064401" w:rsidTr="00016267">
        <w:trPr>
          <w:jc w:val="center"/>
        </w:trPr>
        <w:tc>
          <w:tcPr>
            <w:tcW w:w="351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2. Comprensión de datos</w:t>
            </w:r>
          </w:p>
        </w:tc>
        <w:tc>
          <w:tcPr>
            <w:tcW w:w="611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Inventario de fuentes SNIES, SIET, ES, APE, CUOC, ICFES, MinTIC, CRC, MNC y catálogos de articulación.</w:t>
            </w:r>
          </w:p>
        </w:tc>
      </w:tr>
      <w:tr w:rsidR="003D2FB2" w:rsidRPr="00064401" w:rsidTr="00016267">
        <w:trPr>
          <w:jc w:val="center"/>
        </w:trPr>
        <w:tc>
          <w:tcPr>
            <w:tcW w:w="351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3. Preparación</w:t>
            </w:r>
          </w:p>
        </w:tc>
        <w:tc>
          <w:tcPr>
            <w:tcW w:w="611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ETL: limpieza, homologación, mapeo CINE-F/NBC/CUOC/CIIU/DIVIPOLA y carga en DuckDB.</w:t>
            </w:r>
          </w:p>
        </w:tc>
      </w:tr>
      <w:tr w:rsidR="003D2FB2" w:rsidRPr="00064401" w:rsidTr="00016267">
        <w:trPr>
          <w:jc w:val="center"/>
        </w:trPr>
        <w:tc>
          <w:tcPr>
            <w:tcW w:w="351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4. Modelado</w:t>
            </w:r>
          </w:p>
        </w:tc>
        <w:tc>
          <w:tcPr>
            <w:tcW w:w="611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Indicadores HHI, CAGR, ratio de absorción, conectividad, matching semántico, RAG y generación LLM.</w:t>
            </w:r>
          </w:p>
        </w:tc>
      </w:tr>
      <w:tr w:rsidR="003D2FB2" w:rsidRPr="00064401" w:rsidTr="00016267">
        <w:trPr>
          <w:jc w:val="center"/>
        </w:trPr>
        <w:tc>
          <w:tcPr>
            <w:tcW w:w="351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5. Evaluación</w:t>
            </w:r>
          </w:p>
        </w:tc>
        <w:tc>
          <w:tcPr>
            <w:tcW w:w="611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Validación de reglas, revisión de coherencia, umbrales técnicos y criterio experto sobre resultados.</w:t>
            </w:r>
          </w:p>
        </w:tc>
      </w:tr>
      <w:tr w:rsidR="003D2FB2" w:rsidRPr="00064401" w:rsidTr="00016267">
        <w:trPr>
          <w:jc w:val="center"/>
        </w:trPr>
        <w:tc>
          <w:tcPr>
            <w:tcW w:w="351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6. Despliegue</w:t>
            </w:r>
          </w:p>
        </w:tc>
        <w:tc>
          <w:tcPr>
            <w:tcW w:w="611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Aplicación web en Streamlit y Hugging Face Spaces para consulta, visualización y generación de informes.</w:t>
            </w:r>
          </w:p>
        </w:tc>
      </w:tr>
      <w:tr w:rsidR="003D2FB2" w:rsidRPr="00064401" w:rsidTr="00016267">
        <w:trPr>
          <w:jc w:val="center"/>
        </w:trPr>
        <w:tc>
          <w:tcPr>
            <w:tcW w:w="351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7. Monitoreo</w:t>
            </w:r>
          </w:p>
        </w:tc>
        <w:tc>
          <w:tcPr>
            <w:tcW w:w="611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Actualización de fuentes, control de versiones, ajustes de umbrales y retroalimentación de usuarios expertos.</w:t>
            </w:r>
          </w:p>
        </w:tc>
      </w:tr>
    </w:tbl>
    <w:p w:rsidR="003D2FB2" w:rsidRPr="00064401" w:rsidRDefault="007557A4">
      <w:pPr>
        <w:pStyle w:val="Ttulo2"/>
        <w:rPr>
          <w:rFonts w:ascii="Arial" w:hAnsi="Arial" w:cs="Arial"/>
          <w:sz w:val="20"/>
          <w:szCs w:val="20"/>
        </w:rPr>
      </w:pPr>
      <w:r w:rsidRPr="00064401">
        <w:rPr>
          <w:rFonts w:ascii="Arial" w:hAnsi="Arial" w:cs="Arial"/>
          <w:sz w:val="20"/>
          <w:szCs w:val="20"/>
        </w:rPr>
        <w:t>Arquitectura funcional</w:t>
      </w:r>
    </w:p>
    <w:p w:rsidR="003D2FB2" w:rsidRPr="00064401" w:rsidRDefault="007557A4">
      <w:pPr>
        <w:jc w:val="both"/>
        <w:rPr>
          <w:rFonts w:ascii="Arial" w:hAnsi="Arial" w:cs="Arial"/>
          <w:sz w:val="20"/>
          <w:szCs w:val="20"/>
        </w:rPr>
      </w:pPr>
      <w:r w:rsidRPr="00064401">
        <w:rPr>
          <w:rFonts w:ascii="Arial" w:hAnsi="Arial" w:cs="Arial"/>
          <w:sz w:val="20"/>
          <w:szCs w:val="20"/>
        </w:rPr>
        <w:t>La arquitectura opera en cuatro capas: ingestión de fuentes abiertas, procesamiento ETL, capa analítica DuckDB y capa de inteligencia artificial. En la capa de IA se integran búsqueda semántica, expansión de consultas, recuperación de contexto estructurado y generación asistida de informes. La salida final se expresa en paneles de control, síntesis evaluativas, semáforos de decisión y recomendaciones por tipo de oferta.</w:t>
      </w:r>
    </w:p>
    <w:p w:rsidR="003D2FB2" w:rsidRPr="00064401" w:rsidRDefault="007557A4">
      <w:pPr>
        <w:jc w:val="both"/>
        <w:rPr>
          <w:rFonts w:ascii="Arial" w:hAnsi="Arial" w:cs="Arial"/>
          <w:sz w:val="20"/>
          <w:szCs w:val="20"/>
        </w:rPr>
      </w:pPr>
      <w:r>
        <w:rPr>
          <w:rFonts w:ascii="Arial" w:hAnsi="Arial"/>
          <w:sz w:val="20"/>
        </w:rPr>
        <w:t xml:space="preserve">Una decisión relevante en el diseño de la capa analítica fue evitar las consultas predefinidas como único mecanismo de acceso a los datos. En su lugar, el sistema incorpora un motor de decisión que interpreta de manera dinámica las variables seleccionadas por el usuario y construye las consultas en tiempo de </w:t>
      </w:r>
      <w:r>
        <w:rPr>
          <w:rFonts w:ascii="Arial" w:hAnsi="Arial"/>
          <w:sz w:val="20"/>
        </w:rPr>
        <w:lastRenderedPageBreak/>
        <w:t>ejecución. Esto significa que la herramienta no está limitada a los cruces previstos durante el desarrollo inicial: puede responder a combinaciones de filtros, variables y niveles de agregación que no fueron anticipadas, siempre que los datos estén disponibles en el repositorio. Esta arquitectura dota al sistema de una flexibilidad que lo acerca más a un motor de analítica institucional que a un tablero de indicadores fijos.</w:t>
      </w:r>
    </w:p>
    <w:p w:rsidR="003D2FB2" w:rsidRPr="00064401" w:rsidRDefault="007557A4">
      <w:pPr>
        <w:jc w:val="both"/>
        <w:rPr>
          <w:rFonts w:ascii="Arial" w:hAnsi="Arial" w:cs="Arial"/>
          <w:sz w:val="20"/>
          <w:szCs w:val="20"/>
        </w:rPr>
      </w:pPr>
      <w:r>
        <w:rPr>
          <w:rFonts w:ascii="Arial" w:hAnsi="Arial"/>
          <w:sz w:val="20"/>
        </w:rPr>
        <w:t xml:space="preserve">Una decisión de diseño que merece mención es la estrategia con la que el sistema resuelve las diferencias de esquema entre las tablas de programas </w:t>
      </w:r>
      <w:r w:rsidR="00BF5F8A">
        <w:rPr>
          <w:rFonts w:ascii="Arial" w:hAnsi="Arial"/>
          <w:sz w:val="20"/>
        </w:rPr>
        <w:t>académicos</w:t>
      </w:r>
      <w:r>
        <w:rPr>
          <w:rFonts w:ascii="Arial" w:hAnsi="Arial"/>
          <w:sz w:val="20"/>
        </w:rPr>
        <w:t xml:space="preserve"> y las de matriculados, graduados e inscritos. Aunque ambas familias de tablas comparten el dominio de la </w:t>
      </w:r>
      <w:r w:rsidR="00BF5F8A">
        <w:rPr>
          <w:rFonts w:ascii="Arial" w:hAnsi="Arial"/>
          <w:sz w:val="20"/>
        </w:rPr>
        <w:t>educación</w:t>
      </w:r>
      <w:r>
        <w:rPr>
          <w:rFonts w:ascii="Arial" w:hAnsi="Arial"/>
          <w:sz w:val="20"/>
        </w:rPr>
        <w:t xml:space="preserve"> superior, utilizan nombres de columna distintos para conceptos equivalentes y algunas dimensiones simplemente no existen en las tablas de matriculados. En lugar de replicar los datos o mantener diccionarios de equivalencias que </w:t>
      </w:r>
      <w:r w:rsidR="00BF5F8A">
        <w:rPr>
          <w:rFonts w:ascii="Arial" w:hAnsi="Arial"/>
          <w:sz w:val="20"/>
        </w:rPr>
        <w:t>requerirían</w:t>
      </w:r>
      <w:r>
        <w:rPr>
          <w:rFonts w:ascii="Arial" w:hAnsi="Arial"/>
          <w:sz w:val="20"/>
        </w:rPr>
        <w:t xml:space="preserve"> mantenimiento manual, el sistema aplica una estrategia de </w:t>
      </w:r>
      <w:r w:rsidR="00BF5F8A">
        <w:rPr>
          <w:rFonts w:ascii="Arial" w:hAnsi="Arial"/>
          <w:sz w:val="20"/>
        </w:rPr>
        <w:t>resolución</w:t>
      </w:r>
      <w:r>
        <w:rPr>
          <w:rFonts w:ascii="Arial" w:hAnsi="Arial"/>
          <w:sz w:val="20"/>
        </w:rPr>
        <w:t xml:space="preserve"> en dos fases: los filtros cuyas columnas existen en la tabla destino se aplican de manera directa; aquellos cuyas columnas no existen se resuelven mediante una subconsulta que utiliza el </w:t>
      </w:r>
      <w:r w:rsidR="00BF5F8A">
        <w:rPr>
          <w:rFonts w:ascii="Arial" w:hAnsi="Arial"/>
          <w:sz w:val="20"/>
        </w:rPr>
        <w:t>código</w:t>
      </w:r>
      <w:r>
        <w:rPr>
          <w:rFonts w:ascii="Arial" w:hAnsi="Arial"/>
          <w:sz w:val="20"/>
        </w:rPr>
        <w:t xml:space="preserve"> SNIES del programa como puente hacia la tabla de programas, donde todas las dimensiones </w:t>
      </w:r>
      <w:r w:rsidR="00BF5F8A">
        <w:rPr>
          <w:rFonts w:ascii="Arial" w:hAnsi="Arial"/>
          <w:sz w:val="20"/>
        </w:rPr>
        <w:t>están</w:t>
      </w:r>
      <w:r>
        <w:rPr>
          <w:rFonts w:ascii="Arial" w:hAnsi="Arial"/>
          <w:sz w:val="20"/>
        </w:rPr>
        <w:t xml:space="preserve"> disponibles. Cuando </w:t>
      </w:r>
      <w:r w:rsidR="00BF5F8A">
        <w:rPr>
          <w:rFonts w:ascii="Arial" w:hAnsi="Arial"/>
          <w:sz w:val="20"/>
        </w:rPr>
        <w:t>múltiples</w:t>
      </w:r>
      <w:r>
        <w:rPr>
          <w:rFonts w:ascii="Arial" w:hAnsi="Arial"/>
          <w:sz w:val="20"/>
        </w:rPr>
        <w:t xml:space="preserve"> filtros requieren este mecanismo, el sistema los consolida en una sola subconsulta para no penalizar el rendimiento. Esta arquitectura de filtrado permite que el usuario seleccione cualquier </w:t>
      </w:r>
      <w:r w:rsidR="00BF5F8A">
        <w:rPr>
          <w:rFonts w:ascii="Arial" w:hAnsi="Arial"/>
          <w:sz w:val="20"/>
        </w:rPr>
        <w:t>combinación</w:t>
      </w:r>
      <w:r>
        <w:rPr>
          <w:rFonts w:ascii="Arial" w:hAnsi="Arial"/>
          <w:sz w:val="20"/>
        </w:rPr>
        <w:t xml:space="preserve"> de criterios sin preocuparse por las diferencias internas entre las tablas que el sistema </w:t>
      </w:r>
      <w:r w:rsidR="00BF5F8A">
        <w:rPr>
          <w:rFonts w:ascii="Arial" w:hAnsi="Arial"/>
          <w:sz w:val="20"/>
        </w:rPr>
        <w:t>está</w:t>
      </w:r>
      <w:r>
        <w:rPr>
          <w:rFonts w:ascii="Arial" w:hAnsi="Arial"/>
          <w:sz w:val="20"/>
        </w:rPr>
        <w:t xml:space="preserve"> interrogando.</w:t>
      </w:r>
    </w:p>
    <w:tbl>
      <w:tblPr>
        <w:tblW w:w="0" w:type="auto"/>
        <w:jc w:val="center"/>
        <w:tblLook w:val="04A0" w:firstRow="1" w:lastRow="0" w:firstColumn="1" w:lastColumn="0" w:noHBand="0" w:noVBand="1"/>
      </w:tblPr>
      <w:tblGrid>
        <w:gridCol w:w="3177"/>
        <w:gridCol w:w="3207"/>
        <w:gridCol w:w="3236"/>
      </w:tblGrid>
      <w:tr w:rsidR="003D2FB2" w:rsidRPr="00064401">
        <w:trPr>
          <w:tblHeader/>
          <w:jc w:val="center"/>
        </w:trPr>
        <w:tc>
          <w:tcPr>
            <w:tcW w:w="3400"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Capa</w:t>
            </w:r>
          </w:p>
        </w:tc>
        <w:tc>
          <w:tcPr>
            <w:tcW w:w="3400"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Función</w:t>
            </w:r>
          </w:p>
        </w:tc>
        <w:tc>
          <w:tcPr>
            <w:tcW w:w="3400"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Producto generado</w:t>
            </w:r>
          </w:p>
        </w:tc>
      </w:tr>
      <w:tr w:rsidR="003D2FB2" w:rsidRPr="00064401">
        <w:trPr>
          <w:jc w:val="center"/>
        </w:trPr>
        <w:tc>
          <w:tcPr>
            <w:tcW w:w="340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Ingestión</w:t>
            </w:r>
          </w:p>
        </w:tc>
        <w:tc>
          <w:tcPr>
            <w:tcW w:w="340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Descarga o conexión con fuentes oficiales y abiertas.</w:t>
            </w:r>
          </w:p>
        </w:tc>
        <w:tc>
          <w:tcPr>
            <w:tcW w:w="340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Inventario de fuentes y registros originales.</w:t>
            </w:r>
          </w:p>
        </w:tc>
      </w:tr>
      <w:tr w:rsidR="003D2FB2" w:rsidRPr="00064401">
        <w:trPr>
          <w:jc w:val="center"/>
        </w:trPr>
        <w:tc>
          <w:tcPr>
            <w:tcW w:w="340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ETL</w:t>
            </w:r>
          </w:p>
        </w:tc>
        <w:tc>
          <w:tcPr>
            <w:tcW w:w="340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Limpieza, homologación, normalización y trazabilidad.</w:t>
            </w:r>
          </w:p>
        </w:tc>
        <w:tc>
          <w:tcPr>
            <w:tcW w:w="340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Tablas curadas en DuckDB.</w:t>
            </w:r>
          </w:p>
        </w:tc>
      </w:tr>
      <w:tr w:rsidR="003D2FB2" w:rsidRPr="00064401">
        <w:trPr>
          <w:jc w:val="center"/>
        </w:trPr>
        <w:tc>
          <w:tcPr>
            <w:tcW w:w="340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Analítica</w:t>
            </w:r>
          </w:p>
        </w:tc>
        <w:tc>
          <w:tcPr>
            <w:tcW w:w="340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Cálculo de indicadores, cruces y síntesis de pertinencia.</w:t>
            </w:r>
          </w:p>
        </w:tc>
        <w:tc>
          <w:tcPr>
            <w:tcW w:w="340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Indicadores, semáforos y matrices de decisión.</w:t>
            </w:r>
          </w:p>
        </w:tc>
      </w:tr>
      <w:tr w:rsidR="003D2FB2" w:rsidRPr="00064401">
        <w:trPr>
          <w:jc w:val="center"/>
        </w:trPr>
        <w:tc>
          <w:tcPr>
            <w:tcW w:w="340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Inteligencia artificial</w:t>
            </w:r>
          </w:p>
        </w:tc>
        <w:tc>
          <w:tcPr>
            <w:tcW w:w="340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Búsqueda semántica, RAG y generación asistida.</w:t>
            </w:r>
          </w:p>
        </w:tc>
        <w:tc>
          <w:tcPr>
            <w:tcW w:w="340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Reportes preliminares y recomendaciones interpretables.</w:t>
            </w:r>
          </w:p>
        </w:tc>
      </w:tr>
    </w:tbl>
    <w:p w:rsidR="003D2FB2" w:rsidRPr="00064401" w:rsidRDefault="007557A4">
      <w:pPr>
        <w:pStyle w:val="Ttulo1"/>
        <w:rPr>
          <w:rFonts w:ascii="Arial" w:hAnsi="Arial" w:cs="Arial"/>
          <w:sz w:val="20"/>
          <w:szCs w:val="20"/>
        </w:rPr>
      </w:pPr>
      <w:r w:rsidRPr="00064401">
        <w:rPr>
          <w:rFonts w:ascii="Arial" w:hAnsi="Arial" w:cs="Arial"/>
          <w:sz w:val="20"/>
          <w:szCs w:val="20"/>
        </w:rPr>
        <w:t>7. Componentes de inteligencia artificial y validación</w:t>
      </w:r>
    </w:p>
    <w:p w:rsidR="003D2FB2" w:rsidRPr="00064401" w:rsidRDefault="007557A4">
      <w:pPr>
        <w:jc w:val="both"/>
        <w:rPr>
          <w:rFonts w:ascii="Arial" w:hAnsi="Arial" w:cs="Arial"/>
          <w:sz w:val="20"/>
          <w:szCs w:val="20"/>
        </w:rPr>
      </w:pPr>
      <w:r w:rsidRPr="00064401">
        <w:rPr>
          <w:rFonts w:ascii="Arial" w:hAnsi="Arial" w:cs="Arial"/>
          <w:sz w:val="20"/>
          <w:szCs w:val="20"/>
        </w:rPr>
        <w:t>El componente de inteligencia artificial combina procesamiento avanzado de lenguaje natural, recuperación aumentada y generación asistida. El sistema usa embeddings multilingües para representar textos de programas, ocupaciones, competencias y consultas. La similitud semántica permite relacionar núcleos básicos de conocimiento, ocupaciones CUOC, competencias y señales de pertinencia aun cuando las fuentes usan denominaciones diferentes.</w:t>
      </w:r>
    </w:p>
    <w:p w:rsidR="003D2FB2" w:rsidRPr="00064401" w:rsidRDefault="007557A4">
      <w:pPr>
        <w:jc w:val="both"/>
        <w:rPr>
          <w:rFonts w:ascii="Arial" w:hAnsi="Arial" w:cs="Arial"/>
          <w:sz w:val="20"/>
          <w:szCs w:val="20"/>
        </w:rPr>
      </w:pPr>
      <w:r>
        <w:rPr>
          <w:rFonts w:ascii="Arial" w:hAnsi="Arial"/>
          <w:sz w:val="20"/>
        </w:rPr>
        <w:t xml:space="preserve">La elección de búsqueda semántica con embeddings multilingües responde a un problema concreto del ecosistema de datos educativos colombianos. Las ocupaciones que demanda el mercado laboral rara vez se nombran con las mismas palabras que utilizan los programas académicos. La Clasificación Única de Ocupaciones describe perfiles laborales; el SNIES registra programas de formación. Entre ambos lenguajes existe una distancia que los métodos tradicionales de búsqueda por palabras clave no logran salvar de manera confiable. El modelo de lenguaje cruza ese umbral al representar el significado de los textos, no sus literales, permitiendo que el sistema asocie un núcleo básico de conocimiento con ocupaciones, competencias y </w:t>
      </w:r>
      <w:r w:rsidR="00BF5F8A">
        <w:rPr>
          <w:rFonts w:ascii="Arial" w:hAnsi="Arial"/>
          <w:sz w:val="20"/>
        </w:rPr>
        <w:t>vacantes,</w:t>
      </w:r>
      <w:r>
        <w:rPr>
          <w:rFonts w:ascii="Arial" w:hAnsi="Arial"/>
          <w:sz w:val="20"/>
        </w:rPr>
        <w:t xml:space="preserve"> aunque las denominaciones no compartan una sola palabra. Esta capacidad se extiende más allá del contexto colombiano: el sistema incorpora la taxonomía europea ESCO de habilidades y ocupaciones, mapeándola a los sectores de conocimiento SNIES para que un análisis de pertinencia pueda contrastarse con las señales de demanda laboral que se observan en economías de referencia.</w:t>
      </w:r>
    </w:p>
    <w:p w:rsidR="003D2FB2" w:rsidRPr="00064401" w:rsidRDefault="007557A4">
      <w:pPr>
        <w:jc w:val="both"/>
        <w:rPr>
          <w:rFonts w:ascii="Arial" w:hAnsi="Arial" w:cs="Arial"/>
          <w:sz w:val="20"/>
          <w:szCs w:val="20"/>
        </w:rPr>
      </w:pPr>
      <w:r>
        <w:rPr>
          <w:rFonts w:ascii="Arial" w:hAnsi="Arial"/>
          <w:sz w:val="20"/>
        </w:rPr>
        <w:lastRenderedPageBreak/>
        <w:t>Esta misma lógica de representación semántica permite al sistema tender un puente entre los dos universos de la oferta educativa colombiana que usualmente se analizan por separado: la educación superior formal y la educación para el trabajo y el desarrollo humano. Aunque el SNIES y el SIET utilizan clasificaciones distintas, nombres de programas que no coinciden y métricas que no se cruzan de manera natural, el modelo de lenguaje identifica correspondencias entre ambos sistemas a partir del significado de los textos que los describen. Esto permite que el análisis de pertinencia de un programa universitario pueda enriquecerse con señales provenientes del ecosistema de formación para el trabajo, y viceversa, revelando complementariedades que los datos, por sí solos, no harían visibles.</w:t>
      </w:r>
    </w:p>
    <w:p w:rsidR="003D2FB2" w:rsidRPr="00064401" w:rsidRDefault="007557A4">
      <w:pPr>
        <w:jc w:val="both"/>
        <w:rPr>
          <w:rFonts w:ascii="Arial" w:hAnsi="Arial" w:cs="Arial"/>
          <w:sz w:val="20"/>
          <w:szCs w:val="20"/>
        </w:rPr>
      </w:pPr>
      <w:r>
        <w:rPr>
          <w:rFonts w:ascii="Arial" w:hAnsi="Arial"/>
          <w:sz w:val="20"/>
        </w:rPr>
        <w:t xml:space="preserve">El componente de búsqueda semántica opera sobre un modelo multilingüe de 384 dimensiones, seleccionado por su equilibrio entre </w:t>
      </w:r>
      <w:r w:rsidR="00BF5F8A">
        <w:rPr>
          <w:rFonts w:ascii="Arial" w:hAnsi="Arial"/>
          <w:sz w:val="20"/>
        </w:rPr>
        <w:t>precisión</w:t>
      </w:r>
      <w:r>
        <w:rPr>
          <w:rFonts w:ascii="Arial" w:hAnsi="Arial"/>
          <w:sz w:val="20"/>
        </w:rPr>
        <w:t xml:space="preserve">, </w:t>
      </w:r>
      <w:r w:rsidR="00BF5F8A">
        <w:rPr>
          <w:rFonts w:ascii="Arial" w:hAnsi="Arial"/>
          <w:sz w:val="20"/>
        </w:rPr>
        <w:t>tamaño</w:t>
      </w:r>
      <w:r>
        <w:rPr>
          <w:rFonts w:ascii="Arial" w:hAnsi="Arial"/>
          <w:sz w:val="20"/>
        </w:rPr>
        <w:t xml:space="preserve"> compacto y </w:t>
      </w:r>
      <w:r w:rsidR="00BF5F8A">
        <w:rPr>
          <w:rFonts w:ascii="Arial" w:hAnsi="Arial"/>
          <w:sz w:val="20"/>
        </w:rPr>
        <w:t>desempeño</w:t>
      </w:r>
      <w:r>
        <w:rPr>
          <w:rFonts w:ascii="Arial" w:hAnsi="Arial"/>
          <w:sz w:val="20"/>
        </w:rPr>
        <w:t xml:space="preserve"> en </w:t>
      </w:r>
      <w:r w:rsidR="00BF5F8A">
        <w:rPr>
          <w:rFonts w:ascii="Arial" w:hAnsi="Arial"/>
          <w:sz w:val="20"/>
        </w:rPr>
        <w:t>español</w:t>
      </w:r>
      <w:r>
        <w:rPr>
          <w:rFonts w:ascii="Arial" w:hAnsi="Arial"/>
          <w:sz w:val="20"/>
        </w:rPr>
        <w:t xml:space="preserve">. Los embeddings de los textos del corpus se precalculan y se almacenan en un sistema de cache de dos niveles, en memoria y en disco, para evitar el costo computacional de revectorizar cientos de ocupaciones o competencias en cada consulta. Los umbrales de similitud no son fijos sino adaptativos: el sistema intenta primero un emparejamiento exigente y, si los resultados son escasos, relaja el umbral para no descartar correspondencias validas en </w:t>
      </w:r>
      <w:r w:rsidR="00BF5F8A">
        <w:rPr>
          <w:rFonts w:ascii="Arial" w:hAnsi="Arial"/>
          <w:sz w:val="20"/>
        </w:rPr>
        <w:t>núcleos</w:t>
      </w:r>
      <w:r>
        <w:rPr>
          <w:rFonts w:ascii="Arial" w:hAnsi="Arial"/>
          <w:sz w:val="20"/>
        </w:rPr>
        <w:t xml:space="preserve"> de conocimiento con pocas ocupaciones directamente asociadas. Cuando el modelo de lenguaje no </w:t>
      </w:r>
      <w:r w:rsidR="00BF5F8A">
        <w:rPr>
          <w:rFonts w:ascii="Arial" w:hAnsi="Arial"/>
          <w:sz w:val="20"/>
        </w:rPr>
        <w:t>está</w:t>
      </w:r>
      <w:r>
        <w:rPr>
          <w:rFonts w:ascii="Arial" w:hAnsi="Arial"/>
          <w:sz w:val="20"/>
        </w:rPr>
        <w:t xml:space="preserve"> disponible, ya sea por restricciones del entorno de </w:t>
      </w:r>
      <w:r w:rsidR="00BF5F8A">
        <w:rPr>
          <w:rFonts w:ascii="Arial" w:hAnsi="Arial"/>
          <w:sz w:val="20"/>
        </w:rPr>
        <w:t>ejecución</w:t>
      </w:r>
      <w:r>
        <w:rPr>
          <w:rFonts w:ascii="Arial" w:hAnsi="Arial"/>
          <w:sz w:val="20"/>
        </w:rPr>
        <w:t xml:space="preserve"> o por ausencia de las bibliotecas necesarias, el sistema recurre de manera </w:t>
      </w:r>
      <w:r w:rsidR="00BF5F8A">
        <w:rPr>
          <w:rFonts w:ascii="Arial" w:hAnsi="Arial"/>
          <w:sz w:val="20"/>
        </w:rPr>
        <w:t>automática</w:t>
      </w:r>
      <w:r>
        <w:rPr>
          <w:rFonts w:ascii="Arial" w:hAnsi="Arial"/>
          <w:sz w:val="20"/>
        </w:rPr>
        <w:t xml:space="preserve"> a una estrategia de respaldo basada en palabras clave, garantizando que el </w:t>
      </w:r>
      <w:r w:rsidR="00BF5F8A">
        <w:rPr>
          <w:rFonts w:ascii="Arial" w:hAnsi="Arial"/>
          <w:sz w:val="20"/>
        </w:rPr>
        <w:t>análisis</w:t>
      </w:r>
      <w:r>
        <w:rPr>
          <w:rFonts w:ascii="Arial" w:hAnsi="Arial"/>
          <w:sz w:val="20"/>
        </w:rPr>
        <w:t xml:space="preserve"> nunca quede interrumpido por una dependencia externa.</w:t>
      </w:r>
    </w:p>
    <w:tbl>
      <w:tblPr>
        <w:tblW w:w="0" w:type="auto"/>
        <w:jc w:val="center"/>
        <w:tblLook w:val="04A0" w:firstRow="1" w:lastRow="0" w:firstColumn="1" w:lastColumn="0" w:noHBand="0" w:noVBand="1"/>
      </w:tblPr>
      <w:tblGrid>
        <w:gridCol w:w="3227"/>
        <w:gridCol w:w="6393"/>
      </w:tblGrid>
      <w:tr w:rsidR="003D2FB2" w:rsidRPr="00064401" w:rsidTr="00016267">
        <w:trPr>
          <w:tblHeader/>
          <w:jc w:val="center"/>
        </w:trPr>
        <w:tc>
          <w:tcPr>
            <w:tcW w:w="3227"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Componente IA</w:t>
            </w:r>
          </w:p>
        </w:tc>
        <w:tc>
          <w:tcPr>
            <w:tcW w:w="6393"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Función técnica</w:t>
            </w:r>
          </w:p>
        </w:tc>
      </w:tr>
      <w:tr w:rsidR="003D2FB2" w:rsidRPr="00064401" w:rsidTr="00016267">
        <w:trPr>
          <w:jc w:val="center"/>
        </w:trPr>
        <w:tc>
          <w:tcPr>
            <w:tcW w:w="32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Búsqueda semántica</w:t>
            </w:r>
          </w:p>
        </w:tc>
        <w:tc>
          <w:tcPr>
            <w:tcW w:w="63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Sentence-Transformers con modelo paraphrase-multilingual-MiniLM-L12-v2. Genera embeddings de 384 dimensiones y calcula similitud coseno.</w:t>
            </w:r>
          </w:p>
        </w:tc>
      </w:tr>
      <w:tr w:rsidR="003D2FB2" w:rsidRPr="00064401" w:rsidTr="00016267">
        <w:trPr>
          <w:jc w:val="center"/>
        </w:trPr>
        <w:tc>
          <w:tcPr>
            <w:tcW w:w="3227"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Expansión de consultas</w:t>
            </w:r>
          </w:p>
        </w:tc>
        <w:tc>
          <w:tcPr>
            <w:tcW w:w="639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Enriquecimiento de términos con palabras clave de dominio para mejorar recuperación semántica.</w:t>
            </w:r>
          </w:p>
        </w:tc>
      </w:tr>
      <w:tr w:rsidR="003D2FB2" w:rsidRPr="00064401" w:rsidTr="00016267">
        <w:trPr>
          <w:jc w:val="center"/>
        </w:trPr>
        <w:tc>
          <w:tcPr>
            <w:tcW w:w="32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RAG estructurado con SQL</w:t>
            </w:r>
          </w:p>
        </w:tc>
        <w:tc>
          <w:tcPr>
            <w:tcW w:w="63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Recuperación sobre DuckDB para obtener datos de deserción, Saber, tránsito, competencias, salarios y vacantes.</w:t>
            </w:r>
          </w:p>
        </w:tc>
      </w:tr>
      <w:tr w:rsidR="003D2FB2" w:rsidRPr="00064401" w:rsidTr="00016267">
        <w:trPr>
          <w:jc w:val="center"/>
        </w:trPr>
        <w:tc>
          <w:tcPr>
            <w:tcW w:w="3227"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LLM</w:t>
            </w:r>
          </w:p>
        </w:tc>
        <w:tc>
          <w:tcPr>
            <w:tcW w:w="639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Google Gemini para generación de informes preliminares con instrucciones de usar solo datos proporcionados, citar fuentes y reportar limitaciones.</w:t>
            </w:r>
          </w:p>
        </w:tc>
      </w:tr>
      <w:tr w:rsidR="003D2FB2" w:rsidRPr="00064401" w:rsidTr="00016267">
        <w:trPr>
          <w:jc w:val="center"/>
        </w:trPr>
        <w:tc>
          <w:tcPr>
            <w:tcW w:w="32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Posprocesamiento</w:t>
            </w:r>
          </w:p>
        </w:tc>
        <w:tc>
          <w:tcPr>
            <w:tcW w:w="63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Filtro por umbral, representatividad, de</w:t>
            </w:r>
            <w:r w:rsidR="00925A1A">
              <w:rPr>
                <w:rFonts w:ascii="Arial" w:hAnsi="Arial" w:cs="Arial"/>
                <w:sz w:val="20"/>
                <w:szCs w:val="20"/>
              </w:rPr>
              <w:t xml:space="preserve"> </w:t>
            </w:r>
            <w:r w:rsidRPr="00064401">
              <w:rPr>
                <w:rFonts w:ascii="Arial" w:hAnsi="Arial" w:cs="Arial"/>
                <w:sz w:val="20"/>
                <w:szCs w:val="20"/>
              </w:rPr>
              <w:t>duplicación y ordenamiento por puntaje de similitud.</w:t>
            </w:r>
          </w:p>
        </w:tc>
      </w:tr>
    </w:tbl>
    <w:p w:rsidR="003D2FB2" w:rsidRPr="00064401" w:rsidRDefault="007557A4">
      <w:pPr>
        <w:pStyle w:val="Ttulo2"/>
        <w:rPr>
          <w:rFonts w:ascii="Arial" w:hAnsi="Arial" w:cs="Arial"/>
          <w:sz w:val="20"/>
          <w:szCs w:val="20"/>
        </w:rPr>
      </w:pPr>
      <w:r w:rsidRPr="00064401">
        <w:rPr>
          <w:rFonts w:ascii="Arial" w:hAnsi="Arial" w:cs="Arial"/>
          <w:sz w:val="20"/>
          <w:szCs w:val="20"/>
        </w:rPr>
        <w:t>Métricas disponibles y dato pendiente</w:t>
      </w:r>
    </w:p>
    <w:tbl>
      <w:tblPr>
        <w:tblW w:w="0" w:type="auto"/>
        <w:jc w:val="center"/>
        <w:tblLook w:val="04A0" w:firstRow="1" w:lastRow="0" w:firstColumn="1" w:lastColumn="0" w:noHBand="0" w:noVBand="1"/>
      </w:tblPr>
      <w:tblGrid>
        <w:gridCol w:w="3936"/>
        <w:gridCol w:w="5684"/>
      </w:tblGrid>
      <w:tr w:rsidR="003D2FB2" w:rsidRPr="00064401" w:rsidTr="00016267">
        <w:trPr>
          <w:tblHeader/>
          <w:jc w:val="center"/>
        </w:trPr>
        <w:tc>
          <w:tcPr>
            <w:tcW w:w="3936"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Métrica o validación</w:t>
            </w:r>
          </w:p>
        </w:tc>
        <w:tc>
          <w:tcPr>
            <w:tcW w:w="5684"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Estado</w:t>
            </w:r>
          </w:p>
        </w:tc>
      </w:tr>
      <w:tr w:rsidR="003D2FB2" w:rsidRPr="00064401" w:rsidTr="00016267">
        <w:trPr>
          <w:jc w:val="center"/>
        </w:trPr>
        <w:tc>
          <w:tcPr>
            <w:tcW w:w="3936"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Puntaje de similitud coseno</w:t>
            </w:r>
          </w:p>
        </w:tc>
        <w:tc>
          <w:tcPr>
            <w:tcW w:w="568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Disponible. Alto &gt; 0,7; medio 0,4-0,7; bajo &lt; 0,4, según metodología técnica.</w:t>
            </w:r>
          </w:p>
        </w:tc>
      </w:tr>
      <w:tr w:rsidR="003D2FB2" w:rsidRPr="00064401" w:rsidTr="00016267">
        <w:trPr>
          <w:jc w:val="center"/>
        </w:trPr>
        <w:tc>
          <w:tcPr>
            <w:tcW w:w="3936"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Umbral de relevancia semántica</w:t>
            </w:r>
          </w:p>
        </w:tc>
        <w:tc>
          <w:tcPr>
            <w:tcW w:w="5684"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Disponible. Relevancia alta &gt;= 0,7; moderada 0,5-0,7; baja 0,3-0,5; no relevante &lt; 0,3.</w:t>
            </w:r>
          </w:p>
        </w:tc>
      </w:tr>
      <w:tr w:rsidR="003D2FB2" w:rsidRPr="00064401" w:rsidTr="00016267">
        <w:trPr>
          <w:jc w:val="center"/>
        </w:trPr>
        <w:tc>
          <w:tcPr>
            <w:tcW w:w="3936"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Indicadores analíticos</w:t>
            </w:r>
          </w:p>
        </w:tc>
        <w:tc>
          <w:tcPr>
            <w:tcW w:w="568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Disponible. HHI, CAGR, ratio de absorción laboral, índice de conectividad y puntaje final ponderado.</w:t>
            </w:r>
          </w:p>
        </w:tc>
      </w:tr>
      <w:tr w:rsidR="003D2FB2" w:rsidRPr="00064401" w:rsidTr="00016267">
        <w:trPr>
          <w:jc w:val="center"/>
        </w:trPr>
        <w:tc>
          <w:tcPr>
            <w:tcW w:w="3936"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Validación predictiva supervisada</w:t>
            </w:r>
          </w:p>
        </w:tc>
        <w:tc>
          <w:tcPr>
            <w:tcW w:w="5684" w:type="dxa"/>
            <w:tcBorders>
              <w:top w:val="single" w:sz="4" w:space="0" w:color="D9E2F3"/>
              <w:left w:val="single" w:sz="4" w:space="0" w:color="D9E2F3"/>
              <w:bottom w:val="single" w:sz="4" w:space="0" w:color="D9E2F3"/>
              <w:right w:val="single" w:sz="4" w:space="0" w:color="D9E2F3"/>
            </w:tcBorders>
            <w:shd w:val="clear" w:color="auto" w:fill="F7FAFD"/>
          </w:tcPr>
          <w:p w:rsidR="00844BEF" w:rsidRPr="00844BEF" w:rsidRDefault="00844BEF" w:rsidP="00844BEF">
            <w:pPr>
              <w:rPr>
                <w:rFonts w:ascii="Arial" w:hAnsi="Arial" w:cs="Arial"/>
                <w:sz w:val="20"/>
                <w:szCs w:val="20"/>
              </w:rPr>
            </w:pPr>
            <w:r w:rsidRPr="00844BEF">
              <w:rPr>
                <w:rFonts w:ascii="Arial" w:hAnsi="Arial" w:cs="Arial"/>
                <w:sz w:val="20"/>
                <w:szCs w:val="20"/>
              </w:rPr>
              <w:t xml:space="preserve">Pendiente para modelo supervisado de deserción. El sistema no entrena un clasificador de predicción individual de </w:t>
            </w:r>
            <w:bookmarkStart w:id="0" w:name="_GoBack"/>
            <w:bookmarkEnd w:id="0"/>
            <w:r w:rsidRPr="00844BEF">
              <w:rPr>
                <w:rFonts w:ascii="Arial" w:hAnsi="Arial" w:cs="Arial"/>
                <w:sz w:val="20"/>
                <w:szCs w:val="20"/>
              </w:rPr>
              <w:t>abandono (se propone como evolución futura en Anexo C).</w:t>
            </w:r>
          </w:p>
          <w:p w:rsidR="00844BEF" w:rsidRPr="00844BEF" w:rsidRDefault="00844BEF" w:rsidP="00844BEF">
            <w:pPr>
              <w:rPr>
                <w:rFonts w:ascii="Arial" w:hAnsi="Arial" w:cs="Arial"/>
                <w:sz w:val="20"/>
                <w:szCs w:val="20"/>
              </w:rPr>
            </w:pPr>
          </w:p>
          <w:p w:rsidR="003D2FB2" w:rsidRPr="00064401" w:rsidRDefault="00844BEF" w:rsidP="00844BEF">
            <w:pPr>
              <w:rPr>
                <w:rFonts w:ascii="Arial" w:hAnsi="Arial" w:cs="Arial"/>
                <w:sz w:val="20"/>
                <w:szCs w:val="20"/>
              </w:rPr>
            </w:pPr>
            <w:r w:rsidRPr="00844BEF">
              <w:rPr>
                <w:rFonts w:ascii="Arial" w:hAnsi="Arial" w:cs="Arial"/>
                <w:sz w:val="20"/>
                <w:szCs w:val="20"/>
              </w:rPr>
              <w:t>Para el componente de matching semántico sí se dispone de métricas IR validadas sobre 56 NBCs: P@1=78.6%, MRR=0.810, MAP=0.794, NDCG@10=0.813, con cobertura Top-5 del 100%. Resultados completos y gráficos en reports/ y docs/tecnica/08_validacion_componentes_ia.md.</w:t>
            </w:r>
          </w:p>
        </w:tc>
      </w:tr>
      <w:tr w:rsidR="003D2FB2" w:rsidRPr="00064401" w:rsidTr="00016267">
        <w:trPr>
          <w:jc w:val="center"/>
        </w:trPr>
        <w:tc>
          <w:tcPr>
            <w:tcW w:w="3936"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lastRenderedPageBreak/>
              <w:t>Validación experta</w:t>
            </w:r>
          </w:p>
        </w:tc>
        <w:tc>
          <w:tcPr>
            <w:tcW w:w="568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Disponible como criterio metodológico. Los informes generados por LLM deben ser revisados por expertos antes de orientar decisiones formales.</w:t>
            </w:r>
          </w:p>
        </w:tc>
      </w:tr>
    </w:tbl>
    <w:p w:rsidR="003D2FB2" w:rsidRPr="00064401" w:rsidRDefault="007557A4">
      <w:pPr>
        <w:jc w:val="both"/>
        <w:rPr>
          <w:rFonts w:ascii="Arial" w:hAnsi="Arial" w:cs="Arial"/>
          <w:sz w:val="20"/>
          <w:szCs w:val="20"/>
        </w:rPr>
      </w:pPr>
      <w:r w:rsidRPr="00064401">
        <w:rPr>
          <w:rFonts w:ascii="Arial" w:hAnsi="Arial" w:cs="Arial"/>
          <w:sz w:val="20"/>
          <w:szCs w:val="20"/>
        </w:rPr>
        <w:t>Por rigor técnico, el documento no declara resultados de un modelo predictivo supervisado que no se encuentre documentado. La solución actual cumple una función de analítica contextual, búsqueda semántica, recomendación institucional y generación de informes. La predicción individual o agregada de riesgo de deserción se propone como fase de ampliación, con métricas de validación específicas.</w:t>
      </w:r>
    </w:p>
    <w:p w:rsidR="003D2FB2" w:rsidRPr="00064401" w:rsidRDefault="007557A4">
      <w:pPr>
        <w:pStyle w:val="Ttulo1"/>
        <w:rPr>
          <w:rFonts w:ascii="Arial" w:hAnsi="Arial" w:cs="Arial"/>
          <w:sz w:val="20"/>
          <w:szCs w:val="20"/>
        </w:rPr>
      </w:pPr>
      <w:r w:rsidRPr="00064401">
        <w:rPr>
          <w:rFonts w:ascii="Arial" w:hAnsi="Arial" w:cs="Arial"/>
          <w:sz w:val="20"/>
          <w:szCs w:val="20"/>
        </w:rPr>
        <w:t>8. Resultados, hallazgos e impacto esperado</w:t>
      </w:r>
    </w:p>
    <w:p w:rsidR="003D2FB2" w:rsidRPr="00064401" w:rsidRDefault="007557A4">
      <w:pPr>
        <w:jc w:val="both"/>
        <w:rPr>
          <w:rFonts w:ascii="Arial" w:hAnsi="Arial" w:cs="Arial"/>
          <w:sz w:val="20"/>
          <w:szCs w:val="20"/>
        </w:rPr>
      </w:pPr>
      <w:r w:rsidRPr="00064401">
        <w:rPr>
          <w:rFonts w:ascii="Arial" w:hAnsi="Arial" w:cs="Arial"/>
          <w:sz w:val="20"/>
          <w:szCs w:val="20"/>
        </w:rPr>
        <w:t xml:space="preserve">La validación del sistema se realizó mediante una batería de 50 pruebas automatizadas ejecutadas directamente contra el repositorio de datos real, cubriendo </w:t>
      </w:r>
      <w:r w:rsidR="00BF5F8A" w:rsidRPr="00064401">
        <w:rPr>
          <w:rFonts w:ascii="Arial" w:hAnsi="Arial" w:cs="Arial"/>
          <w:sz w:val="20"/>
          <w:szCs w:val="20"/>
        </w:rPr>
        <w:t>construcción</w:t>
      </w:r>
      <w:r w:rsidRPr="00064401">
        <w:rPr>
          <w:rFonts w:ascii="Arial" w:hAnsi="Arial" w:cs="Arial"/>
          <w:sz w:val="20"/>
          <w:szCs w:val="20"/>
        </w:rPr>
        <w:t xml:space="preserve"> de filtros, consultas entre tablas, consistencia interna y rendimiento. Los detalles de la suite de </w:t>
      </w:r>
      <w:r w:rsidR="00BF5F8A" w:rsidRPr="00064401">
        <w:rPr>
          <w:rFonts w:ascii="Arial" w:hAnsi="Arial" w:cs="Arial"/>
          <w:sz w:val="20"/>
          <w:szCs w:val="20"/>
        </w:rPr>
        <w:t>validación</w:t>
      </w:r>
      <w:r w:rsidRPr="00064401">
        <w:rPr>
          <w:rFonts w:ascii="Arial" w:hAnsi="Arial" w:cs="Arial"/>
          <w:sz w:val="20"/>
          <w:szCs w:val="20"/>
        </w:rPr>
        <w:t xml:space="preserve"> se describen en la </w:t>
      </w:r>
      <w:r w:rsidR="00BF5F8A" w:rsidRPr="00064401">
        <w:rPr>
          <w:rFonts w:ascii="Arial" w:hAnsi="Arial" w:cs="Arial"/>
          <w:sz w:val="20"/>
          <w:szCs w:val="20"/>
        </w:rPr>
        <w:t>sección</w:t>
      </w:r>
      <w:r w:rsidRPr="00064401">
        <w:rPr>
          <w:rFonts w:ascii="Arial" w:hAnsi="Arial" w:cs="Arial"/>
          <w:sz w:val="20"/>
          <w:szCs w:val="20"/>
        </w:rPr>
        <w:t xml:space="preserve"> 9.</w:t>
      </w:r>
    </w:p>
    <w:tbl>
      <w:tblPr>
        <w:tblW w:w="0" w:type="auto"/>
        <w:jc w:val="center"/>
        <w:tblLook w:val="04A0" w:firstRow="1" w:lastRow="0" w:firstColumn="1" w:lastColumn="0" w:noHBand="0" w:noVBand="1"/>
      </w:tblPr>
      <w:tblGrid>
        <w:gridCol w:w="2093"/>
        <w:gridCol w:w="3544"/>
        <w:gridCol w:w="3983"/>
      </w:tblGrid>
      <w:tr w:rsidR="003D2FB2" w:rsidRPr="00064401" w:rsidTr="00E30B05">
        <w:trPr>
          <w:tblHeader/>
          <w:jc w:val="center"/>
        </w:trPr>
        <w:tc>
          <w:tcPr>
            <w:tcW w:w="2093"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Hallazgo</w:t>
            </w:r>
          </w:p>
        </w:tc>
        <w:tc>
          <w:tcPr>
            <w:tcW w:w="3544"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Interpretación para la decisión</w:t>
            </w:r>
          </w:p>
        </w:tc>
        <w:tc>
          <w:tcPr>
            <w:tcW w:w="3983"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Relación con permanencia</w:t>
            </w:r>
          </w:p>
        </w:tc>
      </w:tr>
      <w:tr w:rsidR="003D2FB2" w:rsidRPr="00064401" w:rsidTr="00E30B05">
        <w:trPr>
          <w:jc w:val="center"/>
        </w:trPr>
        <w:tc>
          <w:tcPr>
            <w:tcW w:w="20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Concentración de oferta</w:t>
            </w:r>
          </w:p>
        </w:tc>
        <w:tc>
          <w:tcPr>
            <w:tcW w:w="354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Los campos analizados muestran niveles diferenciados de concentración según HHI, lo que exige diferenciación y lectura fina de oportunidad antes de abrir programas.</w:t>
            </w:r>
          </w:p>
        </w:tc>
        <w:tc>
          <w:tcPr>
            <w:tcW w:w="398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Evita abrir programas con baja diferenciación, escasa demanda o débil propuesta de valor para estudiantes.</w:t>
            </w:r>
          </w:p>
        </w:tc>
      </w:tr>
      <w:tr w:rsidR="003D2FB2" w:rsidRPr="00064401" w:rsidTr="00E30B05">
        <w:trPr>
          <w:jc w:val="center"/>
        </w:trPr>
        <w:tc>
          <w:tcPr>
            <w:tcW w:w="209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Demanda laboral heterogénea</w:t>
            </w:r>
          </w:p>
        </w:tc>
        <w:tc>
          <w:tcPr>
            <w:tcW w:w="3544"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El ratio de absorción distingue campos con alta demanda, equilibrio favorable y presión competitiva; en el piloto se observaron ratios contrastantes entre campos.</w:t>
            </w:r>
          </w:p>
        </w:tc>
        <w:tc>
          <w:tcPr>
            <w:tcW w:w="398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Permite alinear expectativas de inserción y disminuir desajustes entre formación y proyecto de vida.</w:t>
            </w:r>
          </w:p>
        </w:tc>
      </w:tr>
      <w:tr w:rsidR="003D2FB2" w:rsidRPr="00064401" w:rsidTr="00E30B05">
        <w:trPr>
          <w:jc w:val="center"/>
        </w:trPr>
        <w:tc>
          <w:tcPr>
            <w:tcW w:w="20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Brecha digital transversal</w:t>
            </w:r>
          </w:p>
        </w:tc>
        <w:tc>
          <w:tcPr>
            <w:tcW w:w="354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Las competencias en herramientas digitales, gestión de información y analítica aparecen como vacíos recurrentes entre demanda laboral y formación.</w:t>
            </w:r>
          </w:p>
        </w:tc>
        <w:tc>
          <w:tcPr>
            <w:tcW w:w="398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Orienta ajustes curriculares que fortalecen pertinencia, empleabilidad y valoración del programa.</w:t>
            </w:r>
          </w:p>
        </w:tc>
      </w:tr>
      <w:tr w:rsidR="003D2FB2" w:rsidRPr="00064401" w:rsidTr="00E30B05">
        <w:trPr>
          <w:jc w:val="center"/>
        </w:trPr>
        <w:tc>
          <w:tcPr>
            <w:tcW w:w="209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Modalidad condicionada por territorio</w:t>
            </w:r>
          </w:p>
        </w:tc>
        <w:tc>
          <w:tcPr>
            <w:tcW w:w="3544"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La conectividad permite recomendar modalidades virtuales, híbridas o presenciales según zona, campo y componente práctico.</w:t>
            </w:r>
          </w:p>
        </w:tc>
        <w:tc>
          <w:tcPr>
            <w:tcW w:w="398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Anticipa barreras de acceso que pueden afectar continuidad en programas virtuales o híbridos.</w:t>
            </w:r>
          </w:p>
        </w:tc>
      </w:tr>
      <w:tr w:rsidR="003D2FB2" w:rsidRPr="00064401" w:rsidTr="00E30B05">
        <w:trPr>
          <w:jc w:val="center"/>
        </w:trPr>
        <w:tc>
          <w:tcPr>
            <w:tcW w:w="20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Decisión curricular accionable</w:t>
            </w:r>
          </w:p>
        </w:tc>
        <w:tc>
          <w:tcPr>
            <w:tcW w:w="354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 xml:space="preserve">El sistema transforma hallazgos en recomendaciones: programa completo, ruta formativa, </w:t>
            </w:r>
            <w:r w:rsidR="00BF5F8A" w:rsidRPr="00064401">
              <w:rPr>
                <w:rFonts w:ascii="Arial" w:hAnsi="Arial" w:cs="Arial"/>
                <w:sz w:val="20"/>
                <w:szCs w:val="20"/>
              </w:rPr>
              <w:t>microcredenciales</w:t>
            </w:r>
            <w:r w:rsidRPr="00064401">
              <w:rPr>
                <w:rFonts w:ascii="Arial" w:hAnsi="Arial" w:cs="Arial"/>
                <w:sz w:val="20"/>
                <w:szCs w:val="20"/>
              </w:rPr>
              <w:t>, educación continua, oferta con ajustes o revaluación.</w:t>
            </w:r>
          </w:p>
        </w:tc>
        <w:tc>
          <w:tcPr>
            <w:tcW w:w="398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Facilita decisiones preventivas antes de que los riesgos de deserción se materialicen en la operación del programa.</w:t>
            </w:r>
          </w:p>
        </w:tc>
      </w:tr>
    </w:tbl>
    <w:p w:rsidR="003D2FB2" w:rsidRPr="00064401" w:rsidRDefault="007557A4">
      <w:pPr>
        <w:pStyle w:val="Ttulo2"/>
        <w:rPr>
          <w:rFonts w:ascii="Arial" w:hAnsi="Arial" w:cs="Arial"/>
          <w:sz w:val="20"/>
          <w:szCs w:val="20"/>
        </w:rPr>
      </w:pPr>
      <w:r w:rsidRPr="00064401">
        <w:rPr>
          <w:rFonts w:ascii="Arial" w:hAnsi="Arial" w:cs="Arial"/>
          <w:sz w:val="20"/>
          <w:szCs w:val="20"/>
        </w:rPr>
        <w:lastRenderedPageBreak/>
        <w:t>Impacto esperado</w:t>
      </w:r>
    </w:p>
    <w:p w:rsidR="003D2FB2" w:rsidRPr="00064401" w:rsidRDefault="007557A4">
      <w:pPr>
        <w:jc w:val="both"/>
        <w:rPr>
          <w:rFonts w:ascii="Arial" w:hAnsi="Arial" w:cs="Arial"/>
          <w:sz w:val="20"/>
          <w:szCs w:val="20"/>
        </w:rPr>
      </w:pPr>
      <w:r w:rsidRPr="00064401">
        <w:rPr>
          <w:rFonts w:ascii="Arial" w:hAnsi="Arial" w:cs="Arial"/>
          <w:sz w:val="20"/>
          <w:szCs w:val="20"/>
        </w:rPr>
        <w:t xml:space="preserve">La </w:t>
      </w:r>
      <w:r w:rsidR="00BF5F8A" w:rsidRPr="00064401">
        <w:rPr>
          <w:rFonts w:ascii="Arial" w:hAnsi="Arial" w:cs="Arial"/>
          <w:sz w:val="20"/>
          <w:szCs w:val="20"/>
        </w:rPr>
        <w:t>solución</w:t>
      </w:r>
      <w:r w:rsidRPr="00064401">
        <w:rPr>
          <w:rFonts w:ascii="Arial" w:hAnsi="Arial" w:cs="Arial"/>
          <w:sz w:val="20"/>
          <w:szCs w:val="20"/>
        </w:rPr>
        <w:t xml:space="preserve"> reduce significativamente el tiempo necesario para producir un estudio de contexto, integrando en una sola consulta lo que tradicionalmente exigía recopilar y cruzar manualmente </w:t>
      </w:r>
      <w:r w:rsidR="00BF5F8A" w:rsidRPr="00064401">
        <w:rPr>
          <w:rFonts w:ascii="Arial" w:hAnsi="Arial" w:cs="Arial"/>
          <w:sz w:val="20"/>
          <w:szCs w:val="20"/>
        </w:rPr>
        <w:t>información</w:t>
      </w:r>
      <w:r w:rsidRPr="00064401">
        <w:rPr>
          <w:rFonts w:ascii="Arial" w:hAnsi="Arial" w:cs="Arial"/>
          <w:sz w:val="20"/>
          <w:szCs w:val="20"/>
        </w:rPr>
        <w:t xml:space="preserve"> de </w:t>
      </w:r>
      <w:r w:rsidR="00BF5F8A" w:rsidRPr="00064401">
        <w:rPr>
          <w:rFonts w:ascii="Arial" w:hAnsi="Arial" w:cs="Arial"/>
          <w:sz w:val="20"/>
          <w:szCs w:val="20"/>
        </w:rPr>
        <w:t>múltiples</w:t>
      </w:r>
      <w:r w:rsidRPr="00064401">
        <w:rPr>
          <w:rFonts w:ascii="Arial" w:hAnsi="Arial" w:cs="Arial"/>
          <w:sz w:val="20"/>
          <w:szCs w:val="20"/>
        </w:rPr>
        <w:t xml:space="preserve"> fuentes dispersas. Estructura la evidencia de manera que cada hallazgo es trazable hasta la fuente y el periodo de origen, y permite que los equipos curriculares comparen escenarios de oferta antes de comprometer recursos institucionales. En </w:t>
      </w:r>
      <w:r w:rsidR="00BF5F8A" w:rsidRPr="00064401">
        <w:rPr>
          <w:rFonts w:ascii="Arial" w:hAnsi="Arial" w:cs="Arial"/>
          <w:sz w:val="20"/>
          <w:szCs w:val="20"/>
        </w:rPr>
        <w:t>términos</w:t>
      </w:r>
      <w:r w:rsidRPr="00064401">
        <w:rPr>
          <w:rFonts w:ascii="Arial" w:hAnsi="Arial" w:cs="Arial"/>
          <w:sz w:val="20"/>
          <w:szCs w:val="20"/>
        </w:rPr>
        <w:t xml:space="preserve"> sociales, una oferta mejor sustentada contribuye a disminuir brechas de acceso, permanencia y empleabilidad, especialmente cuando la </w:t>
      </w:r>
      <w:r w:rsidR="00BF5F8A" w:rsidRPr="00064401">
        <w:rPr>
          <w:rFonts w:ascii="Arial" w:hAnsi="Arial" w:cs="Arial"/>
          <w:sz w:val="20"/>
          <w:szCs w:val="20"/>
        </w:rPr>
        <w:t>deserción</w:t>
      </w:r>
      <w:r w:rsidRPr="00064401">
        <w:rPr>
          <w:rFonts w:ascii="Arial" w:hAnsi="Arial" w:cs="Arial"/>
          <w:sz w:val="20"/>
          <w:szCs w:val="20"/>
        </w:rPr>
        <w:t xml:space="preserve"> se analiza junto con condiciones territoriales, modalidad, </w:t>
      </w:r>
      <w:r w:rsidR="00BF5F8A" w:rsidRPr="00064401">
        <w:rPr>
          <w:rFonts w:ascii="Arial" w:hAnsi="Arial" w:cs="Arial"/>
          <w:sz w:val="20"/>
          <w:szCs w:val="20"/>
        </w:rPr>
        <w:t>desempeño</w:t>
      </w:r>
      <w:r w:rsidRPr="00064401">
        <w:rPr>
          <w:rFonts w:ascii="Arial" w:hAnsi="Arial" w:cs="Arial"/>
          <w:sz w:val="20"/>
          <w:szCs w:val="20"/>
        </w:rPr>
        <w:t xml:space="preserve"> y oportunidad laboral.</w:t>
      </w:r>
    </w:p>
    <w:p w:rsidR="003D2FB2" w:rsidRPr="00064401" w:rsidRDefault="007557A4">
      <w:pPr>
        <w:jc w:val="both"/>
        <w:rPr>
          <w:rFonts w:ascii="Arial" w:hAnsi="Arial" w:cs="Arial"/>
          <w:sz w:val="20"/>
          <w:szCs w:val="20"/>
        </w:rPr>
      </w:pPr>
      <w:r w:rsidRPr="00064401">
        <w:rPr>
          <w:rFonts w:ascii="Arial" w:hAnsi="Arial" w:cs="Arial"/>
          <w:sz w:val="20"/>
          <w:szCs w:val="20"/>
        </w:rPr>
        <w:t>El aporte del prototipo al concurso se ubica en la transformación de datos abiertos en conocimiento institucional aplicable. La innovación no consiste únicamente en automatizar informes; consiste en crear una arquitectura de decisión que conecta contexto, programa, población y permanencia, con criterios verificables y actualizables.</w:t>
      </w:r>
    </w:p>
    <w:p w:rsidR="003D2FB2" w:rsidRPr="00064401" w:rsidRDefault="007557A4">
      <w:pPr>
        <w:jc w:val="both"/>
        <w:rPr>
          <w:rFonts w:ascii="Arial" w:hAnsi="Arial" w:cs="Arial"/>
          <w:sz w:val="20"/>
          <w:szCs w:val="20"/>
        </w:rPr>
      </w:pPr>
      <w:r>
        <w:rPr>
          <w:rFonts w:ascii="Arial" w:hAnsi="Arial"/>
          <w:sz w:val="20"/>
        </w:rPr>
        <w:t xml:space="preserve">El prototipo desplegado no es un ejercicio demostrativo sino una aplicación funcional que opera sobre datos reales, produce análisis actualizables y responde a preguntas institucionales concretas. Detrás de la interfaz de consulta opera una arquitectura de servicios que le da profundidad al sistema: un motor de decisión que cruza variables sin depender de consultas predefinidas, un mecanismo de recuperación aumentada que enriquece cada análisis con datos de contexto </w:t>
      </w:r>
      <w:r w:rsidR="00BF5F8A">
        <w:rPr>
          <w:rFonts w:ascii="Arial" w:hAnsi="Arial"/>
          <w:sz w:val="20"/>
        </w:rPr>
        <w:t>pertinentes,</w:t>
      </w:r>
      <w:r>
        <w:rPr>
          <w:rFonts w:ascii="Arial" w:hAnsi="Arial"/>
          <w:sz w:val="20"/>
        </w:rPr>
        <w:t xml:space="preserve"> aunque el usuario no los haya solicitado, y un componente de inteligencia artificial que no se limita a </w:t>
      </w:r>
      <w:r w:rsidR="00BF5F8A">
        <w:rPr>
          <w:rFonts w:ascii="Arial" w:hAnsi="Arial"/>
          <w:sz w:val="20"/>
        </w:rPr>
        <w:t>responder,</w:t>
      </w:r>
      <w:r>
        <w:rPr>
          <w:rFonts w:ascii="Arial" w:hAnsi="Arial"/>
          <w:sz w:val="20"/>
        </w:rPr>
        <w:t xml:space="preserve"> sino que construye argumentos, cita fuentes y reconoce sus propios límites. Lo que el concurso evalúa hoy es la expresión visible de una infraestructura de decisión educativa concebida para acompañar la evolución del sistema colombiano en los próximos años.</w:t>
      </w:r>
    </w:p>
    <w:p w:rsidR="003D2FB2" w:rsidRPr="00064401" w:rsidRDefault="007557A4">
      <w:pPr>
        <w:pStyle w:val="Ttulo1"/>
        <w:rPr>
          <w:rFonts w:ascii="Arial" w:hAnsi="Arial" w:cs="Arial"/>
          <w:sz w:val="20"/>
          <w:szCs w:val="20"/>
        </w:rPr>
      </w:pPr>
      <w:r w:rsidRPr="00064401">
        <w:rPr>
          <w:rFonts w:ascii="Arial" w:hAnsi="Arial" w:cs="Arial"/>
          <w:sz w:val="20"/>
          <w:szCs w:val="20"/>
        </w:rPr>
        <w:t>9. Evidencia de demostración, equipo y gobernanza</w:t>
      </w:r>
    </w:p>
    <w:p w:rsidR="003D2FB2" w:rsidRPr="00064401" w:rsidRDefault="007557A4">
      <w:pPr>
        <w:pStyle w:val="Ttulo2"/>
        <w:rPr>
          <w:rFonts w:ascii="Arial" w:hAnsi="Arial" w:cs="Arial"/>
          <w:sz w:val="20"/>
          <w:szCs w:val="20"/>
        </w:rPr>
      </w:pPr>
      <w:r w:rsidRPr="00064401">
        <w:rPr>
          <w:rFonts w:ascii="Arial" w:hAnsi="Arial" w:cs="Arial"/>
          <w:sz w:val="20"/>
          <w:szCs w:val="20"/>
        </w:rPr>
        <w:t>Demostración</w:t>
      </w:r>
    </w:p>
    <w:p w:rsidR="003D2FB2" w:rsidRPr="00064401" w:rsidRDefault="007557A4">
      <w:pPr>
        <w:jc w:val="both"/>
        <w:rPr>
          <w:rFonts w:ascii="Arial" w:hAnsi="Arial" w:cs="Arial"/>
          <w:sz w:val="20"/>
          <w:szCs w:val="20"/>
        </w:rPr>
      </w:pPr>
      <w:r w:rsidRPr="00064401">
        <w:rPr>
          <w:rFonts w:ascii="Arial" w:hAnsi="Arial" w:cs="Arial"/>
          <w:sz w:val="20"/>
          <w:szCs w:val="20"/>
        </w:rPr>
        <w:t xml:space="preserve">La evidencia funcional se presenta mediante una aplicación web desplegada en Hugging Face Spaces. La demo debe ejecutarse con datos estables y las siguientes rutas de consulta: </w:t>
      </w:r>
      <w:r w:rsidR="00BF5F8A" w:rsidRPr="00064401">
        <w:rPr>
          <w:rFonts w:ascii="Arial" w:hAnsi="Arial" w:cs="Arial"/>
          <w:sz w:val="20"/>
          <w:szCs w:val="20"/>
        </w:rPr>
        <w:t>búsqueda</w:t>
      </w:r>
      <w:r w:rsidRPr="00064401">
        <w:rPr>
          <w:rFonts w:ascii="Arial" w:hAnsi="Arial" w:cs="Arial"/>
          <w:sz w:val="20"/>
          <w:szCs w:val="20"/>
        </w:rPr>
        <w:t xml:space="preserve"> por </w:t>
      </w:r>
      <w:r w:rsidR="00BF5F8A" w:rsidRPr="00064401">
        <w:rPr>
          <w:rFonts w:ascii="Arial" w:hAnsi="Arial" w:cs="Arial"/>
          <w:sz w:val="20"/>
          <w:szCs w:val="20"/>
        </w:rPr>
        <w:t>núcleo</w:t>
      </w:r>
      <w:r w:rsidRPr="00064401">
        <w:rPr>
          <w:rFonts w:ascii="Arial" w:hAnsi="Arial" w:cs="Arial"/>
          <w:sz w:val="20"/>
          <w:szCs w:val="20"/>
        </w:rPr>
        <w:t xml:space="preserve"> </w:t>
      </w:r>
      <w:r w:rsidR="00BF5F8A" w:rsidRPr="00064401">
        <w:rPr>
          <w:rFonts w:ascii="Arial" w:hAnsi="Arial" w:cs="Arial"/>
          <w:sz w:val="20"/>
          <w:szCs w:val="20"/>
        </w:rPr>
        <w:t>básico</w:t>
      </w:r>
      <w:r w:rsidRPr="00064401">
        <w:rPr>
          <w:rFonts w:ascii="Arial" w:hAnsi="Arial" w:cs="Arial"/>
          <w:sz w:val="20"/>
          <w:szCs w:val="20"/>
        </w:rPr>
        <w:t xml:space="preserve"> de conocimiento con cruce de filtros de territorio y modalidad, lectura de indicadores de </w:t>
      </w:r>
      <w:r w:rsidR="00BF5F8A" w:rsidRPr="00064401">
        <w:rPr>
          <w:rFonts w:ascii="Arial" w:hAnsi="Arial" w:cs="Arial"/>
          <w:sz w:val="20"/>
          <w:szCs w:val="20"/>
        </w:rPr>
        <w:t>concentración</w:t>
      </w:r>
      <w:r w:rsidRPr="00064401">
        <w:rPr>
          <w:rFonts w:ascii="Arial" w:hAnsi="Arial" w:cs="Arial"/>
          <w:sz w:val="20"/>
          <w:szCs w:val="20"/>
        </w:rPr>
        <w:t xml:space="preserve"> y crecimiento, </w:t>
      </w:r>
      <w:r w:rsidR="00BF5F8A" w:rsidRPr="00064401">
        <w:rPr>
          <w:rFonts w:ascii="Arial" w:hAnsi="Arial" w:cs="Arial"/>
          <w:sz w:val="20"/>
          <w:szCs w:val="20"/>
        </w:rPr>
        <w:t>recuperación</w:t>
      </w:r>
      <w:r w:rsidRPr="00064401">
        <w:rPr>
          <w:rFonts w:ascii="Arial" w:hAnsi="Arial" w:cs="Arial"/>
          <w:sz w:val="20"/>
          <w:szCs w:val="20"/>
        </w:rPr>
        <w:t xml:space="preserve"> de datos de </w:t>
      </w:r>
      <w:r w:rsidR="00BF5F8A" w:rsidRPr="00064401">
        <w:rPr>
          <w:rFonts w:ascii="Arial" w:hAnsi="Arial" w:cs="Arial"/>
          <w:sz w:val="20"/>
          <w:szCs w:val="20"/>
        </w:rPr>
        <w:t>deserción</w:t>
      </w:r>
      <w:r w:rsidRPr="00064401">
        <w:rPr>
          <w:rFonts w:ascii="Arial" w:hAnsi="Arial" w:cs="Arial"/>
          <w:sz w:val="20"/>
          <w:szCs w:val="20"/>
        </w:rPr>
        <w:t xml:space="preserve"> por cohorte, emparejamiento </w:t>
      </w:r>
      <w:r w:rsidR="00BF5F8A" w:rsidRPr="00064401">
        <w:rPr>
          <w:rFonts w:ascii="Arial" w:hAnsi="Arial" w:cs="Arial"/>
          <w:sz w:val="20"/>
          <w:szCs w:val="20"/>
        </w:rPr>
        <w:t>semántico</w:t>
      </w:r>
      <w:r w:rsidRPr="00064401">
        <w:rPr>
          <w:rFonts w:ascii="Arial" w:hAnsi="Arial" w:cs="Arial"/>
          <w:sz w:val="20"/>
          <w:szCs w:val="20"/>
        </w:rPr>
        <w:t xml:space="preserve"> con ocupaciones y competencias de la </w:t>
      </w:r>
      <w:r w:rsidR="00BF5F8A" w:rsidRPr="00064401">
        <w:rPr>
          <w:rFonts w:ascii="Arial" w:hAnsi="Arial" w:cs="Arial"/>
          <w:sz w:val="20"/>
          <w:szCs w:val="20"/>
        </w:rPr>
        <w:t>Clasificación</w:t>
      </w:r>
      <w:r w:rsidRPr="00064401">
        <w:rPr>
          <w:rFonts w:ascii="Arial" w:hAnsi="Arial" w:cs="Arial"/>
          <w:sz w:val="20"/>
          <w:szCs w:val="20"/>
        </w:rPr>
        <w:t xml:space="preserve"> </w:t>
      </w:r>
      <w:r w:rsidR="00BF5F8A" w:rsidRPr="00064401">
        <w:rPr>
          <w:rFonts w:ascii="Arial" w:hAnsi="Arial" w:cs="Arial"/>
          <w:sz w:val="20"/>
          <w:szCs w:val="20"/>
        </w:rPr>
        <w:t>Única</w:t>
      </w:r>
      <w:r w:rsidRPr="00064401">
        <w:rPr>
          <w:rFonts w:ascii="Arial" w:hAnsi="Arial" w:cs="Arial"/>
          <w:sz w:val="20"/>
          <w:szCs w:val="20"/>
        </w:rPr>
        <w:t xml:space="preserve"> de Ocupaciones, y </w:t>
      </w:r>
      <w:r w:rsidR="00BF5F8A" w:rsidRPr="00064401">
        <w:rPr>
          <w:rFonts w:ascii="Arial" w:hAnsi="Arial" w:cs="Arial"/>
          <w:sz w:val="20"/>
          <w:szCs w:val="20"/>
        </w:rPr>
        <w:t>generación</w:t>
      </w:r>
      <w:r w:rsidRPr="00064401">
        <w:rPr>
          <w:rFonts w:ascii="Arial" w:hAnsi="Arial" w:cs="Arial"/>
          <w:sz w:val="20"/>
          <w:szCs w:val="20"/>
        </w:rPr>
        <w:t xml:space="preserve"> de informe preliminar de pertinencia asistido por inteligencia artificial.</w:t>
      </w:r>
    </w:p>
    <w:p w:rsidR="003D2FB2" w:rsidRPr="00064401" w:rsidRDefault="007557A4">
      <w:pPr>
        <w:rPr>
          <w:rFonts w:ascii="Arial" w:hAnsi="Arial" w:cs="Arial"/>
          <w:sz w:val="20"/>
          <w:szCs w:val="20"/>
        </w:rPr>
      </w:pPr>
      <w:r w:rsidRPr="00064401">
        <w:rPr>
          <w:rFonts w:ascii="Arial" w:hAnsi="Arial" w:cs="Arial"/>
          <w:b/>
          <w:sz w:val="20"/>
          <w:szCs w:val="20"/>
        </w:rPr>
        <w:t xml:space="preserve">URL de la demo: </w:t>
      </w:r>
      <w:hyperlink r:id="rId9">
        <w:r w:rsidR="003D2FB2" w:rsidRPr="00064401">
          <w:rPr>
            <w:rFonts w:ascii="Arial" w:hAnsi="Arial" w:cs="Arial"/>
            <w:color w:val="0563C1"/>
            <w:sz w:val="20"/>
            <w:szCs w:val="20"/>
            <w:u w:val="single"/>
          </w:rPr>
          <w:t>https://jeffersonca-estudio-contexto.hf.space/</w:t>
        </w:r>
      </w:hyperlink>
    </w:p>
    <w:p w:rsidR="00AB7EF3" w:rsidRDefault="007557A4">
      <w:pPr>
        <w:jc w:val="both"/>
      </w:pPr>
      <w:r>
        <w:rPr>
          <w:rFonts w:ascii="Arial" w:hAnsi="Arial"/>
          <w:sz w:val="20"/>
        </w:rPr>
        <w:t xml:space="preserve">La aplicación guía al usuario a través de un flujo de consulta que comienza con un panel lateral de filtros organizados por </w:t>
      </w:r>
      <w:r w:rsidR="00BF5F8A">
        <w:rPr>
          <w:rFonts w:ascii="Arial" w:hAnsi="Arial"/>
          <w:sz w:val="20"/>
        </w:rPr>
        <w:t>jerarquía</w:t>
      </w:r>
      <w:r>
        <w:rPr>
          <w:rFonts w:ascii="Arial" w:hAnsi="Arial"/>
          <w:sz w:val="20"/>
        </w:rPr>
        <w:t xml:space="preserve">: </w:t>
      </w:r>
      <w:r w:rsidR="00BF5F8A">
        <w:rPr>
          <w:rFonts w:ascii="Arial" w:hAnsi="Arial"/>
          <w:sz w:val="20"/>
        </w:rPr>
        <w:t>área</w:t>
      </w:r>
      <w:r>
        <w:rPr>
          <w:rFonts w:ascii="Arial" w:hAnsi="Arial"/>
          <w:sz w:val="20"/>
        </w:rPr>
        <w:t xml:space="preserve"> de conocimiento, </w:t>
      </w:r>
      <w:r w:rsidR="00BF5F8A">
        <w:rPr>
          <w:rFonts w:ascii="Arial" w:hAnsi="Arial"/>
          <w:sz w:val="20"/>
        </w:rPr>
        <w:t>núcleo</w:t>
      </w:r>
      <w:r>
        <w:rPr>
          <w:rFonts w:ascii="Arial" w:hAnsi="Arial"/>
          <w:sz w:val="20"/>
        </w:rPr>
        <w:t xml:space="preserve"> </w:t>
      </w:r>
      <w:r w:rsidR="00BF5F8A">
        <w:rPr>
          <w:rFonts w:ascii="Arial" w:hAnsi="Arial"/>
          <w:sz w:val="20"/>
        </w:rPr>
        <w:t>básico</w:t>
      </w:r>
      <w:r>
        <w:rPr>
          <w:rFonts w:ascii="Arial" w:hAnsi="Arial"/>
          <w:sz w:val="20"/>
        </w:rPr>
        <w:t xml:space="preserve">, campo amplio, territorio, modalidad, sector y nivel de </w:t>
      </w:r>
      <w:r w:rsidR="00BF5F8A">
        <w:rPr>
          <w:rFonts w:ascii="Arial" w:hAnsi="Arial"/>
          <w:sz w:val="20"/>
        </w:rPr>
        <w:t>formación</w:t>
      </w:r>
      <w:r>
        <w:rPr>
          <w:rFonts w:ascii="Arial" w:hAnsi="Arial"/>
          <w:sz w:val="20"/>
        </w:rPr>
        <w:t xml:space="preserve">. Cada filtro se comporta en cascada, de modo que seleccionar un </w:t>
      </w:r>
      <w:r w:rsidR="00BF5F8A">
        <w:rPr>
          <w:rFonts w:ascii="Arial" w:hAnsi="Arial"/>
          <w:sz w:val="20"/>
        </w:rPr>
        <w:t>área</w:t>
      </w:r>
      <w:r>
        <w:rPr>
          <w:rFonts w:ascii="Arial" w:hAnsi="Arial"/>
          <w:sz w:val="20"/>
        </w:rPr>
        <w:t xml:space="preserve"> reduce las opciones disponibles en los filtros siguientes, facilitando una </w:t>
      </w:r>
      <w:r w:rsidR="00BF5F8A">
        <w:rPr>
          <w:rFonts w:ascii="Arial" w:hAnsi="Arial"/>
          <w:sz w:val="20"/>
        </w:rPr>
        <w:t>exploración</w:t>
      </w:r>
      <w:r>
        <w:rPr>
          <w:rFonts w:ascii="Arial" w:hAnsi="Arial"/>
          <w:sz w:val="20"/>
        </w:rPr>
        <w:t xml:space="preserve"> guiada incluso para usuarios sin </w:t>
      </w:r>
      <w:r w:rsidR="00BF5F8A">
        <w:rPr>
          <w:rFonts w:ascii="Arial" w:hAnsi="Arial"/>
          <w:sz w:val="20"/>
        </w:rPr>
        <w:t>formación</w:t>
      </w:r>
      <w:r>
        <w:rPr>
          <w:rFonts w:ascii="Arial" w:hAnsi="Arial"/>
          <w:sz w:val="20"/>
        </w:rPr>
        <w:t xml:space="preserve"> </w:t>
      </w:r>
      <w:r w:rsidR="00BF5F8A">
        <w:rPr>
          <w:rFonts w:ascii="Arial" w:hAnsi="Arial"/>
          <w:sz w:val="20"/>
        </w:rPr>
        <w:t>técnica</w:t>
      </w:r>
      <w:r>
        <w:rPr>
          <w:rFonts w:ascii="Arial" w:hAnsi="Arial"/>
          <w:sz w:val="20"/>
        </w:rPr>
        <w:t xml:space="preserve">. Una vez definidos los criterios, el sistema despliega cuatro vistas de </w:t>
      </w:r>
      <w:r w:rsidR="00BF5F8A">
        <w:rPr>
          <w:rFonts w:ascii="Arial" w:hAnsi="Arial"/>
          <w:sz w:val="20"/>
        </w:rPr>
        <w:t>síntesis</w:t>
      </w:r>
      <w:r>
        <w:rPr>
          <w:rFonts w:ascii="Arial" w:hAnsi="Arial"/>
          <w:sz w:val="20"/>
        </w:rPr>
        <w:t xml:space="preserve"> evaluativa navegables por pestanas, cada una con indicadores </w:t>
      </w:r>
      <w:r w:rsidR="00BF5F8A">
        <w:rPr>
          <w:rFonts w:ascii="Arial" w:hAnsi="Arial"/>
          <w:sz w:val="20"/>
        </w:rPr>
        <w:t>gráficos</w:t>
      </w:r>
      <w:r>
        <w:rPr>
          <w:rFonts w:ascii="Arial" w:hAnsi="Arial"/>
          <w:sz w:val="20"/>
        </w:rPr>
        <w:t xml:space="preserve">, tablas de detalle y un panel de </w:t>
      </w:r>
      <w:r w:rsidR="00BF5F8A">
        <w:rPr>
          <w:rFonts w:ascii="Arial" w:hAnsi="Arial"/>
          <w:sz w:val="20"/>
        </w:rPr>
        <w:t>decisión</w:t>
      </w:r>
      <w:r>
        <w:rPr>
          <w:rFonts w:ascii="Arial" w:hAnsi="Arial"/>
          <w:sz w:val="20"/>
        </w:rPr>
        <w:t xml:space="preserve"> final que consolida los resultados en un </w:t>
      </w:r>
      <w:r w:rsidR="00BF5F8A">
        <w:rPr>
          <w:rFonts w:ascii="Arial" w:hAnsi="Arial"/>
          <w:sz w:val="20"/>
        </w:rPr>
        <w:t>semáforo</w:t>
      </w:r>
      <w:r>
        <w:rPr>
          <w:rFonts w:ascii="Arial" w:hAnsi="Arial"/>
          <w:sz w:val="20"/>
        </w:rPr>
        <w:t xml:space="preserve"> </w:t>
      </w:r>
      <w:r w:rsidR="00BF5F8A">
        <w:rPr>
          <w:rFonts w:ascii="Arial" w:hAnsi="Arial"/>
          <w:sz w:val="20"/>
        </w:rPr>
        <w:t>acompañado</w:t>
      </w:r>
      <w:r>
        <w:rPr>
          <w:rFonts w:ascii="Arial" w:hAnsi="Arial"/>
          <w:sz w:val="20"/>
        </w:rPr>
        <w:t xml:space="preserve"> del tipo de oferta educativa recomendada. El usuario puede descargar los datos de cada </w:t>
      </w:r>
      <w:r w:rsidR="00BF5F8A">
        <w:rPr>
          <w:rFonts w:ascii="Arial" w:hAnsi="Arial"/>
          <w:sz w:val="20"/>
        </w:rPr>
        <w:t>gráfico</w:t>
      </w:r>
      <w:r>
        <w:rPr>
          <w:rFonts w:ascii="Arial" w:hAnsi="Arial"/>
          <w:sz w:val="20"/>
        </w:rPr>
        <w:t xml:space="preserve">, exportar el informe generado por el asistente de inteligencia artificial y compartir el </w:t>
      </w:r>
      <w:r w:rsidR="00BF5F8A">
        <w:rPr>
          <w:rFonts w:ascii="Arial" w:hAnsi="Arial"/>
          <w:sz w:val="20"/>
        </w:rPr>
        <w:t>análisis</w:t>
      </w:r>
      <w:r>
        <w:rPr>
          <w:rFonts w:ascii="Arial" w:hAnsi="Arial"/>
          <w:sz w:val="20"/>
        </w:rPr>
        <w:t xml:space="preserve"> con otros actores institucionales mediante la URL de la </w:t>
      </w:r>
      <w:r w:rsidR="00BF5F8A">
        <w:rPr>
          <w:rFonts w:ascii="Arial" w:hAnsi="Arial"/>
          <w:sz w:val="20"/>
        </w:rPr>
        <w:t>sesión</w:t>
      </w:r>
      <w:r>
        <w:rPr>
          <w:rFonts w:ascii="Arial" w:hAnsi="Arial"/>
          <w:sz w:val="20"/>
        </w:rPr>
        <w:t>.</w:t>
      </w:r>
    </w:p>
    <w:p w:rsidR="00AB7EF3" w:rsidRDefault="007557A4">
      <w:pPr>
        <w:jc w:val="both"/>
      </w:pPr>
      <w:r>
        <w:rPr>
          <w:rFonts w:ascii="Arial" w:hAnsi="Arial"/>
          <w:sz w:val="20"/>
        </w:rPr>
        <w:t xml:space="preserve">[INSERTAR CAPTURA DE PANTALLA: Vista general del panel de </w:t>
      </w:r>
      <w:r w:rsidR="00BF5F8A">
        <w:rPr>
          <w:rFonts w:ascii="Arial" w:hAnsi="Arial"/>
          <w:sz w:val="20"/>
        </w:rPr>
        <w:t>síntesis</w:t>
      </w:r>
      <w:r>
        <w:rPr>
          <w:rFonts w:ascii="Arial" w:hAnsi="Arial"/>
          <w:sz w:val="20"/>
        </w:rPr>
        <w:t xml:space="preserve"> evaluativa con los cuatro indicadores gauge (</w:t>
      </w:r>
      <w:r w:rsidR="00BF5F8A">
        <w:rPr>
          <w:rFonts w:ascii="Arial" w:hAnsi="Arial"/>
          <w:sz w:val="20"/>
        </w:rPr>
        <w:t>Académico</w:t>
      </w:r>
      <w:r>
        <w:rPr>
          <w:rFonts w:ascii="Arial" w:hAnsi="Arial"/>
          <w:sz w:val="20"/>
        </w:rPr>
        <w:t xml:space="preserve">, Laboral, Territorial, Global) y el </w:t>
      </w:r>
      <w:r w:rsidR="00BF5F8A">
        <w:rPr>
          <w:rFonts w:ascii="Arial" w:hAnsi="Arial"/>
          <w:sz w:val="20"/>
        </w:rPr>
        <w:t>semáforo</w:t>
      </w:r>
      <w:r>
        <w:rPr>
          <w:rFonts w:ascii="Arial" w:hAnsi="Arial"/>
          <w:sz w:val="20"/>
        </w:rPr>
        <w:t xml:space="preserve"> de </w:t>
      </w:r>
      <w:r w:rsidR="00BF5F8A">
        <w:rPr>
          <w:rFonts w:ascii="Arial" w:hAnsi="Arial"/>
          <w:sz w:val="20"/>
        </w:rPr>
        <w:t>decisión</w:t>
      </w:r>
      <w:r>
        <w:rPr>
          <w:rFonts w:ascii="Arial" w:hAnsi="Arial"/>
          <w:sz w:val="20"/>
        </w:rPr>
        <w:t xml:space="preserve"> final. Incluir </w:t>
      </w:r>
      <w:r w:rsidR="00BF5F8A">
        <w:rPr>
          <w:rFonts w:ascii="Arial" w:hAnsi="Arial"/>
          <w:sz w:val="20"/>
        </w:rPr>
        <w:t>también</w:t>
      </w:r>
      <w:r>
        <w:rPr>
          <w:rFonts w:ascii="Arial" w:hAnsi="Arial"/>
          <w:sz w:val="20"/>
        </w:rPr>
        <w:t xml:space="preserve"> una captura del panel lateral de filtros en cascada mostrando la </w:t>
      </w:r>
      <w:r w:rsidR="00BF5F8A">
        <w:rPr>
          <w:rFonts w:ascii="Arial" w:hAnsi="Arial"/>
          <w:sz w:val="20"/>
        </w:rPr>
        <w:t>selección</w:t>
      </w:r>
      <w:r>
        <w:rPr>
          <w:rFonts w:ascii="Arial" w:hAnsi="Arial"/>
          <w:sz w:val="20"/>
        </w:rPr>
        <w:t xml:space="preserve"> de </w:t>
      </w:r>
      <w:r w:rsidR="00BF5F8A">
        <w:rPr>
          <w:rFonts w:ascii="Arial" w:hAnsi="Arial"/>
          <w:sz w:val="20"/>
        </w:rPr>
        <w:t>Área</w:t>
      </w:r>
      <w:r>
        <w:rPr>
          <w:rFonts w:ascii="Arial" w:hAnsi="Arial"/>
          <w:sz w:val="20"/>
        </w:rPr>
        <w:t>, NBC y Campo Amplio.]</w:t>
      </w:r>
    </w:p>
    <w:p w:rsidR="003D2FB2" w:rsidRPr="00064401" w:rsidRDefault="007557A4">
      <w:pPr>
        <w:pStyle w:val="Ttulo2"/>
        <w:rPr>
          <w:rFonts w:ascii="Arial" w:hAnsi="Arial" w:cs="Arial"/>
          <w:sz w:val="20"/>
          <w:szCs w:val="20"/>
        </w:rPr>
      </w:pPr>
      <w:r w:rsidRPr="00064401">
        <w:rPr>
          <w:rFonts w:ascii="Arial" w:hAnsi="Arial" w:cs="Arial"/>
          <w:sz w:val="20"/>
          <w:szCs w:val="20"/>
        </w:rPr>
        <w:lastRenderedPageBreak/>
        <w:t>Roles del equipo</w:t>
      </w:r>
    </w:p>
    <w:tbl>
      <w:tblPr>
        <w:tblW w:w="0" w:type="auto"/>
        <w:jc w:val="center"/>
        <w:tblLook w:val="04A0" w:firstRow="1" w:lastRow="0" w:firstColumn="1" w:lastColumn="0" w:noHBand="0" w:noVBand="1"/>
      </w:tblPr>
      <w:tblGrid>
        <w:gridCol w:w="3227"/>
        <w:gridCol w:w="6393"/>
      </w:tblGrid>
      <w:tr w:rsidR="003D2FB2" w:rsidRPr="00064401" w:rsidTr="006F3A3C">
        <w:trPr>
          <w:tblHeader/>
          <w:jc w:val="center"/>
        </w:trPr>
        <w:tc>
          <w:tcPr>
            <w:tcW w:w="3227"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Integrante</w:t>
            </w:r>
          </w:p>
        </w:tc>
        <w:tc>
          <w:tcPr>
            <w:tcW w:w="6393"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Rol en la solución</w:t>
            </w:r>
          </w:p>
        </w:tc>
      </w:tr>
      <w:tr w:rsidR="003D2FB2" w:rsidRPr="00064401" w:rsidTr="006F3A3C">
        <w:trPr>
          <w:jc w:val="center"/>
        </w:trPr>
        <w:tc>
          <w:tcPr>
            <w:tcW w:w="32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Jefferson Cuastusa</w:t>
            </w:r>
          </w:p>
        </w:tc>
        <w:tc>
          <w:tcPr>
            <w:tcW w:w="63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Líder técnico BI, modelado de datos, ETL y visualización. Ingeniero de Sistemas con experiencia en análisis de datos, BI, arquitectura de datos, trazabilidad, interoperabilidad y paneles de control.</w:t>
            </w:r>
          </w:p>
        </w:tc>
      </w:tr>
      <w:tr w:rsidR="003D2FB2" w:rsidRPr="00064401" w:rsidTr="006F3A3C">
        <w:trPr>
          <w:jc w:val="center"/>
        </w:trPr>
        <w:tc>
          <w:tcPr>
            <w:tcW w:w="3227"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b/>
                <w:sz w:val="20"/>
                <w:szCs w:val="20"/>
              </w:rPr>
              <w:t>Ximena Molano</w:t>
            </w:r>
          </w:p>
        </w:tc>
        <w:tc>
          <w:tcPr>
            <w:tcW w:w="639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Especialista en educación superior, calidad, evaluación curricular, proyectos y análisis institucional. Economista con experiencia en aseguramiento de la calidad, autoevaluación, acreditación y gestión de proyectos educativos.</w:t>
            </w:r>
          </w:p>
        </w:tc>
      </w:tr>
      <w:tr w:rsidR="003D2FB2" w:rsidRPr="00064401" w:rsidTr="006F3A3C">
        <w:trPr>
          <w:jc w:val="center"/>
        </w:trPr>
        <w:tc>
          <w:tcPr>
            <w:tcW w:w="3227"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b/>
                <w:sz w:val="20"/>
                <w:szCs w:val="20"/>
              </w:rPr>
              <w:t>Claudia Milena Muñoz</w:t>
            </w:r>
          </w:p>
        </w:tc>
        <w:tc>
          <w:tcPr>
            <w:tcW w:w="63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Líder académica y de aseguramiento de la calidad. Ingeniera Industrial, magíster y candidata a doctora en educación, con experiencia en SIAC, creación, renovación y acreditación de programas, innovación con IA y evaluación educativa.</w:t>
            </w:r>
          </w:p>
        </w:tc>
      </w:tr>
    </w:tbl>
    <w:p w:rsidR="003D2FB2" w:rsidRPr="00064401" w:rsidRDefault="007557A4">
      <w:pPr>
        <w:pStyle w:val="Ttulo2"/>
        <w:rPr>
          <w:rFonts w:ascii="Arial" w:hAnsi="Arial" w:cs="Arial"/>
          <w:sz w:val="20"/>
          <w:szCs w:val="20"/>
        </w:rPr>
      </w:pPr>
      <w:r w:rsidRPr="00064401">
        <w:rPr>
          <w:rFonts w:ascii="Arial" w:hAnsi="Arial" w:cs="Arial"/>
          <w:sz w:val="20"/>
          <w:szCs w:val="20"/>
        </w:rPr>
        <w:t>Gobernanza de la solución</w:t>
      </w:r>
    </w:p>
    <w:p w:rsidR="003D2FB2" w:rsidRPr="00064401" w:rsidRDefault="007557A4">
      <w:pPr>
        <w:jc w:val="both"/>
        <w:rPr>
          <w:rFonts w:ascii="Arial" w:hAnsi="Arial" w:cs="Arial"/>
          <w:sz w:val="20"/>
          <w:szCs w:val="20"/>
        </w:rPr>
      </w:pPr>
      <w:r w:rsidRPr="00064401">
        <w:rPr>
          <w:rFonts w:ascii="Arial" w:hAnsi="Arial" w:cs="Arial"/>
          <w:sz w:val="20"/>
          <w:szCs w:val="20"/>
        </w:rPr>
        <w:t xml:space="preserve">La sostenibilidad del sistema se apoya en </w:t>
      </w:r>
      <w:r w:rsidR="00BF5F8A" w:rsidRPr="00064401">
        <w:rPr>
          <w:rFonts w:ascii="Arial" w:hAnsi="Arial" w:cs="Arial"/>
          <w:sz w:val="20"/>
          <w:szCs w:val="20"/>
        </w:rPr>
        <w:t>prácticas</w:t>
      </w:r>
      <w:r w:rsidRPr="00064401">
        <w:rPr>
          <w:rFonts w:ascii="Arial" w:hAnsi="Arial" w:cs="Arial"/>
          <w:sz w:val="20"/>
          <w:szCs w:val="20"/>
        </w:rPr>
        <w:t xml:space="preserve"> de </w:t>
      </w:r>
      <w:r w:rsidR="00BF5F8A" w:rsidRPr="00064401">
        <w:rPr>
          <w:rFonts w:ascii="Arial" w:hAnsi="Arial" w:cs="Arial"/>
          <w:sz w:val="20"/>
          <w:szCs w:val="20"/>
        </w:rPr>
        <w:t>ingeniería</w:t>
      </w:r>
      <w:r w:rsidRPr="00064401">
        <w:rPr>
          <w:rFonts w:ascii="Arial" w:hAnsi="Arial" w:cs="Arial"/>
          <w:sz w:val="20"/>
          <w:szCs w:val="20"/>
        </w:rPr>
        <w:t xml:space="preserve"> ya establecidas en el proyecto. El control de versiones se gestiona mediante Git, con los archivos de mayor </w:t>
      </w:r>
      <w:r w:rsidR="00BF5F8A" w:rsidRPr="00064401">
        <w:rPr>
          <w:rFonts w:ascii="Arial" w:hAnsi="Arial" w:cs="Arial"/>
          <w:sz w:val="20"/>
          <w:szCs w:val="20"/>
        </w:rPr>
        <w:t>tamaño</w:t>
      </w:r>
      <w:r w:rsidRPr="00064401">
        <w:rPr>
          <w:rFonts w:ascii="Arial" w:hAnsi="Arial" w:cs="Arial"/>
          <w:sz w:val="20"/>
          <w:szCs w:val="20"/>
        </w:rPr>
        <w:t xml:space="preserve"> administrados a través de Git LFS. La </w:t>
      </w:r>
      <w:r w:rsidR="00BF5F8A" w:rsidRPr="00064401">
        <w:rPr>
          <w:rFonts w:ascii="Arial" w:hAnsi="Arial" w:cs="Arial"/>
          <w:sz w:val="20"/>
          <w:szCs w:val="20"/>
        </w:rPr>
        <w:t>validación</w:t>
      </w:r>
      <w:r w:rsidRPr="00064401">
        <w:rPr>
          <w:rFonts w:ascii="Arial" w:hAnsi="Arial" w:cs="Arial"/>
          <w:sz w:val="20"/>
          <w:szCs w:val="20"/>
        </w:rPr>
        <w:t xml:space="preserve"> de integridad de los datos se respalda en una suite de 50 pruebas automatizadas que verifican la consistencia de consultas, filtros y cruces entre tablas. La trazabilidad de las fuentes </w:t>
      </w:r>
      <w:r w:rsidR="00BF5F8A" w:rsidRPr="00064401">
        <w:rPr>
          <w:rFonts w:ascii="Arial" w:hAnsi="Arial" w:cs="Arial"/>
          <w:sz w:val="20"/>
          <w:szCs w:val="20"/>
        </w:rPr>
        <w:t>está</w:t>
      </w:r>
      <w:r w:rsidRPr="00064401">
        <w:rPr>
          <w:rFonts w:ascii="Arial" w:hAnsi="Arial" w:cs="Arial"/>
          <w:sz w:val="20"/>
          <w:szCs w:val="20"/>
        </w:rPr>
        <w:t xml:space="preserve"> documentada en los scripts de carga del repositorio. Para su </w:t>
      </w:r>
      <w:r w:rsidR="00BF5F8A" w:rsidRPr="00064401">
        <w:rPr>
          <w:rFonts w:ascii="Arial" w:hAnsi="Arial" w:cs="Arial"/>
          <w:sz w:val="20"/>
          <w:szCs w:val="20"/>
        </w:rPr>
        <w:t>adopción</w:t>
      </w:r>
      <w:r w:rsidRPr="00064401">
        <w:rPr>
          <w:rFonts w:ascii="Arial" w:hAnsi="Arial" w:cs="Arial"/>
          <w:sz w:val="20"/>
          <w:szCs w:val="20"/>
        </w:rPr>
        <w:t xml:space="preserve"> institucional, la herramienta debe integrarse con procesos de aseguramiento de la calidad, </w:t>
      </w:r>
      <w:r w:rsidR="00BF5F8A" w:rsidRPr="00064401">
        <w:rPr>
          <w:rFonts w:ascii="Arial" w:hAnsi="Arial" w:cs="Arial"/>
          <w:sz w:val="20"/>
          <w:szCs w:val="20"/>
        </w:rPr>
        <w:t>planeación</w:t>
      </w:r>
      <w:r w:rsidRPr="00064401">
        <w:rPr>
          <w:rFonts w:ascii="Arial" w:hAnsi="Arial" w:cs="Arial"/>
          <w:sz w:val="20"/>
          <w:szCs w:val="20"/>
        </w:rPr>
        <w:t xml:space="preserve"> </w:t>
      </w:r>
      <w:r w:rsidR="00BF5F8A" w:rsidRPr="00064401">
        <w:rPr>
          <w:rFonts w:ascii="Arial" w:hAnsi="Arial" w:cs="Arial"/>
          <w:sz w:val="20"/>
          <w:szCs w:val="20"/>
        </w:rPr>
        <w:t>académica</w:t>
      </w:r>
      <w:r w:rsidRPr="00064401">
        <w:rPr>
          <w:rFonts w:ascii="Arial" w:hAnsi="Arial" w:cs="Arial"/>
          <w:sz w:val="20"/>
          <w:szCs w:val="20"/>
        </w:rPr>
        <w:t xml:space="preserve"> y </w:t>
      </w:r>
      <w:r w:rsidR="00BF5F8A" w:rsidRPr="00064401">
        <w:rPr>
          <w:rFonts w:ascii="Arial" w:hAnsi="Arial" w:cs="Arial"/>
          <w:sz w:val="20"/>
          <w:szCs w:val="20"/>
        </w:rPr>
        <w:t>comités</w:t>
      </w:r>
      <w:r w:rsidRPr="00064401">
        <w:rPr>
          <w:rFonts w:ascii="Arial" w:hAnsi="Arial" w:cs="Arial"/>
          <w:sz w:val="20"/>
          <w:szCs w:val="20"/>
        </w:rPr>
        <w:t xml:space="preserve"> curriculares, y los informes generados por el asistente de inteligencia artificial deben contar con </w:t>
      </w:r>
      <w:r w:rsidR="00BF5F8A" w:rsidRPr="00064401">
        <w:rPr>
          <w:rFonts w:ascii="Arial" w:hAnsi="Arial" w:cs="Arial"/>
          <w:sz w:val="20"/>
          <w:szCs w:val="20"/>
        </w:rPr>
        <w:t>revisión</w:t>
      </w:r>
      <w:r w:rsidRPr="00064401">
        <w:rPr>
          <w:rFonts w:ascii="Arial" w:hAnsi="Arial" w:cs="Arial"/>
          <w:sz w:val="20"/>
          <w:szCs w:val="20"/>
        </w:rPr>
        <w:t xml:space="preserve"> experta antes de orientar decisiones formales.</w:t>
      </w:r>
    </w:p>
    <w:p w:rsidR="00AB7EF3" w:rsidRDefault="00BF5F8A">
      <w:pPr>
        <w:pStyle w:val="Ttulo2"/>
      </w:pPr>
      <w:r>
        <w:t>Validación</w:t>
      </w:r>
      <w:r w:rsidR="007557A4">
        <w:t xml:space="preserve"> </w:t>
      </w:r>
      <w:r>
        <w:t>técnica</w:t>
      </w:r>
      <w:r w:rsidR="007557A4">
        <w:t xml:space="preserve"> e infraestructura de despliegue</w:t>
      </w:r>
    </w:p>
    <w:p w:rsidR="003D2FB2" w:rsidRPr="00064401" w:rsidRDefault="007557A4">
      <w:pPr>
        <w:jc w:val="both"/>
        <w:rPr>
          <w:rFonts w:ascii="Arial" w:hAnsi="Arial" w:cs="Arial"/>
          <w:sz w:val="20"/>
          <w:szCs w:val="20"/>
        </w:rPr>
      </w:pPr>
      <w:r>
        <w:rPr>
          <w:rFonts w:ascii="Arial" w:hAnsi="Arial"/>
          <w:sz w:val="20"/>
        </w:rPr>
        <w:t xml:space="preserve">La integridad del sistema se verifica mediante una batería de pruebas automatizadas que se ejecutan directamente contra el repositorio de datos real, sin depender de simulaciones ni de conjuntos de datos reducidos. La suite cubre seis </w:t>
      </w:r>
      <w:r w:rsidR="00BF5F8A">
        <w:rPr>
          <w:rFonts w:ascii="Arial" w:hAnsi="Arial"/>
          <w:sz w:val="20"/>
        </w:rPr>
        <w:t>categorías</w:t>
      </w:r>
      <w:r>
        <w:rPr>
          <w:rFonts w:ascii="Arial" w:hAnsi="Arial"/>
          <w:sz w:val="20"/>
        </w:rPr>
        <w:t xml:space="preserve"> de </w:t>
      </w:r>
      <w:r w:rsidR="00BF5F8A">
        <w:rPr>
          <w:rFonts w:ascii="Arial" w:hAnsi="Arial"/>
          <w:sz w:val="20"/>
        </w:rPr>
        <w:t>validación</w:t>
      </w:r>
      <w:r>
        <w:rPr>
          <w:rFonts w:ascii="Arial" w:hAnsi="Arial"/>
          <w:sz w:val="20"/>
        </w:rPr>
        <w:t xml:space="preserve">: la </w:t>
      </w:r>
      <w:r w:rsidR="00BF5F8A">
        <w:rPr>
          <w:rFonts w:ascii="Arial" w:hAnsi="Arial"/>
          <w:sz w:val="20"/>
        </w:rPr>
        <w:t>construcción</w:t>
      </w:r>
      <w:r>
        <w:rPr>
          <w:rFonts w:ascii="Arial" w:hAnsi="Arial"/>
          <w:sz w:val="20"/>
        </w:rPr>
        <w:t xml:space="preserve"> de </w:t>
      </w:r>
      <w:r w:rsidR="00BF5F8A">
        <w:rPr>
          <w:rFonts w:ascii="Arial" w:hAnsi="Arial"/>
          <w:sz w:val="20"/>
        </w:rPr>
        <w:t>cláusulas</w:t>
      </w:r>
      <w:r>
        <w:rPr>
          <w:rFonts w:ascii="Arial" w:hAnsi="Arial"/>
          <w:sz w:val="20"/>
        </w:rPr>
        <w:t xml:space="preserve"> de filtro con distintas combinaciones de </w:t>
      </w:r>
      <w:r w:rsidR="00BF5F8A">
        <w:rPr>
          <w:rFonts w:ascii="Arial" w:hAnsi="Arial"/>
          <w:sz w:val="20"/>
        </w:rPr>
        <w:t>parámetros</w:t>
      </w:r>
      <w:r>
        <w:rPr>
          <w:rFonts w:ascii="Arial" w:hAnsi="Arial"/>
          <w:sz w:val="20"/>
        </w:rPr>
        <w:t xml:space="preserve">, las consultas directas sobre la tabla de programas, las consultas que requieren el puente entre programas y matriculados, el explorador interactivo multidimensional, las comparativas entre sistemas y las verificaciones de consistencia interna entre tablas. Cada prueba se </w:t>
      </w:r>
      <w:r w:rsidR="00BF5F8A">
        <w:rPr>
          <w:rFonts w:ascii="Arial" w:hAnsi="Arial"/>
          <w:sz w:val="20"/>
        </w:rPr>
        <w:t>evalúa</w:t>
      </w:r>
      <w:r>
        <w:rPr>
          <w:rFonts w:ascii="Arial" w:hAnsi="Arial"/>
          <w:sz w:val="20"/>
        </w:rPr>
        <w:t xml:space="preserve"> con un contrato simple: la </w:t>
      </w:r>
      <w:r w:rsidR="00BF5F8A">
        <w:rPr>
          <w:rFonts w:ascii="Arial" w:hAnsi="Arial"/>
          <w:sz w:val="20"/>
        </w:rPr>
        <w:t>función</w:t>
      </w:r>
      <w:r>
        <w:rPr>
          <w:rFonts w:ascii="Arial" w:hAnsi="Arial"/>
          <w:sz w:val="20"/>
        </w:rPr>
        <w:t xml:space="preserve"> interrogada debe retornar datos </w:t>
      </w:r>
      <w:r w:rsidR="00BF5F8A">
        <w:rPr>
          <w:rFonts w:ascii="Arial" w:hAnsi="Arial"/>
          <w:sz w:val="20"/>
        </w:rPr>
        <w:t>válidos</w:t>
      </w:r>
      <w:r>
        <w:rPr>
          <w:rFonts w:ascii="Arial" w:hAnsi="Arial"/>
          <w:sz w:val="20"/>
        </w:rPr>
        <w:t xml:space="preserve">, sin excepciones y con la estructura esperada. El resultado agregado de la suite se expresa como un </w:t>
      </w:r>
      <w:r w:rsidR="00BF5F8A">
        <w:rPr>
          <w:rFonts w:ascii="Arial" w:hAnsi="Arial"/>
          <w:sz w:val="20"/>
        </w:rPr>
        <w:t>código</w:t>
      </w:r>
      <w:r>
        <w:rPr>
          <w:rFonts w:ascii="Arial" w:hAnsi="Arial"/>
          <w:sz w:val="20"/>
        </w:rPr>
        <w:t xml:space="preserve"> de salida binario que permite integrar la </w:t>
      </w:r>
      <w:r w:rsidR="00BF5F8A">
        <w:rPr>
          <w:rFonts w:ascii="Arial" w:hAnsi="Arial"/>
          <w:sz w:val="20"/>
        </w:rPr>
        <w:t>verificación</w:t>
      </w:r>
      <w:r>
        <w:rPr>
          <w:rFonts w:ascii="Arial" w:hAnsi="Arial"/>
          <w:sz w:val="20"/>
        </w:rPr>
        <w:t xml:space="preserve"> en cualquier pipeline de despliegue continuo.</w:t>
      </w:r>
    </w:p>
    <w:p w:rsidR="003D2FB2" w:rsidRPr="00064401" w:rsidRDefault="007557A4">
      <w:pPr>
        <w:jc w:val="both"/>
        <w:rPr>
          <w:rFonts w:ascii="Arial" w:hAnsi="Arial" w:cs="Arial"/>
          <w:sz w:val="20"/>
          <w:szCs w:val="20"/>
        </w:rPr>
      </w:pPr>
      <w:r>
        <w:rPr>
          <w:rFonts w:ascii="Arial" w:hAnsi="Arial"/>
          <w:sz w:val="20"/>
        </w:rPr>
        <w:t xml:space="preserve">En el plano de la infraestructura, el sistema se despliega como una aplicación contenida en un contenedor Docker sobre una base Python optimizada, lo que garantiza que el entorno de </w:t>
      </w:r>
      <w:r w:rsidR="00BF5F8A">
        <w:rPr>
          <w:rFonts w:ascii="Arial" w:hAnsi="Arial"/>
          <w:sz w:val="20"/>
        </w:rPr>
        <w:t>ejecución</w:t>
      </w:r>
      <w:r>
        <w:rPr>
          <w:rFonts w:ascii="Arial" w:hAnsi="Arial"/>
          <w:sz w:val="20"/>
        </w:rPr>
        <w:t xml:space="preserve"> sea </w:t>
      </w:r>
      <w:r w:rsidR="00BF5F8A">
        <w:rPr>
          <w:rFonts w:ascii="Arial" w:hAnsi="Arial"/>
          <w:sz w:val="20"/>
        </w:rPr>
        <w:t>idéntico</w:t>
      </w:r>
      <w:r>
        <w:rPr>
          <w:rFonts w:ascii="Arial" w:hAnsi="Arial"/>
          <w:sz w:val="20"/>
        </w:rPr>
        <w:t xml:space="preserve"> en desarrollo local, en el espacio de </w:t>
      </w:r>
      <w:r w:rsidR="00BF5F8A">
        <w:rPr>
          <w:rFonts w:ascii="Arial" w:hAnsi="Arial"/>
          <w:sz w:val="20"/>
        </w:rPr>
        <w:t>demostración</w:t>
      </w:r>
      <w:r>
        <w:rPr>
          <w:rFonts w:ascii="Arial" w:hAnsi="Arial"/>
          <w:sz w:val="20"/>
        </w:rPr>
        <w:t xml:space="preserve"> y en cualquier servidor que se disponga para su uso institucional. Los archivos de mayor </w:t>
      </w:r>
      <w:r w:rsidR="00BF5F8A">
        <w:rPr>
          <w:rFonts w:ascii="Arial" w:hAnsi="Arial"/>
          <w:sz w:val="20"/>
        </w:rPr>
        <w:t>tamaño</w:t>
      </w:r>
      <w:r>
        <w:rPr>
          <w:rFonts w:ascii="Arial" w:hAnsi="Arial"/>
          <w:sz w:val="20"/>
        </w:rPr>
        <w:t xml:space="preserve">, como la base de datos DuckDB y los modelos de lenguaje, se gestionan mediante Git LFS para no comprometer la integridad del repositorio de </w:t>
      </w:r>
      <w:r w:rsidR="00BF5F8A">
        <w:rPr>
          <w:rFonts w:ascii="Arial" w:hAnsi="Arial"/>
          <w:sz w:val="20"/>
        </w:rPr>
        <w:t>código</w:t>
      </w:r>
      <w:r>
        <w:rPr>
          <w:rFonts w:ascii="Arial" w:hAnsi="Arial"/>
          <w:sz w:val="20"/>
        </w:rPr>
        <w:t xml:space="preserve">. La </w:t>
      </w:r>
      <w:r w:rsidR="00BF5F8A">
        <w:rPr>
          <w:rFonts w:ascii="Arial" w:hAnsi="Arial"/>
          <w:sz w:val="20"/>
        </w:rPr>
        <w:t>aplicación</w:t>
      </w:r>
      <w:r>
        <w:rPr>
          <w:rFonts w:ascii="Arial" w:hAnsi="Arial"/>
          <w:sz w:val="20"/>
        </w:rPr>
        <w:t xml:space="preserve"> se sirve a </w:t>
      </w:r>
      <w:r w:rsidR="00BF5F8A">
        <w:rPr>
          <w:rFonts w:ascii="Arial" w:hAnsi="Arial"/>
          <w:sz w:val="20"/>
        </w:rPr>
        <w:t>través</w:t>
      </w:r>
      <w:r>
        <w:rPr>
          <w:rFonts w:ascii="Arial" w:hAnsi="Arial"/>
          <w:sz w:val="20"/>
        </w:rPr>
        <w:t xml:space="preserve"> de Hugging Face Spaces, una plataforma </w:t>
      </w:r>
      <w:r w:rsidR="00BF5F8A">
        <w:rPr>
          <w:rFonts w:ascii="Arial" w:hAnsi="Arial"/>
          <w:sz w:val="20"/>
        </w:rPr>
        <w:t>diseñada</w:t>
      </w:r>
      <w:r>
        <w:rPr>
          <w:rFonts w:ascii="Arial" w:hAnsi="Arial"/>
          <w:sz w:val="20"/>
        </w:rPr>
        <w:t xml:space="preserve"> para alojar aplicaciones de inteligencia artificial y ciencia de datos, donde las credenciales de acceso y las claves de los servicios externos se administran como secretos de despliegue, sin exponerlas en el </w:t>
      </w:r>
      <w:r w:rsidR="00BF5F8A">
        <w:rPr>
          <w:rFonts w:ascii="Arial" w:hAnsi="Arial"/>
          <w:sz w:val="20"/>
        </w:rPr>
        <w:t>código</w:t>
      </w:r>
      <w:r>
        <w:rPr>
          <w:rFonts w:ascii="Arial" w:hAnsi="Arial"/>
          <w:sz w:val="20"/>
        </w:rPr>
        <w:t xml:space="preserve"> fuente ni en el repositorio.</w:t>
      </w:r>
    </w:p>
    <w:p w:rsidR="003D2FB2" w:rsidRPr="00064401" w:rsidRDefault="007557A4">
      <w:pPr>
        <w:pStyle w:val="Ttulo1"/>
        <w:rPr>
          <w:rFonts w:ascii="Arial" w:hAnsi="Arial" w:cs="Arial"/>
          <w:sz w:val="20"/>
          <w:szCs w:val="20"/>
        </w:rPr>
      </w:pPr>
      <w:r w:rsidRPr="00064401">
        <w:rPr>
          <w:rFonts w:ascii="Arial" w:hAnsi="Arial" w:cs="Arial"/>
          <w:sz w:val="20"/>
          <w:szCs w:val="20"/>
        </w:rPr>
        <w:t>10. Riesgos, límites y sostenibilidad</w:t>
      </w:r>
    </w:p>
    <w:p w:rsidR="003D2FB2" w:rsidRPr="00064401" w:rsidRDefault="007557A4">
      <w:pPr>
        <w:jc w:val="both"/>
        <w:rPr>
          <w:rFonts w:ascii="Arial" w:hAnsi="Arial" w:cs="Arial"/>
          <w:sz w:val="20"/>
          <w:szCs w:val="20"/>
        </w:rPr>
      </w:pPr>
      <w:r w:rsidRPr="00064401">
        <w:rPr>
          <w:rFonts w:ascii="Arial" w:hAnsi="Arial" w:cs="Arial"/>
          <w:sz w:val="20"/>
          <w:szCs w:val="20"/>
        </w:rPr>
        <w:t xml:space="preserve">Aunque el equipo no ha formalizado una matriz independiente de riesgos, el documento registra límites técnicos y éticos necesarios para una lectura responsable del prototipo. Esta sección fortalece la </w:t>
      </w:r>
      <w:r w:rsidRPr="00064401">
        <w:rPr>
          <w:rFonts w:ascii="Arial" w:hAnsi="Arial" w:cs="Arial"/>
          <w:sz w:val="20"/>
          <w:szCs w:val="20"/>
        </w:rPr>
        <w:lastRenderedPageBreak/>
        <w:t>transparencia ante jurados de innovación y evita declarar alcances que no han sido validados empíricamente.</w:t>
      </w:r>
    </w:p>
    <w:tbl>
      <w:tblPr>
        <w:tblW w:w="0" w:type="auto"/>
        <w:jc w:val="center"/>
        <w:tblLook w:val="04A0" w:firstRow="1" w:lastRow="0" w:firstColumn="1" w:lastColumn="0" w:noHBand="0" w:noVBand="1"/>
      </w:tblPr>
      <w:tblGrid>
        <w:gridCol w:w="2126"/>
        <w:gridCol w:w="3402"/>
        <w:gridCol w:w="3842"/>
      </w:tblGrid>
      <w:tr w:rsidR="003D2FB2" w:rsidRPr="00064401" w:rsidTr="009663B7">
        <w:trPr>
          <w:tblHeader/>
          <w:jc w:val="center"/>
        </w:trPr>
        <w:tc>
          <w:tcPr>
            <w:tcW w:w="2126"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Tipo</w:t>
            </w:r>
          </w:p>
        </w:tc>
        <w:tc>
          <w:tcPr>
            <w:tcW w:w="3402"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Riesgo o límite</w:t>
            </w:r>
          </w:p>
        </w:tc>
        <w:tc>
          <w:tcPr>
            <w:tcW w:w="3842"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Tratamiento propuesto</w:t>
            </w:r>
          </w:p>
        </w:tc>
      </w:tr>
      <w:tr w:rsidR="003D2FB2" w:rsidRPr="00064401" w:rsidTr="009663B7">
        <w:trPr>
          <w:jc w:val="center"/>
        </w:trPr>
        <w:tc>
          <w:tcPr>
            <w:tcW w:w="2126"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Datos agregados</w:t>
            </w:r>
          </w:p>
        </w:tc>
        <w:tc>
          <w:tcPr>
            <w:tcW w:w="3402"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La solución comprende la deserción a nivel agregado y contextual, sin inferir riesgo individual de estudiantes.</w:t>
            </w:r>
          </w:p>
        </w:tc>
        <w:tc>
          <w:tcPr>
            <w:tcW w:w="3842"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Mantener la lectura como apoyo a decisiones curriculares y de permanencia institucional.</w:t>
            </w:r>
          </w:p>
        </w:tc>
      </w:tr>
      <w:tr w:rsidR="003D2FB2" w:rsidRPr="00064401" w:rsidTr="009663B7">
        <w:trPr>
          <w:jc w:val="center"/>
        </w:trPr>
        <w:tc>
          <w:tcPr>
            <w:tcW w:w="2126"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Actualización</w:t>
            </w:r>
          </w:p>
        </w:tc>
        <w:tc>
          <w:tcPr>
            <w:tcW w:w="3402"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La pertinencia depende de cortes oficiales y de la frecuencia de actualización de SNIES, SIET, APE, ICFES, MinTIC y demás fuentes.</w:t>
            </w:r>
          </w:p>
        </w:tc>
        <w:tc>
          <w:tcPr>
            <w:tcW w:w="3842"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Definir cronograma de actualización, responsable técnico y bitácora de versiones.</w:t>
            </w:r>
          </w:p>
        </w:tc>
      </w:tr>
      <w:tr w:rsidR="003D2FB2" w:rsidRPr="00064401" w:rsidTr="009663B7">
        <w:trPr>
          <w:jc w:val="center"/>
        </w:trPr>
        <w:tc>
          <w:tcPr>
            <w:tcW w:w="2126"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Interpretación automatizada</w:t>
            </w:r>
          </w:p>
        </w:tc>
        <w:tc>
          <w:tcPr>
            <w:tcW w:w="3402"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Los informes generados por LLM pueden omitir matices o sobregeneralizar hallazgos.</w:t>
            </w:r>
          </w:p>
        </w:tc>
        <w:tc>
          <w:tcPr>
            <w:tcW w:w="3842"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Exigir validación experta antes de usar resultados en decisiones formales.</w:t>
            </w:r>
          </w:p>
        </w:tc>
      </w:tr>
      <w:tr w:rsidR="003D2FB2" w:rsidRPr="00064401" w:rsidTr="009663B7">
        <w:trPr>
          <w:jc w:val="center"/>
        </w:trPr>
        <w:tc>
          <w:tcPr>
            <w:tcW w:w="2126"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Sesgo territorial</w:t>
            </w:r>
          </w:p>
        </w:tc>
        <w:tc>
          <w:tcPr>
            <w:tcW w:w="3402"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Las zonas con menor calidad de datos o menor conectividad pueden quedar subrepresentadas.</w:t>
            </w:r>
          </w:p>
        </w:tc>
        <w:tc>
          <w:tcPr>
            <w:tcW w:w="3842"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Ajustar reglas de lectura territorial y declarar vacíos de información.</w:t>
            </w:r>
          </w:p>
        </w:tc>
      </w:tr>
      <w:tr w:rsidR="003D2FB2" w:rsidRPr="00064401" w:rsidTr="009663B7">
        <w:trPr>
          <w:jc w:val="center"/>
        </w:trPr>
        <w:tc>
          <w:tcPr>
            <w:tcW w:w="2126"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Privacidad</w:t>
            </w:r>
          </w:p>
        </w:tc>
        <w:tc>
          <w:tcPr>
            <w:tcW w:w="3402"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La fase actual no procesa datos personales individuales; una fase predictiva debería incorporar salvaguardas adicionales.</w:t>
            </w:r>
          </w:p>
        </w:tc>
        <w:tc>
          <w:tcPr>
            <w:tcW w:w="3842"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Aplicar minimización de datos, anonimización y revisión ética si se incorporan microdatos.</w:t>
            </w:r>
          </w:p>
        </w:tc>
      </w:tr>
      <w:tr w:rsidR="003D2FB2" w:rsidRPr="00064401" w:rsidTr="009663B7">
        <w:trPr>
          <w:jc w:val="center"/>
        </w:trPr>
        <w:tc>
          <w:tcPr>
            <w:tcW w:w="2126"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Sostenibilidad</w:t>
            </w:r>
          </w:p>
        </w:tc>
        <w:tc>
          <w:tcPr>
            <w:tcW w:w="3402"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El sistema requiere mantenimiento técnico, gobierno de datos y apropiación institucional.</w:t>
            </w:r>
          </w:p>
        </w:tc>
        <w:tc>
          <w:tcPr>
            <w:tcW w:w="3842"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Integrar la herramienta a procesos regulares de planeación académica y aseguramiento de la calidad.</w:t>
            </w:r>
          </w:p>
        </w:tc>
      </w:tr>
    </w:tbl>
    <w:p w:rsidR="003D2FB2" w:rsidRPr="00064401" w:rsidRDefault="007557A4">
      <w:pPr>
        <w:pStyle w:val="Ttulo2"/>
        <w:rPr>
          <w:rFonts w:ascii="Arial" w:hAnsi="Arial" w:cs="Arial"/>
          <w:sz w:val="20"/>
          <w:szCs w:val="20"/>
        </w:rPr>
      </w:pPr>
      <w:r w:rsidRPr="00064401">
        <w:rPr>
          <w:rFonts w:ascii="Arial" w:hAnsi="Arial" w:cs="Arial"/>
          <w:sz w:val="20"/>
          <w:szCs w:val="20"/>
        </w:rPr>
        <w:t>Lectura responsable del alcance</w:t>
      </w:r>
    </w:p>
    <w:p w:rsidR="003D2FB2" w:rsidRPr="00064401" w:rsidRDefault="007557A4">
      <w:pPr>
        <w:jc w:val="both"/>
        <w:rPr>
          <w:rFonts w:ascii="Arial" w:hAnsi="Arial" w:cs="Arial"/>
          <w:sz w:val="20"/>
          <w:szCs w:val="20"/>
        </w:rPr>
      </w:pPr>
      <w:r w:rsidRPr="00064401">
        <w:rPr>
          <w:rFonts w:ascii="Arial" w:hAnsi="Arial" w:cs="Arial"/>
          <w:sz w:val="20"/>
          <w:szCs w:val="20"/>
        </w:rPr>
        <w:t>La herramienta aporta a la comprensión de condiciones asociadas a la deserción y al fortalecimiento de decisiones de permanencia. Su alcance actual no equivale a una predicción individual de abandono, ni sustituye los sistemas institucionales de acompañamiento estudiantil. Su función es mejorar la calidad de las decisiones sobre oferta académica, de manera que los programas se diseñen y actualicen con evidencia contextual suficiente.</w:t>
      </w:r>
    </w:p>
    <w:p w:rsidR="003D2FB2" w:rsidRPr="00064401" w:rsidRDefault="007557A4">
      <w:pPr>
        <w:pStyle w:val="Ttulo1"/>
        <w:rPr>
          <w:rFonts w:ascii="Arial" w:hAnsi="Arial" w:cs="Arial"/>
          <w:sz w:val="20"/>
          <w:szCs w:val="20"/>
        </w:rPr>
      </w:pPr>
      <w:r w:rsidRPr="00064401">
        <w:rPr>
          <w:rFonts w:ascii="Arial" w:hAnsi="Arial" w:cs="Arial"/>
          <w:sz w:val="20"/>
          <w:szCs w:val="20"/>
        </w:rPr>
        <w:t>11. Referencias</w:t>
      </w:r>
    </w:p>
    <w:p w:rsidR="003D2FB2" w:rsidRPr="00064401" w:rsidRDefault="007557A4">
      <w:pPr>
        <w:ind w:left="454" w:hanging="454"/>
        <w:jc w:val="both"/>
        <w:rPr>
          <w:rFonts w:ascii="Arial" w:hAnsi="Arial" w:cs="Arial"/>
          <w:sz w:val="20"/>
          <w:szCs w:val="20"/>
        </w:rPr>
      </w:pPr>
      <w:r w:rsidRPr="00064401">
        <w:rPr>
          <w:rFonts w:ascii="Arial" w:hAnsi="Arial" w:cs="Arial"/>
          <w:sz w:val="20"/>
          <w:szCs w:val="20"/>
        </w:rPr>
        <w:t>Datos Abiertos Colombia. (2026). Concurso Datos al Ecosistema 2026: IA para Colombia. Ministerio de Tecnologías de la Información y las Comunicaciones. https://www.datos.gov.co/stories/s/Concurso-Datos-al-Ecosistema-2026-IA-para-Colombia/ddau-8cy9/</w:t>
      </w:r>
    </w:p>
    <w:p w:rsidR="003D2FB2" w:rsidRPr="00064401" w:rsidRDefault="007557A4">
      <w:pPr>
        <w:ind w:left="454" w:hanging="454"/>
        <w:jc w:val="both"/>
        <w:rPr>
          <w:rFonts w:ascii="Arial" w:hAnsi="Arial" w:cs="Arial"/>
          <w:sz w:val="20"/>
          <w:szCs w:val="20"/>
        </w:rPr>
      </w:pPr>
      <w:r w:rsidRPr="00064401">
        <w:rPr>
          <w:rFonts w:ascii="Arial" w:hAnsi="Arial" w:cs="Arial"/>
          <w:sz w:val="20"/>
          <w:szCs w:val="20"/>
        </w:rPr>
        <w:t>Datos Abiertos Colombia. (2026). MEN_MATRICULA_ESTADISTICA_ES [Conjunto de datos]. Ministerio de Educación Nacional. https://www.datos.gov.co/Educaci-n/MEN_MATRICULA_ESTADISTICA_ES/5wck-szir</w:t>
      </w:r>
    </w:p>
    <w:p w:rsidR="003D2FB2" w:rsidRPr="00064401" w:rsidRDefault="007557A4">
      <w:pPr>
        <w:ind w:left="454" w:hanging="454"/>
        <w:jc w:val="both"/>
        <w:rPr>
          <w:rFonts w:ascii="Arial" w:hAnsi="Arial" w:cs="Arial"/>
          <w:sz w:val="20"/>
          <w:szCs w:val="20"/>
          <w:lang w:val="en-US"/>
        </w:rPr>
      </w:pPr>
      <w:r w:rsidRPr="00064401">
        <w:rPr>
          <w:rFonts w:ascii="Arial" w:hAnsi="Arial" w:cs="Arial"/>
          <w:sz w:val="20"/>
          <w:szCs w:val="20"/>
        </w:rPr>
        <w:t xml:space="preserve">Departamento Administrativo Nacional de Estadística. (2025). Clasificación Única de Ocupaciones para Colombia - CUOC. </w:t>
      </w:r>
      <w:r w:rsidRPr="00064401">
        <w:rPr>
          <w:rFonts w:ascii="Arial" w:hAnsi="Arial" w:cs="Arial"/>
          <w:sz w:val="20"/>
          <w:szCs w:val="20"/>
          <w:lang w:val="en-US"/>
        </w:rPr>
        <w:t>DANE.</w:t>
      </w:r>
    </w:p>
    <w:p w:rsidR="003D2FB2" w:rsidRPr="00064401" w:rsidRDefault="007557A4">
      <w:pPr>
        <w:ind w:left="454" w:hanging="454"/>
        <w:jc w:val="both"/>
        <w:rPr>
          <w:rFonts w:ascii="Arial" w:hAnsi="Arial" w:cs="Arial"/>
          <w:sz w:val="20"/>
          <w:szCs w:val="20"/>
        </w:rPr>
      </w:pPr>
      <w:r w:rsidRPr="00064401">
        <w:rPr>
          <w:rFonts w:ascii="Arial" w:hAnsi="Arial" w:cs="Arial"/>
          <w:sz w:val="20"/>
          <w:szCs w:val="20"/>
          <w:lang w:val="en-US"/>
        </w:rPr>
        <w:t xml:space="preserve">European Commission. (2022). DigComp 2.2: The Digital Competence Framework for Citizens. </w:t>
      </w:r>
      <w:r w:rsidRPr="00064401">
        <w:rPr>
          <w:rFonts w:ascii="Arial" w:hAnsi="Arial" w:cs="Arial"/>
          <w:sz w:val="20"/>
          <w:szCs w:val="20"/>
        </w:rPr>
        <w:t>Publications Office of the European Union.</w:t>
      </w:r>
    </w:p>
    <w:p w:rsidR="003D2FB2" w:rsidRPr="00064401" w:rsidRDefault="007557A4">
      <w:pPr>
        <w:ind w:left="454" w:hanging="454"/>
        <w:jc w:val="both"/>
        <w:rPr>
          <w:rFonts w:ascii="Arial" w:hAnsi="Arial" w:cs="Arial"/>
          <w:sz w:val="20"/>
          <w:szCs w:val="20"/>
        </w:rPr>
      </w:pPr>
      <w:r w:rsidRPr="00064401">
        <w:rPr>
          <w:rFonts w:ascii="Arial" w:hAnsi="Arial" w:cs="Arial"/>
          <w:sz w:val="20"/>
          <w:szCs w:val="20"/>
        </w:rPr>
        <w:lastRenderedPageBreak/>
        <w:t>Equipo 195. (2026a). Metodología general del Sistema de Análisis de Contexto para la Toma de Decisiones Educativas [Documento técnico interno].</w:t>
      </w:r>
    </w:p>
    <w:p w:rsidR="003D2FB2" w:rsidRPr="00064401" w:rsidRDefault="007557A4">
      <w:pPr>
        <w:ind w:left="454" w:hanging="454"/>
        <w:jc w:val="both"/>
        <w:rPr>
          <w:rFonts w:ascii="Arial" w:hAnsi="Arial" w:cs="Arial"/>
          <w:sz w:val="20"/>
          <w:szCs w:val="20"/>
        </w:rPr>
      </w:pPr>
      <w:r w:rsidRPr="00064401">
        <w:rPr>
          <w:rFonts w:ascii="Arial" w:hAnsi="Arial" w:cs="Arial"/>
          <w:sz w:val="20"/>
          <w:szCs w:val="20"/>
        </w:rPr>
        <w:t>Equipo 195. (2026b). Metodología de Machine Learning y NLP: búsqueda semántica, RAG y generación con LLM [Documento técnico interno].</w:t>
      </w:r>
    </w:p>
    <w:p w:rsidR="003D2FB2" w:rsidRPr="00064401" w:rsidRDefault="007557A4">
      <w:pPr>
        <w:ind w:left="454" w:hanging="454"/>
        <w:jc w:val="both"/>
        <w:rPr>
          <w:rFonts w:ascii="Arial" w:hAnsi="Arial" w:cs="Arial"/>
          <w:sz w:val="20"/>
          <w:szCs w:val="20"/>
        </w:rPr>
      </w:pPr>
      <w:r w:rsidRPr="00064401">
        <w:rPr>
          <w:rFonts w:ascii="Arial" w:hAnsi="Arial" w:cs="Arial"/>
          <w:sz w:val="20"/>
          <w:szCs w:val="20"/>
        </w:rPr>
        <w:t>Equipo 195. (2026c). Inventario de tablas del repositorio DuckDB del Sistema de Análisis de Contexto para la Toma de Decisiones Educativas [Documento técnico interno].</w:t>
      </w:r>
    </w:p>
    <w:p w:rsidR="003D2FB2" w:rsidRPr="00064401" w:rsidRDefault="007557A4">
      <w:pPr>
        <w:ind w:left="454" w:hanging="454"/>
        <w:jc w:val="both"/>
        <w:rPr>
          <w:rFonts w:ascii="Arial" w:hAnsi="Arial" w:cs="Arial"/>
          <w:sz w:val="20"/>
          <w:szCs w:val="20"/>
        </w:rPr>
      </w:pPr>
      <w:r w:rsidRPr="00064401">
        <w:rPr>
          <w:rFonts w:ascii="Arial" w:hAnsi="Arial" w:cs="Arial"/>
          <w:sz w:val="20"/>
          <w:szCs w:val="20"/>
          <w:lang w:val="en-US"/>
        </w:rPr>
        <w:t xml:space="preserve">Lewis, P., Pérez, E., Piktus, A., Petroni, F., Karpukhin, V., Goyal, N., et al. (2020). Retrieval-augmented generation for knowledge-intensive NLP tasks. </w:t>
      </w:r>
      <w:r w:rsidRPr="00064401">
        <w:rPr>
          <w:rFonts w:ascii="Arial" w:hAnsi="Arial" w:cs="Arial"/>
          <w:sz w:val="20"/>
          <w:szCs w:val="20"/>
        </w:rPr>
        <w:t>Advances in Neural Information Processing Systems, 33, 9459-9474.</w:t>
      </w:r>
    </w:p>
    <w:p w:rsidR="003D2FB2" w:rsidRPr="00064401" w:rsidRDefault="007557A4">
      <w:pPr>
        <w:ind w:left="454" w:hanging="454"/>
        <w:jc w:val="both"/>
        <w:rPr>
          <w:rFonts w:ascii="Arial" w:hAnsi="Arial" w:cs="Arial"/>
          <w:sz w:val="20"/>
          <w:szCs w:val="20"/>
        </w:rPr>
      </w:pPr>
      <w:r w:rsidRPr="00064401">
        <w:rPr>
          <w:rFonts w:ascii="Arial" w:hAnsi="Arial" w:cs="Arial"/>
          <w:sz w:val="20"/>
          <w:szCs w:val="20"/>
        </w:rPr>
        <w:t>Ministerio de Educación Nacional. (2024). Sistema Nacional de Información de la Educación Superior - SNIES. MEN.</w:t>
      </w:r>
    </w:p>
    <w:p w:rsidR="003D2FB2" w:rsidRPr="00064401" w:rsidRDefault="007557A4">
      <w:pPr>
        <w:ind w:left="454" w:hanging="454"/>
        <w:jc w:val="both"/>
        <w:rPr>
          <w:rFonts w:ascii="Arial" w:hAnsi="Arial" w:cs="Arial"/>
          <w:sz w:val="20"/>
          <w:szCs w:val="20"/>
        </w:rPr>
      </w:pPr>
      <w:r w:rsidRPr="00064401">
        <w:rPr>
          <w:rFonts w:ascii="Arial" w:hAnsi="Arial" w:cs="Arial"/>
          <w:sz w:val="20"/>
          <w:szCs w:val="20"/>
        </w:rPr>
        <w:t>Ministerio de Educación Nacional. (2024). Sistema de Información de Educación para el Trabajo y el Desarrollo Humano - SIET. MEN.</w:t>
      </w:r>
    </w:p>
    <w:p w:rsidR="003D2FB2" w:rsidRPr="00064401" w:rsidRDefault="007557A4">
      <w:pPr>
        <w:ind w:left="454" w:hanging="454"/>
        <w:jc w:val="both"/>
        <w:rPr>
          <w:rFonts w:ascii="Arial" w:hAnsi="Arial" w:cs="Arial"/>
          <w:sz w:val="20"/>
          <w:szCs w:val="20"/>
          <w:lang w:val="en-US"/>
        </w:rPr>
      </w:pPr>
      <w:r w:rsidRPr="00064401">
        <w:rPr>
          <w:rFonts w:ascii="Arial" w:hAnsi="Arial" w:cs="Arial"/>
          <w:sz w:val="20"/>
          <w:szCs w:val="20"/>
        </w:rPr>
        <w:t xml:space="preserve">Ministerio del Trabajo y Servicio Nacional de Aprendizaje. (2024). Agencia Pública de Empleo: vacantes, inscritos y colocados. </w:t>
      </w:r>
      <w:r w:rsidRPr="00064401">
        <w:rPr>
          <w:rFonts w:ascii="Arial" w:hAnsi="Arial" w:cs="Arial"/>
          <w:sz w:val="20"/>
          <w:szCs w:val="20"/>
          <w:lang w:val="en-US"/>
        </w:rPr>
        <w:t>SENA.</w:t>
      </w:r>
    </w:p>
    <w:p w:rsidR="003D2FB2" w:rsidRPr="00064401" w:rsidRDefault="007557A4">
      <w:pPr>
        <w:ind w:left="454" w:hanging="454"/>
        <w:jc w:val="both"/>
        <w:rPr>
          <w:rFonts w:ascii="Arial" w:hAnsi="Arial" w:cs="Arial"/>
          <w:sz w:val="20"/>
          <w:szCs w:val="20"/>
          <w:lang w:val="en-US"/>
        </w:rPr>
      </w:pPr>
      <w:r w:rsidRPr="00064401">
        <w:rPr>
          <w:rFonts w:ascii="Arial" w:hAnsi="Arial" w:cs="Arial"/>
          <w:sz w:val="20"/>
          <w:szCs w:val="20"/>
          <w:lang w:val="en-US"/>
        </w:rPr>
        <w:t>Reimers, N., &amp; Gurevych, I. (2019). Sentence-BERT: Sentence embeddings using Siamese BERT-networks. Proceedings of EMNLP-IJCNLP 2019, 3982-3992.</w:t>
      </w:r>
    </w:p>
    <w:p w:rsidR="003D2FB2" w:rsidRPr="00064401" w:rsidRDefault="007557A4">
      <w:pPr>
        <w:ind w:left="454" w:hanging="454"/>
        <w:jc w:val="both"/>
        <w:rPr>
          <w:rFonts w:ascii="Arial" w:hAnsi="Arial" w:cs="Arial"/>
          <w:sz w:val="20"/>
          <w:szCs w:val="20"/>
        </w:rPr>
      </w:pPr>
      <w:r w:rsidRPr="00064401">
        <w:rPr>
          <w:rFonts w:ascii="Arial" w:hAnsi="Arial" w:cs="Arial"/>
          <w:sz w:val="20"/>
          <w:szCs w:val="20"/>
          <w:lang w:val="en-US"/>
        </w:rPr>
        <w:t xml:space="preserve">UNESCO Institute for Statistics. (2015). International Standard Classification of Education: Fields of Education and Training 2013 (ISCED-F 2013). </w:t>
      </w:r>
      <w:r w:rsidRPr="00064401">
        <w:rPr>
          <w:rFonts w:ascii="Arial" w:hAnsi="Arial" w:cs="Arial"/>
          <w:sz w:val="20"/>
          <w:szCs w:val="20"/>
        </w:rPr>
        <w:t>UNESCO.</w:t>
      </w:r>
    </w:p>
    <w:p w:rsidR="003D2FB2" w:rsidRPr="00064401" w:rsidRDefault="007557A4">
      <w:pPr>
        <w:ind w:left="454" w:hanging="454"/>
        <w:jc w:val="both"/>
        <w:rPr>
          <w:rFonts w:ascii="Arial" w:hAnsi="Arial" w:cs="Arial"/>
          <w:sz w:val="20"/>
          <w:szCs w:val="20"/>
        </w:rPr>
      </w:pPr>
      <w:r>
        <w:rPr>
          <w:rFonts w:ascii="Arial" w:hAnsi="Arial"/>
          <w:sz w:val="20"/>
        </w:rPr>
        <w:t>European Commission. (2024). ESCO v1.2.0: European Skills, Competences, Qualifications and Occupations. Directorate-General for Employment, Social Affairs and Inclusion. https://esco.ec.europa.eu/</w:t>
      </w:r>
    </w:p>
    <w:p w:rsidR="003D2FB2" w:rsidRPr="00064401" w:rsidRDefault="007557A4">
      <w:pPr>
        <w:ind w:left="454" w:hanging="454"/>
        <w:jc w:val="both"/>
        <w:rPr>
          <w:rFonts w:ascii="Arial" w:hAnsi="Arial" w:cs="Arial"/>
          <w:sz w:val="20"/>
          <w:szCs w:val="20"/>
          <w:lang w:val="en-US"/>
        </w:rPr>
      </w:pPr>
      <w:r w:rsidRPr="00064401">
        <w:rPr>
          <w:rFonts w:ascii="Arial" w:hAnsi="Arial" w:cs="Arial"/>
          <w:sz w:val="20"/>
          <w:szCs w:val="20"/>
        </w:rPr>
        <w:t xml:space="preserve">Vaswani, A., Shazeer, N., Parmar, N., Uszkoreit, J., Jones, L., Gomez, A. N., et al. </w:t>
      </w:r>
      <w:r w:rsidRPr="00064401">
        <w:rPr>
          <w:rFonts w:ascii="Arial" w:hAnsi="Arial" w:cs="Arial"/>
          <w:sz w:val="20"/>
          <w:szCs w:val="20"/>
          <w:lang w:val="en-US"/>
        </w:rPr>
        <w:t>(2017). Attention is all you need. Advances in Neural Information Processing Systems, 30.</w:t>
      </w:r>
    </w:p>
    <w:p w:rsidR="003D2FB2" w:rsidRPr="00064401" w:rsidRDefault="007557A4">
      <w:pPr>
        <w:pStyle w:val="Ttulo1"/>
        <w:rPr>
          <w:rFonts w:ascii="Arial" w:hAnsi="Arial" w:cs="Arial"/>
          <w:sz w:val="20"/>
          <w:szCs w:val="20"/>
        </w:rPr>
      </w:pPr>
      <w:r w:rsidRPr="00064401">
        <w:rPr>
          <w:rFonts w:ascii="Arial" w:hAnsi="Arial" w:cs="Arial"/>
          <w:sz w:val="20"/>
          <w:szCs w:val="20"/>
        </w:rPr>
        <w:t>Anexo A. Ficha de trazabilidad de datos</w:t>
      </w:r>
    </w:p>
    <w:p w:rsidR="003D2FB2" w:rsidRPr="00064401" w:rsidRDefault="007557A4">
      <w:pPr>
        <w:jc w:val="both"/>
        <w:rPr>
          <w:rFonts w:ascii="Arial" w:hAnsi="Arial" w:cs="Arial"/>
          <w:sz w:val="20"/>
          <w:szCs w:val="20"/>
        </w:rPr>
      </w:pPr>
      <w:r w:rsidRPr="00064401">
        <w:rPr>
          <w:rFonts w:ascii="Arial" w:hAnsi="Arial" w:cs="Arial"/>
          <w:sz w:val="20"/>
          <w:szCs w:val="20"/>
        </w:rPr>
        <w:t xml:space="preserve">La trazabilidad del repositorio se sostiene sobre un proceso documentado de </w:t>
      </w:r>
      <w:r w:rsidR="00BF5F8A" w:rsidRPr="00064401">
        <w:rPr>
          <w:rFonts w:ascii="Arial" w:hAnsi="Arial" w:cs="Arial"/>
          <w:sz w:val="20"/>
          <w:szCs w:val="20"/>
        </w:rPr>
        <w:t>construcción</w:t>
      </w:r>
      <w:r w:rsidRPr="00064401">
        <w:rPr>
          <w:rFonts w:ascii="Arial" w:hAnsi="Arial" w:cs="Arial"/>
          <w:sz w:val="20"/>
          <w:szCs w:val="20"/>
        </w:rPr>
        <w:t xml:space="preserve"> que registra para cada tabla su fuente original, la entidad responsable de la </w:t>
      </w:r>
      <w:r w:rsidR="00BF5F8A" w:rsidRPr="00064401">
        <w:rPr>
          <w:rFonts w:ascii="Arial" w:hAnsi="Arial" w:cs="Arial"/>
          <w:sz w:val="20"/>
          <w:szCs w:val="20"/>
        </w:rPr>
        <w:t>validación</w:t>
      </w:r>
      <w:r w:rsidRPr="00064401">
        <w:rPr>
          <w:rFonts w:ascii="Arial" w:hAnsi="Arial" w:cs="Arial"/>
          <w:sz w:val="20"/>
          <w:szCs w:val="20"/>
        </w:rPr>
        <w:t xml:space="preserve">, la fecha de corte de los datos, la URL o sistema de descarga, las reglas de depuracion aplicadas y la </w:t>
      </w:r>
      <w:r w:rsidR="00BF5F8A" w:rsidRPr="00064401">
        <w:rPr>
          <w:rFonts w:ascii="Arial" w:hAnsi="Arial" w:cs="Arial"/>
          <w:sz w:val="20"/>
          <w:szCs w:val="20"/>
        </w:rPr>
        <w:t>clasificación</w:t>
      </w:r>
      <w:r w:rsidRPr="00064401">
        <w:rPr>
          <w:rFonts w:ascii="Arial" w:hAnsi="Arial" w:cs="Arial"/>
          <w:sz w:val="20"/>
          <w:szCs w:val="20"/>
        </w:rPr>
        <w:t xml:space="preserve"> utilizada en la </w:t>
      </w:r>
      <w:r w:rsidR="00BF5F8A" w:rsidRPr="00064401">
        <w:rPr>
          <w:rFonts w:ascii="Arial" w:hAnsi="Arial" w:cs="Arial"/>
          <w:sz w:val="20"/>
          <w:szCs w:val="20"/>
        </w:rPr>
        <w:t>homologación</w:t>
      </w:r>
      <w:r w:rsidRPr="00064401">
        <w:rPr>
          <w:rFonts w:ascii="Arial" w:hAnsi="Arial" w:cs="Arial"/>
          <w:sz w:val="20"/>
          <w:szCs w:val="20"/>
        </w:rPr>
        <w:t xml:space="preserve">. Este registro, distribuido en los scripts de carga y en el inventario </w:t>
      </w:r>
      <w:r w:rsidR="00BF5F8A" w:rsidRPr="00064401">
        <w:rPr>
          <w:rFonts w:ascii="Arial" w:hAnsi="Arial" w:cs="Arial"/>
          <w:sz w:val="20"/>
          <w:szCs w:val="20"/>
        </w:rPr>
        <w:t>técnico</w:t>
      </w:r>
      <w:r w:rsidRPr="00064401">
        <w:rPr>
          <w:rFonts w:ascii="Arial" w:hAnsi="Arial" w:cs="Arial"/>
          <w:sz w:val="20"/>
          <w:szCs w:val="20"/>
        </w:rPr>
        <w:t xml:space="preserve"> de tablas, permite reproducir cualquier </w:t>
      </w:r>
      <w:r w:rsidR="00BF5F8A" w:rsidRPr="00064401">
        <w:rPr>
          <w:rFonts w:ascii="Arial" w:hAnsi="Arial" w:cs="Arial"/>
          <w:sz w:val="20"/>
          <w:szCs w:val="20"/>
        </w:rPr>
        <w:t>análisis</w:t>
      </w:r>
      <w:r w:rsidRPr="00064401">
        <w:rPr>
          <w:rFonts w:ascii="Arial" w:hAnsi="Arial" w:cs="Arial"/>
          <w:sz w:val="20"/>
          <w:szCs w:val="20"/>
        </w:rPr>
        <w:t xml:space="preserve"> y actualizarlo cuando las fuentes oficiales publiquen nuevos cortes.</w:t>
      </w:r>
    </w:p>
    <w:tbl>
      <w:tblPr>
        <w:tblW w:w="0" w:type="auto"/>
        <w:jc w:val="center"/>
        <w:tblLook w:val="04A0" w:firstRow="1" w:lastRow="0" w:firstColumn="1" w:lastColumn="0" w:noHBand="0" w:noVBand="1"/>
      </w:tblPr>
      <w:tblGrid>
        <w:gridCol w:w="1955"/>
        <w:gridCol w:w="3597"/>
        <w:gridCol w:w="2106"/>
        <w:gridCol w:w="1962"/>
      </w:tblGrid>
      <w:tr w:rsidR="003D2FB2" w:rsidRPr="00064401">
        <w:trPr>
          <w:tblHeader/>
          <w:jc w:val="center"/>
        </w:trPr>
        <w:tc>
          <w:tcPr>
            <w:tcW w:w="2550"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Fuente original</w:t>
            </w:r>
          </w:p>
        </w:tc>
        <w:tc>
          <w:tcPr>
            <w:tcW w:w="2550"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Tabla destino DuckDB</w:t>
            </w:r>
          </w:p>
        </w:tc>
        <w:tc>
          <w:tcPr>
            <w:tcW w:w="2550"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Transformación aplicada</w:t>
            </w:r>
          </w:p>
        </w:tc>
        <w:tc>
          <w:tcPr>
            <w:tcW w:w="2550"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Responsable</w:t>
            </w:r>
          </w:p>
        </w:tc>
      </w:tr>
      <w:tr w:rsidR="003D2FB2" w:rsidRPr="00064401">
        <w:trPr>
          <w:jc w:val="center"/>
        </w:trPr>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SNIES matrícula / datos.gov.co</w:t>
            </w:r>
          </w:p>
        </w:tc>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snies.snies_matriculados</w:t>
            </w:r>
          </w:p>
        </w:tc>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Normalización por año, nivel, programa y territorio.</w:t>
            </w:r>
          </w:p>
        </w:tc>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Líder técnico</w:t>
            </w:r>
          </w:p>
        </w:tc>
      </w:tr>
      <w:tr w:rsidR="003D2FB2" w:rsidRPr="00064401">
        <w:trPr>
          <w:jc w:val="center"/>
        </w:trPr>
        <w:tc>
          <w:tcPr>
            <w:tcW w:w="255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Deserción ES / MEN-OLE</w:t>
            </w:r>
          </w:p>
        </w:tc>
        <w:tc>
          <w:tcPr>
            <w:tcW w:w="255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estadisticas_es.es_desercion_nivel</w:t>
            </w:r>
          </w:p>
        </w:tc>
        <w:tc>
          <w:tcPr>
            <w:tcW w:w="255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Agrupación por nivel, periodo y tasa de deserción.</w:t>
            </w:r>
          </w:p>
        </w:tc>
        <w:tc>
          <w:tcPr>
            <w:tcW w:w="255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Líder académico</w:t>
            </w:r>
          </w:p>
        </w:tc>
      </w:tr>
      <w:tr w:rsidR="003D2FB2" w:rsidRPr="00064401">
        <w:trPr>
          <w:jc w:val="center"/>
        </w:trPr>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APE vacantes / SENA-MinTrabajo</w:t>
            </w:r>
          </w:p>
        </w:tc>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tendencias_laborales.vacantes_ape_*</w:t>
            </w:r>
          </w:p>
        </w:tc>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Homologación con CUOC y territorio.</w:t>
            </w:r>
          </w:p>
        </w:tc>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Líder técnico</w:t>
            </w:r>
          </w:p>
        </w:tc>
      </w:tr>
      <w:tr w:rsidR="003D2FB2" w:rsidRPr="00064401">
        <w:trPr>
          <w:jc w:val="center"/>
        </w:trPr>
        <w:tc>
          <w:tcPr>
            <w:tcW w:w="255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CUOC competencias / DANE-MinTrabajo</w:t>
            </w:r>
          </w:p>
        </w:tc>
        <w:tc>
          <w:tcPr>
            <w:tcW w:w="255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competencias.cuoc_conocimientos / competencias.cuoc_destrezas</w:t>
            </w:r>
          </w:p>
        </w:tc>
        <w:tc>
          <w:tcPr>
            <w:tcW w:w="255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 xml:space="preserve">Extracción de conocimientos, destrezas y nivel de </w:t>
            </w:r>
            <w:r w:rsidRPr="00064401">
              <w:rPr>
                <w:rFonts w:ascii="Arial" w:hAnsi="Arial" w:cs="Arial"/>
                <w:sz w:val="20"/>
                <w:szCs w:val="20"/>
              </w:rPr>
              <w:lastRenderedPageBreak/>
              <w:t>competencia.</w:t>
            </w:r>
          </w:p>
        </w:tc>
        <w:tc>
          <w:tcPr>
            <w:tcW w:w="2550"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lastRenderedPageBreak/>
              <w:t>Especialista curricular</w:t>
            </w:r>
          </w:p>
        </w:tc>
      </w:tr>
      <w:tr w:rsidR="003D2FB2" w:rsidRPr="00064401">
        <w:trPr>
          <w:jc w:val="center"/>
        </w:trPr>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Conectividad / MinTIC-CRC</w:t>
            </w:r>
          </w:p>
        </w:tc>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datos_complementarios.conectividad</w:t>
            </w:r>
          </w:p>
        </w:tc>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Normalización 0-1 e índice ponderado.</w:t>
            </w:r>
          </w:p>
        </w:tc>
        <w:tc>
          <w:tcPr>
            <w:tcW w:w="2550"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Líder técnico</w:t>
            </w:r>
          </w:p>
        </w:tc>
      </w:tr>
    </w:tbl>
    <w:p w:rsidR="003D2FB2" w:rsidRPr="00064401" w:rsidRDefault="007557A4">
      <w:pPr>
        <w:jc w:val="both"/>
        <w:rPr>
          <w:rFonts w:ascii="Arial" w:hAnsi="Arial" w:cs="Arial"/>
          <w:sz w:val="20"/>
          <w:szCs w:val="20"/>
        </w:rPr>
      </w:pPr>
      <w:r w:rsidRPr="00064401">
        <w:rPr>
          <w:rFonts w:ascii="Arial" w:hAnsi="Arial" w:cs="Arial"/>
          <w:sz w:val="20"/>
          <w:szCs w:val="20"/>
        </w:rPr>
        <w:t xml:space="preserve">Los identificadores de cada recurso de datos.gov.co se conservan en los scripts de carga y </w:t>
      </w:r>
      <w:r w:rsidR="00BF5F8A" w:rsidRPr="00064401">
        <w:rPr>
          <w:rFonts w:ascii="Arial" w:hAnsi="Arial" w:cs="Arial"/>
          <w:sz w:val="20"/>
          <w:szCs w:val="20"/>
        </w:rPr>
        <w:t>transformación</w:t>
      </w:r>
      <w:r w:rsidRPr="00064401">
        <w:rPr>
          <w:rFonts w:ascii="Arial" w:hAnsi="Arial" w:cs="Arial"/>
          <w:sz w:val="20"/>
          <w:szCs w:val="20"/>
        </w:rPr>
        <w:t xml:space="preserve"> que construyen el repositorio, junto con el registro de reglas de depuracion, clasificaciones utilizadas y responsable de </w:t>
      </w:r>
      <w:r w:rsidR="00BF5F8A" w:rsidRPr="00064401">
        <w:rPr>
          <w:rFonts w:ascii="Arial" w:hAnsi="Arial" w:cs="Arial"/>
          <w:sz w:val="20"/>
          <w:szCs w:val="20"/>
        </w:rPr>
        <w:t>validación</w:t>
      </w:r>
      <w:r w:rsidRPr="00064401">
        <w:rPr>
          <w:rFonts w:ascii="Arial" w:hAnsi="Arial" w:cs="Arial"/>
          <w:sz w:val="20"/>
          <w:szCs w:val="20"/>
        </w:rPr>
        <w:t xml:space="preserve">. Esta </w:t>
      </w:r>
      <w:r w:rsidR="00BF5F8A" w:rsidRPr="00064401">
        <w:rPr>
          <w:rFonts w:ascii="Arial" w:hAnsi="Arial" w:cs="Arial"/>
          <w:sz w:val="20"/>
          <w:szCs w:val="20"/>
        </w:rPr>
        <w:t>versión</w:t>
      </w:r>
      <w:r w:rsidRPr="00064401">
        <w:rPr>
          <w:rFonts w:ascii="Arial" w:hAnsi="Arial" w:cs="Arial"/>
          <w:sz w:val="20"/>
          <w:szCs w:val="20"/>
        </w:rPr>
        <w:t xml:space="preserve"> del documento presenta las familias de datos y los usos </w:t>
      </w:r>
      <w:r w:rsidR="00BF5F8A" w:rsidRPr="00064401">
        <w:rPr>
          <w:rFonts w:ascii="Arial" w:hAnsi="Arial" w:cs="Arial"/>
          <w:sz w:val="20"/>
          <w:szCs w:val="20"/>
        </w:rPr>
        <w:t>analíticos</w:t>
      </w:r>
      <w:r w:rsidRPr="00064401">
        <w:rPr>
          <w:rFonts w:ascii="Arial" w:hAnsi="Arial" w:cs="Arial"/>
          <w:sz w:val="20"/>
          <w:szCs w:val="20"/>
        </w:rPr>
        <w:t xml:space="preserve"> principales. El inventario </w:t>
      </w:r>
      <w:r w:rsidR="00BF5F8A" w:rsidRPr="00064401">
        <w:rPr>
          <w:rFonts w:ascii="Arial" w:hAnsi="Arial" w:cs="Arial"/>
          <w:sz w:val="20"/>
          <w:szCs w:val="20"/>
        </w:rPr>
        <w:t>técnico</w:t>
      </w:r>
      <w:r w:rsidRPr="00064401">
        <w:rPr>
          <w:rFonts w:ascii="Arial" w:hAnsi="Arial" w:cs="Arial"/>
          <w:sz w:val="20"/>
          <w:szCs w:val="20"/>
        </w:rPr>
        <w:t xml:space="preserve"> completo de tablas, con sus columnas, </w:t>
      </w:r>
      <w:r w:rsidR="00BF5F8A" w:rsidRPr="00064401">
        <w:rPr>
          <w:rFonts w:ascii="Arial" w:hAnsi="Arial" w:cs="Arial"/>
          <w:sz w:val="20"/>
          <w:szCs w:val="20"/>
        </w:rPr>
        <w:t>orígenes</w:t>
      </w:r>
      <w:r w:rsidRPr="00064401">
        <w:rPr>
          <w:rFonts w:ascii="Arial" w:hAnsi="Arial" w:cs="Arial"/>
          <w:sz w:val="20"/>
          <w:szCs w:val="20"/>
        </w:rPr>
        <w:t xml:space="preserve"> y transformaciones aplicadas, se mantiene como documento interno del repositorio y </w:t>
      </w:r>
      <w:r w:rsidR="00BF5F8A" w:rsidRPr="00064401">
        <w:rPr>
          <w:rFonts w:ascii="Arial" w:hAnsi="Arial" w:cs="Arial"/>
          <w:sz w:val="20"/>
          <w:szCs w:val="20"/>
        </w:rPr>
        <w:t>está</w:t>
      </w:r>
      <w:r w:rsidRPr="00064401">
        <w:rPr>
          <w:rFonts w:ascii="Arial" w:hAnsi="Arial" w:cs="Arial"/>
          <w:sz w:val="20"/>
          <w:szCs w:val="20"/>
        </w:rPr>
        <w:t xml:space="preserve"> disponible para </w:t>
      </w:r>
      <w:r w:rsidR="00BF5F8A" w:rsidRPr="00064401">
        <w:rPr>
          <w:rFonts w:ascii="Arial" w:hAnsi="Arial" w:cs="Arial"/>
          <w:sz w:val="20"/>
          <w:szCs w:val="20"/>
        </w:rPr>
        <w:t>verificación</w:t>
      </w:r>
      <w:r w:rsidRPr="00064401">
        <w:rPr>
          <w:rFonts w:ascii="Arial" w:hAnsi="Arial" w:cs="Arial"/>
          <w:sz w:val="20"/>
          <w:szCs w:val="20"/>
        </w:rPr>
        <w:t xml:space="preserve"> por parte de los jurados que lo requieran.</w:t>
      </w:r>
    </w:p>
    <w:p w:rsidR="003D2FB2" w:rsidRPr="00064401" w:rsidRDefault="007557A4">
      <w:pPr>
        <w:jc w:val="both"/>
        <w:rPr>
          <w:rFonts w:ascii="Arial" w:hAnsi="Arial" w:cs="Arial"/>
          <w:sz w:val="20"/>
          <w:szCs w:val="20"/>
        </w:rPr>
      </w:pPr>
      <w:r>
        <w:rPr>
          <w:rFonts w:ascii="Arial" w:hAnsi="Arial"/>
          <w:sz w:val="20"/>
        </w:rPr>
        <w:t>En la práctica, esta trazabilidad ya se encuentra operativa en los procesos de construcción y validación del repositorio. El sistema cuenta con una colección de scripts de extracción, limpieza, homologación y verificación de consistencia entre fuentes. Cada tabla del repositorio puede rastrearse hasta su origen, su fecha de corte y las transformaciones que recibió durante el proceso de carga. Esta infraestructura de pipeline permite que la actualización del sistema, cuando las fuentes oficiales publiquen nuevos periodos, sea un proceso documentado y repetible, no una reconstrucción artesanal.</w:t>
      </w:r>
    </w:p>
    <w:p w:rsidR="003D2FB2" w:rsidRPr="00064401" w:rsidRDefault="007557A4">
      <w:pPr>
        <w:jc w:val="both"/>
        <w:rPr>
          <w:rFonts w:ascii="Arial" w:hAnsi="Arial" w:cs="Arial"/>
          <w:sz w:val="20"/>
          <w:szCs w:val="20"/>
        </w:rPr>
      </w:pPr>
      <w:r>
        <w:rPr>
          <w:rFonts w:ascii="Arial" w:hAnsi="Arial"/>
          <w:sz w:val="20"/>
        </w:rPr>
        <w:t xml:space="preserve">De manera complementaria, el sistema incorpora un módulo especializado para el </w:t>
      </w:r>
      <w:r w:rsidR="00BF5F8A">
        <w:rPr>
          <w:rFonts w:ascii="Arial" w:hAnsi="Arial"/>
          <w:sz w:val="20"/>
        </w:rPr>
        <w:t>análisis</w:t>
      </w:r>
      <w:r>
        <w:rPr>
          <w:rFonts w:ascii="Arial" w:hAnsi="Arial"/>
          <w:sz w:val="20"/>
        </w:rPr>
        <w:t xml:space="preserve"> de </w:t>
      </w:r>
      <w:r w:rsidR="00BF5F8A">
        <w:rPr>
          <w:rFonts w:ascii="Arial" w:hAnsi="Arial"/>
          <w:sz w:val="20"/>
        </w:rPr>
        <w:t>deserción</w:t>
      </w:r>
      <w:r>
        <w:rPr>
          <w:rFonts w:ascii="Arial" w:hAnsi="Arial"/>
          <w:sz w:val="20"/>
        </w:rPr>
        <w:t xml:space="preserve"> estudiantil que consulta datos </w:t>
      </w:r>
      <w:r w:rsidR="00BF5F8A">
        <w:rPr>
          <w:rFonts w:ascii="Arial" w:hAnsi="Arial"/>
          <w:sz w:val="20"/>
        </w:rPr>
        <w:t>históricos</w:t>
      </w:r>
      <w:r>
        <w:rPr>
          <w:rFonts w:ascii="Arial" w:hAnsi="Arial"/>
          <w:sz w:val="20"/>
        </w:rPr>
        <w:t xml:space="preserve"> del Sistema para la </w:t>
      </w:r>
      <w:r w:rsidR="00BF5F8A">
        <w:rPr>
          <w:rFonts w:ascii="Arial" w:hAnsi="Arial"/>
          <w:sz w:val="20"/>
        </w:rPr>
        <w:t>Prevención</w:t>
      </w:r>
      <w:r>
        <w:rPr>
          <w:rFonts w:ascii="Arial" w:hAnsi="Arial"/>
          <w:sz w:val="20"/>
        </w:rPr>
        <w:t xml:space="preserve"> de la </w:t>
      </w:r>
      <w:r w:rsidR="00BF5F8A">
        <w:rPr>
          <w:rFonts w:ascii="Arial" w:hAnsi="Arial"/>
          <w:sz w:val="20"/>
        </w:rPr>
        <w:t>Deserción</w:t>
      </w:r>
      <w:r>
        <w:rPr>
          <w:rFonts w:ascii="Arial" w:hAnsi="Arial"/>
          <w:sz w:val="20"/>
        </w:rPr>
        <w:t xml:space="preserve"> de la </w:t>
      </w:r>
      <w:r w:rsidR="00BF5F8A">
        <w:rPr>
          <w:rFonts w:ascii="Arial" w:hAnsi="Arial"/>
          <w:sz w:val="20"/>
        </w:rPr>
        <w:t>Educación</w:t>
      </w:r>
      <w:r>
        <w:rPr>
          <w:rFonts w:ascii="Arial" w:hAnsi="Arial"/>
          <w:sz w:val="20"/>
        </w:rPr>
        <w:t xml:space="preserve"> Superior (SPADIES), calcula indicadores de </w:t>
      </w:r>
      <w:r w:rsidR="00BF5F8A">
        <w:rPr>
          <w:rFonts w:ascii="Arial" w:hAnsi="Arial"/>
          <w:sz w:val="20"/>
        </w:rPr>
        <w:t>deserción</w:t>
      </w:r>
      <w:r>
        <w:rPr>
          <w:rFonts w:ascii="Arial" w:hAnsi="Arial"/>
          <w:sz w:val="20"/>
        </w:rPr>
        <w:t xml:space="preserve"> por cohorte, eficiencia terminal y balance anual de estudiantes, y permite desglosar estas </w:t>
      </w:r>
      <w:r w:rsidR="00BF5F8A">
        <w:rPr>
          <w:rFonts w:ascii="Arial" w:hAnsi="Arial"/>
          <w:sz w:val="20"/>
        </w:rPr>
        <w:t>métricas</w:t>
      </w:r>
      <w:r>
        <w:rPr>
          <w:rFonts w:ascii="Arial" w:hAnsi="Arial"/>
          <w:sz w:val="20"/>
        </w:rPr>
        <w:t xml:space="preserve"> por programa, nivel de </w:t>
      </w:r>
      <w:r w:rsidR="00BF5F8A">
        <w:rPr>
          <w:rFonts w:ascii="Arial" w:hAnsi="Arial"/>
          <w:sz w:val="20"/>
        </w:rPr>
        <w:t>formación</w:t>
      </w:r>
      <w:r>
        <w:rPr>
          <w:rFonts w:ascii="Arial" w:hAnsi="Arial"/>
          <w:sz w:val="20"/>
        </w:rPr>
        <w:t xml:space="preserve"> y territorio. Este </w:t>
      </w:r>
      <w:r w:rsidR="00BF5F8A">
        <w:rPr>
          <w:rFonts w:ascii="Arial" w:hAnsi="Arial"/>
          <w:sz w:val="20"/>
        </w:rPr>
        <w:t>módulo</w:t>
      </w:r>
      <w:r>
        <w:rPr>
          <w:rFonts w:ascii="Arial" w:hAnsi="Arial"/>
          <w:sz w:val="20"/>
        </w:rPr>
        <w:t xml:space="preserve">, aunque no constituye un predictor individual de abandono, aporta la lectura agregada de permanencia que alimenta las </w:t>
      </w:r>
      <w:r w:rsidR="00BF5F8A">
        <w:rPr>
          <w:rFonts w:ascii="Arial" w:hAnsi="Arial"/>
          <w:sz w:val="20"/>
        </w:rPr>
        <w:t>síntesis</w:t>
      </w:r>
      <w:r>
        <w:rPr>
          <w:rFonts w:ascii="Arial" w:hAnsi="Arial"/>
          <w:sz w:val="20"/>
        </w:rPr>
        <w:t xml:space="preserve"> evaluativas del sistema.</w:t>
      </w:r>
    </w:p>
    <w:p w:rsidR="003D2FB2" w:rsidRPr="00064401" w:rsidRDefault="007557A4">
      <w:pPr>
        <w:rPr>
          <w:rFonts w:ascii="Arial" w:hAnsi="Arial" w:cs="Arial"/>
          <w:sz w:val="20"/>
          <w:szCs w:val="20"/>
        </w:rPr>
      </w:pPr>
      <w:r w:rsidRPr="00064401">
        <w:rPr>
          <w:rFonts w:ascii="Arial" w:hAnsi="Arial" w:cs="Arial"/>
          <w:sz w:val="20"/>
          <w:szCs w:val="20"/>
        </w:rPr>
        <w:br w:type="page"/>
      </w:r>
    </w:p>
    <w:p w:rsidR="003D2FB2" w:rsidRPr="00064401" w:rsidRDefault="007557A4">
      <w:pPr>
        <w:pStyle w:val="Ttulo1"/>
        <w:rPr>
          <w:rFonts w:ascii="Arial" w:hAnsi="Arial" w:cs="Arial"/>
          <w:sz w:val="20"/>
          <w:szCs w:val="20"/>
        </w:rPr>
      </w:pPr>
      <w:r w:rsidRPr="00064401">
        <w:rPr>
          <w:rFonts w:ascii="Arial" w:hAnsi="Arial" w:cs="Arial"/>
          <w:sz w:val="20"/>
          <w:szCs w:val="20"/>
        </w:rPr>
        <w:lastRenderedPageBreak/>
        <w:t>Anexo B. Matriz técnica de decisión para pertinencia y permanencia</w:t>
      </w:r>
    </w:p>
    <w:p w:rsidR="003D2FB2" w:rsidRPr="00064401" w:rsidRDefault="007557A4">
      <w:pPr>
        <w:jc w:val="both"/>
        <w:rPr>
          <w:rFonts w:ascii="Arial" w:hAnsi="Arial" w:cs="Arial"/>
          <w:sz w:val="20"/>
          <w:szCs w:val="20"/>
        </w:rPr>
      </w:pPr>
      <w:r w:rsidRPr="00064401">
        <w:rPr>
          <w:rFonts w:ascii="Arial" w:hAnsi="Arial" w:cs="Arial"/>
          <w:sz w:val="20"/>
          <w:szCs w:val="20"/>
        </w:rPr>
        <w:t>El sistema produce cuatro síntesis evaluativas: académica, laboral, territorial y global. La ponderación documentada asigna 30% a pertinencia académica, 40% a pertinencia laboral, 20% a pertinencia territorial y 10% a tendencias globales. La lógica privilegia empleabilidad y coherencia del mercado educativo, sin perder condiciones de acceso territorial y permanencia.</w:t>
      </w:r>
    </w:p>
    <w:p w:rsidR="003D2FB2" w:rsidRPr="00064401" w:rsidRDefault="007557A4">
      <w:pPr>
        <w:jc w:val="both"/>
        <w:rPr>
          <w:rFonts w:ascii="Arial" w:hAnsi="Arial" w:cs="Arial"/>
          <w:sz w:val="20"/>
          <w:szCs w:val="20"/>
        </w:rPr>
      </w:pPr>
      <w:r>
        <w:rPr>
          <w:rFonts w:ascii="Arial" w:hAnsi="Arial"/>
          <w:sz w:val="20"/>
        </w:rPr>
        <w:t>El sistema traduce esta ponderación en recomendaciones diferenciadas según la combinación de resultados en cada síntesis. Cuando las condiciones académicas y laborales son simultáneamente favorables y el territorio ofrece condiciones de acceso, la recomendación apunta a un programa formal completo. Si la demanda laboral es alta pero el contexto académico muestra saturación, el sistema sugiere microcredenciales o formación continua de ciclo corto. Cuando el territorio impone restricciones de conectividad o acceso, la recomendación se orienta hacia rutas formativas flexibles, con componentes virtuales o híbridos, en lugar de una oferta presencial rígida. En total, el motor de decisión distingue seis tipos de oferta educativa, cada uno con su justificación específica, permitiendo que la recomendación final no sea un número sino un criterio de política académica fundamentado en evidencia.</w:t>
      </w:r>
    </w:p>
    <w:p w:rsidR="003D2FB2" w:rsidRPr="00064401" w:rsidRDefault="007557A4">
      <w:pPr>
        <w:jc w:val="both"/>
        <w:rPr>
          <w:rFonts w:ascii="Arial" w:hAnsi="Arial" w:cs="Arial"/>
          <w:sz w:val="20"/>
          <w:szCs w:val="20"/>
        </w:rPr>
      </w:pPr>
      <w:r>
        <w:rPr>
          <w:rFonts w:ascii="Arial" w:hAnsi="Arial"/>
          <w:sz w:val="20"/>
        </w:rPr>
        <w:t xml:space="preserve">Cada síntesis evaluativa se descompone a su vez en subindicadores que capturan dimensiones complementarias del </w:t>
      </w:r>
      <w:r w:rsidR="00BF5F8A">
        <w:rPr>
          <w:rFonts w:ascii="Arial" w:hAnsi="Arial"/>
          <w:sz w:val="20"/>
        </w:rPr>
        <w:t>fenómeno</w:t>
      </w:r>
      <w:r>
        <w:rPr>
          <w:rFonts w:ascii="Arial" w:hAnsi="Arial"/>
          <w:sz w:val="20"/>
        </w:rPr>
        <w:t xml:space="preserve"> que se quiere medir. El score laboral, que es el de mayor peso en la matriz de </w:t>
      </w:r>
      <w:r w:rsidR="00BF5F8A">
        <w:rPr>
          <w:rFonts w:ascii="Arial" w:hAnsi="Arial"/>
          <w:sz w:val="20"/>
        </w:rPr>
        <w:t>decisión</w:t>
      </w:r>
      <w:r>
        <w:rPr>
          <w:rFonts w:ascii="Arial" w:hAnsi="Arial"/>
          <w:sz w:val="20"/>
        </w:rPr>
        <w:t xml:space="preserve">, no se reduce a una </w:t>
      </w:r>
      <w:r w:rsidR="00BF5F8A">
        <w:rPr>
          <w:rFonts w:ascii="Arial" w:hAnsi="Arial"/>
          <w:sz w:val="20"/>
        </w:rPr>
        <w:t>comparación</w:t>
      </w:r>
      <w:r>
        <w:rPr>
          <w:rFonts w:ascii="Arial" w:hAnsi="Arial"/>
          <w:sz w:val="20"/>
        </w:rPr>
        <w:t xml:space="preserve"> simple entre graduados y vacantes. Integra cuatro componentes: el volumen absoluto de vacantes como </w:t>
      </w:r>
      <w:r w:rsidR="00BF5F8A">
        <w:rPr>
          <w:rFonts w:ascii="Arial" w:hAnsi="Arial"/>
          <w:sz w:val="20"/>
        </w:rPr>
        <w:t>señal</w:t>
      </w:r>
      <w:r>
        <w:rPr>
          <w:rFonts w:ascii="Arial" w:hAnsi="Arial"/>
          <w:sz w:val="20"/>
        </w:rPr>
        <w:t xml:space="preserve"> de mercado activo, el ratio de </w:t>
      </w:r>
      <w:r w:rsidR="00BF5F8A">
        <w:rPr>
          <w:rFonts w:ascii="Arial" w:hAnsi="Arial"/>
          <w:sz w:val="20"/>
        </w:rPr>
        <w:t>absorción</w:t>
      </w:r>
      <w:r>
        <w:rPr>
          <w:rFonts w:ascii="Arial" w:hAnsi="Arial"/>
          <w:sz w:val="20"/>
        </w:rPr>
        <w:t xml:space="preserve"> ajustado para corregir el subreporte de la Agencia </w:t>
      </w:r>
      <w:r w:rsidR="00BF5F8A">
        <w:rPr>
          <w:rFonts w:ascii="Arial" w:hAnsi="Arial"/>
          <w:sz w:val="20"/>
        </w:rPr>
        <w:t>Pública</w:t>
      </w:r>
      <w:r>
        <w:rPr>
          <w:rFonts w:ascii="Arial" w:hAnsi="Arial"/>
          <w:sz w:val="20"/>
        </w:rPr>
        <w:t xml:space="preserve"> de Empleo, la </w:t>
      </w:r>
      <w:r w:rsidR="00BF5F8A">
        <w:rPr>
          <w:rFonts w:ascii="Arial" w:hAnsi="Arial"/>
          <w:sz w:val="20"/>
        </w:rPr>
        <w:t>señal</w:t>
      </w:r>
      <w:r>
        <w:rPr>
          <w:rFonts w:ascii="Arial" w:hAnsi="Arial"/>
          <w:sz w:val="20"/>
        </w:rPr>
        <w:t xml:space="preserve"> salarial como indicador de </w:t>
      </w:r>
      <w:r w:rsidR="00BF5F8A">
        <w:rPr>
          <w:rFonts w:ascii="Arial" w:hAnsi="Arial"/>
          <w:sz w:val="20"/>
        </w:rPr>
        <w:t>valoración</w:t>
      </w:r>
      <w:r>
        <w:rPr>
          <w:rFonts w:ascii="Arial" w:hAnsi="Arial"/>
          <w:sz w:val="20"/>
        </w:rPr>
        <w:t xml:space="preserve"> del mercado por la </w:t>
      </w:r>
      <w:r w:rsidR="00BF5F8A">
        <w:rPr>
          <w:rFonts w:ascii="Arial" w:hAnsi="Arial"/>
          <w:sz w:val="20"/>
        </w:rPr>
        <w:t>formación</w:t>
      </w:r>
      <w:r>
        <w:rPr>
          <w:rFonts w:ascii="Arial" w:hAnsi="Arial"/>
          <w:sz w:val="20"/>
        </w:rPr>
        <w:t xml:space="preserve">, y la densidad de competencias asociadas como evidencia de que el perfil ocupacional </w:t>
      </w:r>
      <w:r w:rsidR="00BF5F8A">
        <w:rPr>
          <w:rFonts w:ascii="Arial" w:hAnsi="Arial"/>
          <w:sz w:val="20"/>
        </w:rPr>
        <w:t>está</w:t>
      </w:r>
      <w:r>
        <w:rPr>
          <w:rFonts w:ascii="Arial" w:hAnsi="Arial"/>
          <w:sz w:val="20"/>
        </w:rPr>
        <w:t xml:space="preserve"> definido. A estos cuatro componentes se suma un factor de ajuste por la </w:t>
      </w:r>
      <w:r w:rsidR="00BF5F8A">
        <w:rPr>
          <w:rFonts w:ascii="Arial" w:hAnsi="Arial"/>
          <w:sz w:val="20"/>
        </w:rPr>
        <w:t>alineación</w:t>
      </w:r>
      <w:r>
        <w:rPr>
          <w:rFonts w:ascii="Arial" w:hAnsi="Arial"/>
          <w:sz w:val="20"/>
        </w:rPr>
        <w:t xml:space="preserve"> entre los sistemas SNIES y SIET, que premia las </w:t>
      </w:r>
      <w:r w:rsidR="00BF5F8A">
        <w:rPr>
          <w:rFonts w:ascii="Arial" w:hAnsi="Arial"/>
          <w:sz w:val="20"/>
        </w:rPr>
        <w:t>áreas</w:t>
      </w:r>
      <w:r>
        <w:rPr>
          <w:rFonts w:ascii="Arial" w:hAnsi="Arial"/>
          <w:sz w:val="20"/>
        </w:rPr>
        <w:t xml:space="preserve"> donde la </w:t>
      </w:r>
      <w:r w:rsidR="00BF5F8A">
        <w:rPr>
          <w:rFonts w:ascii="Arial" w:hAnsi="Arial"/>
          <w:sz w:val="20"/>
        </w:rPr>
        <w:t>educación</w:t>
      </w:r>
      <w:r>
        <w:rPr>
          <w:rFonts w:ascii="Arial" w:hAnsi="Arial"/>
          <w:sz w:val="20"/>
        </w:rPr>
        <w:t xml:space="preserve"> formal y la </w:t>
      </w:r>
      <w:r w:rsidR="00BF5F8A">
        <w:rPr>
          <w:rFonts w:ascii="Arial" w:hAnsi="Arial"/>
          <w:sz w:val="20"/>
        </w:rPr>
        <w:t>formación</w:t>
      </w:r>
      <w:r>
        <w:rPr>
          <w:rFonts w:ascii="Arial" w:hAnsi="Arial"/>
          <w:sz w:val="20"/>
        </w:rPr>
        <w:t xml:space="preserve"> para el trabajo muestran complementariedad en lugar de competencia. El resultado es un puntaje laboral que no depende de una sola variable sino de la convergencia de </w:t>
      </w:r>
      <w:r w:rsidR="00BF5F8A">
        <w:rPr>
          <w:rFonts w:ascii="Arial" w:hAnsi="Arial"/>
          <w:sz w:val="20"/>
        </w:rPr>
        <w:t>múltiples</w:t>
      </w:r>
      <w:r>
        <w:rPr>
          <w:rFonts w:ascii="Arial" w:hAnsi="Arial"/>
          <w:sz w:val="20"/>
        </w:rPr>
        <w:t xml:space="preserve"> </w:t>
      </w:r>
      <w:r w:rsidR="00BF5F8A">
        <w:rPr>
          <w:rFonts w:ascii="Arial" w:hAnsi="Arial"/>
          <w:sz w:val="20"/>
        </w:rPr>
        <w:t>señales</w:t>
      </w:r>
      <w:r>
        <w:rPr>
          <w:rFonts w:ascii="Arial" w:hAnsi="Arial"/>
          <w:sz w:val="20"/>
        </w:rPr>
        <w:t xml:space="preserve"> del ecosistema educativo y productivo.</w:t>
      </w:r>
    </w:p>
    <w:tbl>
      <w:tblPr>
        <w:tblW w:w="0" w:type="auto"/>
        <w:jc w:val="center"/>
        <w:tblLook w:val="04A0" w:firstRow="1" w:lastRow="0" w:firstColumn="1" w:lastColumn="0" w:noHBand="0" w:noVBand="1"/>
      </w:tblPr>
      <w:tblGrid>
        <w:gridCol w:w="2393"/>
        <w:gridCol w:w="1401"/>
        <w:gridCol w:w="2835"/>
        <w:gridCol w:w="2991"/>
      </w:tblGrid>
      <w:tr w:rsidR="003D2FB2" w:rsidRPr="00064401" w:rsidTr="006E2C2A">
        <w:trPr>
          <w:tblHeader/>
          <w:jc w:val="center"/>
        </w:trPr>
        <w:tc>
          <w:tcPr>
            <w:tcW w:w="2393"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Síntesis</w:t>
            </w:r>
          </w:p>
        </w:tc>
        <w:tc>
          <w:tcPr>
            <w:tcW w:w="1401"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Peso</w:t>
            </w:r>
          </w:p>
        </w:tc>
        <w:tc>
          <w:tcPr>
            <w:tcW w:w="2835"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Pregunta de decisión</w:t>
            </w:r>
          </w:p>
        </w:tc>
        <w:tc>
          <w:tcPr>
            <w:tcW w:w="2991"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Indicadores asociados</w:t>
            </w:r>
          </w:p>
        </w:tc>
      </w:tr>
      <w:tr w:rsidR="003D2FB2" w:rsidRPr="00064401" w:rsidTr="006E2C2A">
        <w:trPr>
          <w:jc w:val="center"/>
        </w:trPr>
        <w:tc>
          <w:tcPr>
            <w:tcW w:w="23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Académica</w:t>
            </w:r>
          </w:p>
        </w:tc>
        <w:tc>
          <w:tcPr>
            <w:tcW w:w="1401"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30%</w:t>
            </w:r>
          </w:p>
        </w:tc>
        <w:tc>
          <w:tcPr>
            <w:tcW w:w="28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¿El mercado educativo está saturado o hay oportunidad?</w:t>
            </w:r>
          </w:p>
        </w:tc>
        <w:tc>
          <w:tcPr>
            <w:tcW w:w="2991"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HHI, CAGR, programas activos, IES oferentes, modalidad.</w:t>
            </w:r>
          </w:p>
        </w:tc>
      </w:tr>
      <w:tr w:rsidR="003D2FB2" w:rsidRPr="00064401" w:rsidTr="006E2C2A">
        <w:trPr>
          <w:jc w:val="center"/>
        </w:trPr>
        <w:tc>
          <w:tcPr>
            <w:tcW w:w="239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Laboral</w:t>
            </w:r>
          </w:p>
        </w:tc>
        <w:tc>
          <w:tcPr>
            <w:tcW w:w="1401"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40%</w:t>
            </w:r>
          </w:p>
        </w:tc>
        <w:tc>
          <w:tcPr>
            <w:tcW w:w="283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¿Los egresados tendrán oportunidades de inserción?</w:t>
            </w:r>
          </w:p>
        </w:tc>
        <w:tc>
          <w:tcPr>
            <w:tcW w:w="2991"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Vacantes, graduados, ratio de absorción, ocupaciones CUOC, competencias.</w:t>
            </w:r>
          </w:p>
        </w:tc>
      </w:tr>
      <w:tr w:rsidR="003D2FB2" w:rsidRPr="00064401" w:rsidTr="006E2C2A">
        <w:trPr>
          <w:jc w:val="center"/>
        </w:trPr>
        <w:tc>
          <w:tcPr>
            <w:tcW w:w="239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Territorial</w:t>
            </w:r>
          </w:p>
        </w:tc>
        <w:tc>
          <w:tcPr>
            <w:tcW w:w="1401"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20%</w:t>
            </w:r>
          </w:p>
        </w:tc>
        <w:tc>
          <w:tcPr>
            <w:tcW w:w="2835"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¿El territorio tiene condiciones para la oferta?</w:t>
            </w:r>
          </w:p>
        </w:tc>
        <w:tc>
          <w:tcPr>
            <w:tcW w:w="2991"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Conectividad, cobertura 4G, DIVIPOLA, PDET, demanda educativa.</w:t>
            </w:r>
          </w:p>
        </w:tc>
      </w:tr>
      <w:tr w:rsidR="003D2FB2" w:rsidRPr="00064401" w:rsidTr="006E2C2A">
        <w:trPr>
          <w:jc w:val="center"/>
        </w:trPr>
        <w:tc>
          <w:tcPr>
            <w:tcW w:w="239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Global</w:t>
            </w:r>
          </w:p>
        </w:tc>
        <w:tc>
          <w:tcPr>
            <w:tcW w:w="1401"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10%</w:t>
            </w:r>
          </w:p>
        </w:tc>
        <w:tc>
          <w:tcPr>
            <w:tcW w:w="2835"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¿Las tendencias macro apoyan la decisión?</w:t>
            </w:r>
          </w:p>
        </w:tc>
        <w:tc>
          <w:tcPr>
            <w:tcW w:w="2991"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Digitalización, IA, sostenibilidad, transformaciones sectoriales.</w:t>
            </w:r>
          </w:p>
        </w:tc>
      </w:tr>
    </w:tbl>
    <w:p w:rsidR="003D2FB2" w:rsidRPr="00064401" w:rsidRDefault="007557A4">
      <w:pPr>
        <w:pStyle w:val="Ttulo2"/>
        <w:rPr>
          <w:rFonts w:ascii="Arial" w:hAnsi="Arial" w:cs="Arial"/>
          <w:sz w:val="20"/>
          <w:szCs w:val="20"/>
        </w:rPr>
      </w:pPr>
      <w:r w:rsidRPr="00064401">
        <w:rPr>
          <w:rFonts w:ascii="Arial" w:hAnsi="Arial" w:cs="Arial"/>
          <w:sz w:val="20"/>
          <w:szCs w:val="20"/>
        </w:rPr>
        <w:t>Semáforo de decisión</w:t>
      </w:r>
    </w:p>
    <w:tbl>
      <w:tblPr>
        <w:tblW w:w="0" w:type="auto"/>
        <w:jc w:val="center"/>
        <w:tblLook w:val="04A0" w:firstRow="1" w:lastRow="0" w:firstColumn="1" w:lastColumn="0" w:noHBand="0" w:noVBand="1"/>
      </w:tblPr>
      <w:tblGrid>
        <w:gridCol w:w="3184"/>
        <w:gridCol w:w="2453"/>
        <w:gridCol w:w="3983"/>
      </w:tblGrid>
      <w:tr w:rsidR="003D2FB2" w:rsidRPr="00064401" w:rsidTr="006E2C2A">
        <w:trPr>
          <w:tblHeader/>
          <w:jc w:val="center"/>
        </w:trPr>
        <w:tc>
          <w:tcPr>
            <w:tcW w:w="3184"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Rango</w:t>
            </w:r>
          </w:p>
        </w:tc>
        <w:tc>
          <w:tcPr>
            <w:tcW w:w="2453"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Decisión</w:t>
            </w:r>
          </w:p>
        </w:tc>
        <w:tc>
          <w:tcPr>
            <w:tcW w:w="3983"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Interpretación</w:t>
            </w:r>
          </w:p>
        </w:tc>
      </w:tr>
      <w:tr w:rsidR="003D2FB2" w:rsidRPr="00064401" w:rsidTr="006E2C2A">
        <w:trPr>
          <w:jc w:val="center"/>
        </w:trPr>
        <w:tc>
          <w:tcPr>
            <w:tcW w:w="318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Puntaje final &gt;= 80</w:t>
            </w:r>
          </w:p>
        </w:tc>
        <w:tc>
          <w:tcPr>
            <w:tcW w:w="245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Ofertar</w:t>
            </w:r>
          </w:p>
        </w:tc>
        <w:tc>
          <w:tcPr>
            <w:tcW w:w="398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La evidencia integrada respalda pertinencia alta.</w:t>
            </w:r>
          </w:p>
        </w:tc>
      </w:tr>
      <w:tr w:rsidR="003D2FB2" w:rsidRPr="00064401" w:rsidTr="006E2C2A">
        <w:trPr>
          <w:jc w:val="center"/>
        </w:trPr>
        <w:tc>
          <w:tcPr>
            <w:tcW w:w="3184"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Puntaje final 50-79</w:t>
            </w:r>
          </w:p>
        </w:tc>
        <w:tc>
          <w:tcPr>
            <w:tcW w:w="245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Ofertar con ajustes</w:t>
            </w:r>
          </w:p>
        </w:tc>
        <w:tc>
          <w:tcPr>
            <w:tcW w:w="3983"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Existe oportunidad, pero requiere ajustes curriculares, territoriales o de modalidad.</w:t>
            </w:r>
          </w:p>
        </w:tc>
      </w:tr>
      <w:tr w:rsidR="003D2FB2" w:rsidRPr="00064401" w:rsidTr="006E2C2A">
        <w:trPr>
          <w:jc w:val="center"/>
        </w:trPr>
        <w:tc>
          <w:tcPr>
            <w:tcW w:w="3184"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lastRenderedPageBreak/>
              <w:t>Puntaje final &lt; 50</w:t>
            </w:r>
          </w:p>
        </w:tc>
        <w:tc>
          <w:tcPr>
            <w:tcW w:w="245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Revaluar</w:t>
            </w:r>
          </w:p>
        </w:tc>
        <w:tc>
          <w:tcPr>
            <w:tcW w:w="3983"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La evidencia no respalda una decisión de oferta sin estudio adicional.</w:t>
            </w:r>
          </w:p>
        </w:tc>
      </w:tr>
    </w:tbl>
    <w:p w:rsidR="003D2FB2" w:rsidRPr="00064401" w:rsidRDefault="007557A4">
      <w:pPr>
        <w:rPr>
          <w:rFonts w:ascii="Arial" w:hAnsi="Arial" w:cs="Arial"/>
          <w:sz w:val="20"/>
          <w:szCs w:val="20"/>
        </w:rPr>
      </w:pPr>
      <w:r w:rsidRPr="00064401">
        <w:rPr>
          <w:rFonts w:ascii="Arial" w:hAnsi="Arial" w:cs="Arial"/>
          <w:sz w:val="20"/>
          <w:szCs w:val="20"/>
        </w:rPr>
        <w:br w:type="page"/>
      </w:r>
    </w:p>
    <w:p w:rsidR="003D2FB2" w:rsidRPr="00064401" w:rsidRDefault="007557A4">
      <w:pPr>
        <w:pStyle w:val="Ttulo1"/>
        <w:rPr>
          <w:rFonts w:ascii="Arial" w:hAnsi="Arial" w:cs="Arial"/>
          <w:sz w:val="20"/>
          <w:szCs w:val="20"/>
        </w:rPr>
      </w:pPr>
      <w:r w:rsidRPr="00064401">
        <w:rPr>
          <w:rFonts w:ascii="Arial" w:hAnsi="Arial" w:cs="Arial"/>
          <w:sz w:val="20"/>
          <w:szCs w:val="20"/>
        </w:rPr>
        <w:lastRenderedPageBreak/>
        <w:t>Anexo C. Ruta de evolución del componente de deserción</w:t>
      </w:r>
    </w:p>
    <w:p w:rsidR="003D2FB2" w:rsidRPr="00064401" w:rsidRDefault="007557A4">
      <w:pPr>
        <w:jc w:val="both"/>
        <w:rPr>
          <w:rFonts w:ascii="Arial" w:hAnsi="Arial" w:cs="Arial"/>
          <w:sz w:val="20"/>
          <w:szCs w:val="20"/>
        </w:rPr>
      </w:pPr>
      <w:r w:rsidRPr="00064401">
        <w:rPr>
          <w:rFonts w:ascii="Arial" w:hAnsi="Arial" w:cs="Arial"/>
          <w:sz w:val="20"/>
          <w:szCs w:val="20"/>
        </w:rPr>
        <w:t xml:space="preserve">La siguiente iteración debe ampliar el componente de </w:t>
      </w:r>
      <w:r w:rsidR="00BF5F8A" w:rsidRPr="00064401">
        <w:rPr>
          <w:rFonts w:ascii="Arial" w:hAnsi="Arial" w:cs="Arial"/>
          <w:sz w:val="20"/>
          <w:szCs w:val="20"/>
        </w:rPr>
        <w:t>deserción</w:t>
      </w:r>
      <w:r w:rsidRPr="00064401">
        <w:rPr>
          <w:rFonts w:ascii="Arial" w:hAnsi="Arial" w:cs="Arial"/>
          <w:sz w:val="20"/>
          <w:szCs w:val="20"/>
        </w:rPr>
        <w:t xml:space="preserve"> desde </w:t>
      </w:r>
      <w:r w:rsidR="00BF5F8A" w:rsidRPr="00064401">
        <w:rPr>
          <w:rFonts w:ascii="Arial" w:hAnsi="Arial" w:cs="Arial"/>
          <w:sz w:val="20"/>
          <w:szCs w:val="20"/>
        </w:rPr>
        <w:t>analítica</w:t>
      </w:r>
      <w:r w:rsidRPr="00064401">
        <w:rPr>
          <w:rFonts w:ascii="Arial" w:hAnsi="Arial" w:cs="Arial"/>
          <w:sz w:val="20"/>
          <w:szCs w:val="20"/>
        </w:rPr>
        <w:t xml:space="preserve"> contextual hacia modelado predictivo supervisado. Esta </w:t>
      </w:r>
      <w:r w:rsidR="00BF5F8A" w:rsidRPr="00064401">
        <w:rPr>
          <w:rFonts w:ascii="Arial" w:hAnsi="Arial" w:cs="Arial"/>
          <w:sz w:val="20"/>
          <w:szCs w:val="20"/>
        </w:rPr>
        <w:t>evolución</w:t>
      </w:r>
      <w:r w:rsidRPr="00064401">
        <w:rPr>
          <w:rFonts w:ascii="Arial" w:hAnsi="Arial" w:cs="Arial"/>
          <w:sz w:val="20"/>
          <w:szCs w:val="20"/>
        </w:rPr>
        <w:t xml:space="preserve"> no parte de cero: el sistema ya cuenta con un </w:t>
      </w:r>
      <w:r w:rsidR="00BF5F8A" w:rsidRPr="00064401">
        <w:rPr>
          <w:rFonts w:ascii="Arial" w:hAnsi="Arial" w:cs="Arial"/>
          <w:sz w:val="20"/>
          <w:szCs w:val="20"/>
        </w:rPr>
        <w:t>módulo</w:t>
      </w:r>
      <w:r w:rsidRPr="00064401">
        <w:rPr>
          <w:rFonts w:ascii="Arial" w:hAnsi="Arial" w:cs="Arial"/>
          <w:sz w:val="20"/>
          <w:szCs w:val="20"/>
        </w:rPr>
        <w:t xml:space="preserve"> especializado que consulta datos </w:t>
      </w:r>
      <w:r w:rsidR="00BF5F8A" w:rsidRPr="00064401">
        <w:rPr>
          <w:rFonts w:ascii="Arial" w:hAnsi="Arial" w:cs="Arial"/>
          <w:sz w:val="20"/>
          <w:szCs w:val="20"/>
        </w:rPr>
        <w:t>históricos</w:t>
      </w:r>
      <w:r w:rsidRPr="00064401">
        <w:rPr>
          <w:rFonts w:ascii="Arial" w:hAnsi="Arial" w:cs="Arial"/>
          <w:sz w:val="20"/>
          <w:szCs w:val="20"/>
        </w:rPr>
        <w:t xml:space="preserve"> de </w:t>
      </w:r>
      <w:r w:rsidR="00BF5F8A" w:rsidRPr="00064401">
        <w:rPr>
          <w:rFonts w:ascii="Arial" w:hAnsi="Arial" w:cs="Arial"/>
          <w:sz w:val="20"/>
          <w:szCs w:val="20"/>
        </w:rPr>
        <w:t>deserción</w:t>
      </w:r>
      <w:r w:rsidRPr="00064401">
        <w:rPr>
          <w:rFonts w:ascii="Arial" w:hAnsi="Arial" w:cs="Arial"/>
          <w:sz w:val="20"/>
          <w:szCs w:val="20"/>
        </w:rPr>
        <w:t xml:space="preserve"> por cohorte del SPADIES, calcula indicadores de eficiencia terminal y balance anual, y los integra con el resto de variables del repositorio. La base de datos contiene series temporales de </w:t>
      </w:r>
      <w:r w:rsidR="00BF5F8A" w:rsidRPr="00064401">
        <w:rPr>
          <w:rFonts w:ascii="Arial" w:hAnsi="Arial" w:cs="Arial"/>
          <w:sz w:val="20"/>
          <w:szCs w:val="20"/>
        </w:rPr>
        <w:t>deserción</w:t>
      </w:r>
      <w:r w:rsidRPr="00064401">
        <w:rPr>
          <w:rFonts w:ascii="Arial" w:hAnsi="Arial" w:cs="Arial"/>
          <w:sz w:val="20"/>
          <w:szCs w:val="20"/>
        </w:rPr>
        <w:t xml:space="preserve"> desagregadas por nivel de </w:t>
      </w:r>
      <w:r w:rsidR="00BF5F8A" w:rsidRPr="00064401">
        <w:rPr>
          <w:rFonts w:ascii="Arial" w:hAnsi="Arial" w:cs="Arial"/>
          <w:sz w:val="20"/>
          <w:szCs w:val="20"/>
        </w:rPr>
        <w:t>formación</w:t>
      </w:r>
      <w:r w:rsidRPr="00064401">
        <w:rPr>
          <w:rFonts w:ascii="Arial" w:hAnsi="Arial" w:cs="Arial"/>
          <w:sz w:val="20"/>
          <w:szCs w:val="20"/>
        </w:rPr>
        <w:t xml:space="preserve">, lo que proporciona la materia prima para el entrenamiento de modelos. El camino pendiente consiste en definir la variable objetivo con </w:t>
      </w:r>
      <w:r w:rsidR="00BF5F8A" w:rsidRPr="00064401">
        <w:rPr>
          <w:rFonts w:ascii="Arial" w:hAnsi="Arial" w:cs="Arial"/>
          <w:sz w:val="20"/>
          <w:szCs w:val="20"/>
        </w:rPr>
        <w:t>precisión</w:t>
      </w:r>
      <w:r w:rsidRPr="00064401">
        <w:rPr>
          <w:rFonts w:ascii="Arial" w:hAnsi="Arial" w:cs="Arial"/>
          <w:sz w:val="20"/>
          <w:szCs w:val="20"/>
        </w:rPr>
        <w:t xml:space="preserve"> </w:t>
      </w:r>
      <w:r w:rsidR="00BF5F8A" w:rsidRPr="00064401">
        <w:rPr>
          <w:rFonts w:ascii="Arial" w:hAnsi="Arial" w:cs="Arial"/>
          <w:sz w:val="20"/>
          <w:szCs w:val="20"/>
        </w:rPr>
        <w:t>metodológica</w:t>
      </w:r>
      <w:r w:rsidRPr="00064401">
        <w:rPr>
          <w:rFonts w:ascii="Arial" w:hAnsi="Arial" w:cs="Arial"/>
          <w:sz w:val="20"/>
          <w:szCs w:val="20"/>
        </w:rPr>
        <w:t xml:space="preserve">, preparar una matriz de entrenamiento que incorpore variables </w:t>
      </w:r>
      <w:r w:rsidR="00BF5F8A" w:rsidRPr="00064401">
        <w:rPr>
          <w:rFonts w:ascii="Arial" w:hAnsi="Arial" w:cs="Arial"/>
          <w:sz w:val="20"/>
          <w:szCs w:val="20"/>
        </w:rPr>
        <w:t>académicas</w:t>
      </w:r>
      <w:r w:rsidRPr="00064401">
        <w:rPr>
          <w:rFonts w:ascii="Arial" w:hAnsi="Arial" w:cs="Arial"/>
          <w:sz w:val="20"/>
          <w:szCs w:val="20"/>
        </w:rPr>
        <w:t xml:space="preserve">, territoriales y de modalidad sin filtraciones de </w:t>
      </w:r>
      <w:r w:rsidR="00BF5F8A" w:rsidRPr="00064401">
        <w:rPr>
          <w:rFonts w:ascii="Arial" w:hAnsi="Arial" w:cs="Arial"/>
          <w:sz w:val="20"/>
          <w:szCs w:val="20"/>
        </w:rPr>
        <w:t>información</w:t>
      </w:r>
      <w:r w:rsidRPr="00064401">
        <w:rPr>
          <w:rFonts w:ascii="Arial" w:hAnsi="Arial" w:cs="Arial"/>
          <w:sz w:val="20"/>
          <w:szCs w:val="20"/>
        </w:rPr>
        <w:t xml:space="preserve">, y evaluar algoritmos de </w:t>
      </w:r>
      <w:r w:rsidR="00BF5F8A" w:rsidRPr="00064401">
        <w:rPr>
          <w:rFonts w:ascii="Arial" w:hAnsi="Arial" w:cs="Arial"/>
          <w:sz w:val="20"/>
          <w:szCs w:val="20"/>
        </w:rPr>
        <w:t>clasificación</w:t>
      </w:r>
      <w:r w:rsidRPr="00064401">
        <w:rPr>
          <w:rFonts w:ascii="Arial" w:hAnsi="Arial" w:cs="Arial"/>
          <w:sz w:val="20"/>
          <w:szCs w:val="20"/>
        </w:rPr>
        <w:t xml:space="preserve"> con </w:t>
      </w:r>
      <w:r w:rsidR="00BF5F8A" w:rsidRPr="00064401">
        <w:rPr>
          <w:rFonts w:ascii="Arial" w:hAnsi="Arial" w:cs="Arial"/>
          <w:sz w:val="20"/>
          <w:szCs w:val="20"/>
        </w:rPr>
        <w:t>métricas</w:t>
      </w:r>
      <w:r w:rsidRPr="00064401">
        <w:rPr>
          <w:rFonts w:ascii="Arial" w:hAnsi="Arial" w:cs="Arial"/>
          <w:sz w:val="20"/>
          <w:szCs w:val="20"/>
        </w:rPr>
        <w:t xml:space="preserve"> </w:t>
      </w:r>
      <w:r w:rsidR="00BF5F8A" w:rsidRPr="00064401">
        <w:rPr>
          <w:rFonts w:ascii="Arial" w:hAnsi="Arial" w:cs="Arial"/>
          <w:sz w:val="20"/>
          <w:szCs w:val="20"/>
        </w:rPr>
        <w:t>estándar</w:t>
      </w:r>
      <w:r w:rsidRPr="00064401">
        <w:rPr>
          <w:rFonts w:ascii="Arial" w:hAnsi="Arial" w:cs="Arial"/>
          <w:sz w:val="20"/>
          <w:szCs w:val="20"/>
        </w:rPr>
        <w:t xml:space="preserve"> de </w:t>
      </w:r>
      <w:r w:rsidR="00BF5F8A" w:rsidRPr="00064401">
        <w:rPr>
          <w:rFonts w:ascii="Arial" w:hAnsi="Arial" w:cs="Arial"/>
          <w:sz w:val="20"/>
          <w:szCs w:val="20"/>
        </w:rPr>
        <w:t>validación</w:t>
      </w:r>
      <w:r w:rsidRPr="00064401">
        <w:rPr>
          <w:rFonts w:ascii="Arial" w:hAnsi="Arial" w:cs="Arial"/>
          <w:sz w:val="20"/>
          <w:szCs w:val="20"/>
        </w:rPr>
        <w:t xml:space="preserve">, todo ello bajo salvaguardas de privacidad y con mecanismos de </w:t>
      </w:r>
      <w:r w:rsidR="00BF5F8A" w:rsidRPr="00064401">
        <w:rPr>
          <w:rFonts w:ascii="Arial" w:hAnsi="Arial" w:cs="Arial"/>
          <w:sz w:val="20"/>
          <w:szCs w:val="20"/>
        </w:rPr>
        <w:t>interoperabilidad</w:t>
      </w:r>
      <w:r w:rsidRPr="00064401">
        <w:rPr>
          <w:rFonts w:ascii="Arial" w:hAnsi="Arial" w:cs="Arial"/>
          <w:sz w:val="20"/>
          <w:szCs w:val="20"/>
        </w:rPr>
        <w:t xml:space="preserve"> que permitan comprender los factores asociados al riesgo.</w:t>
      </w:r>
    </w:p>
    <w:tbl>
      <w:tblPr>
        <w:tblW w:w="0" w:type="auto"/>
        <w:jc w:val="center"/>
        <w:tblLook w:val="04A0" w:firstRow="1" w:lastRow="0" w:firstColumn="1" w:lastColumn="0" w:noHBand="0" w:noVBand="1"/>
      </w:tblPr>
      <w:tblGrid>
        <w:gridCol w:w="3221"/>
        <w:gridCol w:w="3201"/>
        <w:gridCol w:w="3198"/>
      </w:tblGrid>
      <w:tr w:rsidR="003D2FB2" w:rsidRPr="00064401" w:rsidTr="00CB12E8">
        <w:trPr>
          <w:tblHeader/>
          <w:jc w:val="center"/>
        </w:trPr>
        <w:tc>
          <w:tcPr>
            <w:tcW w:w="3221"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Fase futura</w:t>
            </w:r>
          </w:p>
        </w:tc>
        <w:tc>
          <w:tcPr>
            <w:tcW w:w="3201"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Desarrollo requerido</w:t>
            </w:r>
          </w:p>
        </w:tc>
        <w:tc>
          <w:tcPr>
            <w:tcW w:w="3198" w:type="dxa"/>
            <w:tcBorders>
              <w:top w:val="single" w:sz="4" w:space="0" w:color="D9E2F3"/>
              <w:left w:val="single" w:sz="4" w:space="0" w:color="D9E2F3"/>
              <w:bottom w:val="single" w:sz="4" w:space="0" w:color="D9E2F3"/>
              <w:right w:val="single" w:sz="4" w:space="0" w:color="D9E2F3"/>
            </w:tcBorders>
            <w:shd w:val="clear" w:color="auto" w:fill="0B2E63"/>
          </w:tcPr>
          <w:p w:rsidR="003D2FB2" w:rsidRPr="00064401" w:rsidRDefault="007557A4">
            <w:pPr>
              <w:rPr>
                <w:rFonts w:ascii="Arial" w:hAnsi="Arial" w:cs="Arial"/>
                <w:sz w:val="20"/>
                <w:szCs w:val="20"/>
              </w:rPr>
            </w:pPr>
            <w:r w:rsidRPr="00064401">
              <w:rPr>
                <w:rFonts w:ascii="Arial" w:hAnsi="Arial" w:cs="Arial"/>
                <w:b/>
                <w:color w:val="FFFFFF"/>
                <w:sz w:val="20"/>
                <w:szCs w:val="20"/>
              </w:rPr>
              <w:t>Métrica esperada</w:t>
            </w:r>
          </w:p>
        </w:tc>
      </w:tr>
      <w:tr w:rsidR="003D2FB2" w:rsidRPr="00064401" w:rsidTr="00CB12E8">
        <w:trPr>
          <w:jc w:val="center"/>
        </w:trPr>
        <w:tc>
          <w:tcPr>
            <w:tcW w:w="3221"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Definición de variable objetivo</w:t>
            </w:r>
          </w:p>
        </w:tc>
        <w:tc>
          <w:tcPr>
            <w:tcW w:w="3201"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Precisar si el riesgo se estima por programa, cohorte, nivel, modalidad o territorio.</w:t>
            </w:r>
          </w:p>
        </w:tc>
        <w:tc>
          <w:tcPr>
            <w:tcW w:w="3198"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 xml:space="preserve">Variable </w:t>
            </w:r>
            <w:r w:rsidR="00CB12E8" w:rsidRPr="00064401">
              <w:rPr>
                <w:rFonts w:ascii="Arial" w:hAnsi="Arial" w:cs="Arial"/>
                <w:sz w:val="20"/>
                <w:szCs w:val="20"/>
              </w:rPr>
              <w:t>objetivo-documentada</w:t>
            </w:r>
            <w:r w:rsidRPr="00064401">
              <w:rPr>
                <w:rFonts w:ascii="Arial" w:hAnsi="Arial" w:cs="Arial"/>
                <w:sz w:val="20"/>
                <w:szCs w:val="20"/>
              </w:rPr>
              <w:t xml:space="preserve"> y reproducible.</w:t>
            </w:r>
          </w:p>
        </w:tc>
      </w:tr>
      <w:tr w:rsidR="003D2FB2" w:rsidRPr="00064401" w:rsidTr="00CB12E8">
        <w:trPr>
          <w:jc w:val="center"/>
        </w:trPr>
        <w:tc>
          <w:tcPr>
            <w:tcW w:w="3221"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Preparación de base supervisada</w:t>
            </w:r>
          </w:p>
        </w:tc>
        <w:tc>
          <w:tcPr>
            <w:tcW w:w="3201"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Integrar deserción histórica con variables académicas, territoriales, modalidad, desempeño agregado y oferta.</w:t>
            </w:r>
          </w:p>
        </w:tc>
        <w:tc>
          <w:tcPr>
            <w:tcW w:w="3198"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Matriz analítica validada y sin filtraciones de información.</w:t>
            </w:r>
          </w:p>
        </w:tc>
      </w:tr>
      <w:tr w:rsidR="003D2FB2" w:rsidRPr="00064401" w:rsidTr="00CB12E8">
        <w:trPr>
          <w:jc w:val="center"/>
        </w:trPr>
        <w:tc>
          <w:tcPr>
            <w:tcW w:w="3221"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Comparación de algoritmos</w:t>
            </w:r>
          </w:p>
        </w:tc>
        <w:tc>
          <w:tcPr>
            <w:tcW w:w="3201"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Evaluar regresión logística, Random Forest, Gradient Boosting y modelos de clasificación explicables.</w:t>
            </w:r>
          </w:p>
        </w:tc>
        <w:tc>
          <w:tcPr>
            <w:tcW w:w="3198"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Accuracy, recall, F1, AUC y matriz de confusión.</w:t>
            </w:r>
          </w:p>
        </w:tc>
      </w:tr>
      <w:tr w:rsidR="003D2FB2" w:rsidRPr="00064401" w:rsidTr="00CB12E8">
        <w:trPr>
          <w:jc w:val="center"/>
        </w:trPr>
        <w:tc>
          <w:tcPr>
            <w:tcW w:w="3221"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Interpretabilidad</w:t>
            </w:r>
          </w:p>
        </w:tc>
        <w:tc>
          <w:tcPr>
            <w:tcW w:w="3201"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Identificar variables de mayor contribución al riesgo y reglas comprensibles para usuarios institucionales.</w:t>
            </w:r>
          </w:p>
        </w:tc>
        <w:tc>
          <w:tcPr>
            <w:tcW w:w="3198" w:type="dxa"/>
            <w:tcBorders>
              <w:top w:val="single" w:sz="4" w:space="0" w:color="D9E2F3"/>
              <w:left w:val="single" w:sz="4" w:space="0" w:color="D9E2F3"/>
              <w:bottom w:val="single" w:sz="4" w:space="0" w:color="D9E2F3"/>
              <w:right w:val="single" w:sz="4" w:space="0" w:color="D9E2F3"/>
            </w:tcBorders>
            <w:shd w:val="clear" w:color="auto" w:fill="F7FAFD"/>
          </w:tcPr>
          <w:p w:rsidR="003D2FB2" w:rsidRPr="00064401" w:rsidRDefault="007557A4">
            <w:pPr>
              <w:rPr>
                <w:rFonts w:ascii="Arial" w:hAnsi="Arial" w:cs="Arial"/>
                <w:sz w:val="20"/>
                <w:szCs w:val="20"/>
              </w:rPr>
            </w:pPr>
            <w:r w:rsidRPr="00064401">
              <w:rPr>
                <w:rFonts w:ascii="Arial" w:hAnsi="Arial" w:cs="Arial"/>
                <w:sz w:val="20"/>
                <w:szCs w:val="20"/>
              </w:rPr>
              <w:t>Importancia de variables, SHAP o reglas interpretables.</w:t>
            </w:r>
          </w:p>
        </w:tc>
      </w:tr>
      <w:tr w:rsidR="003D2FB2" w:rsidRPr="00064401" w:rsidTr="00CB12E8">
        <w:trPr>
          <w:jc w:val="center"/>
        </w:trPr>
        <w:tc>
          <w:tcPr>
            <w:tcW w:w="3221"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Uso responsable</w:t>
            </w:r>
          </w:p>
        </w:tc>
        <w:tc>
          <w:tcPr>
            <w:tcW w:w="3201"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Limitar el uso a decisiones de mejoramiento institucional, sin estigmatizar programas, territorios o poblaciones.</w:t>
            </w:r>
          </w:p>
        </w:tc>
        <w:tc>
          <w:tcPr>
            <w:tcW w:w="3198" w:type="dxa"/>
            <w:tcBorders>
              <w:top w:val="single" w:sz="4" w:space="0" w:color="D9E2F3"/>
              <w:left w:val="single" w:sz="4" w:space="0" w:color="D9E2F3"/>
              <w:bottom w:val="single" w:sz="4" w:space="0" w:color="D9E2F3"/>
              <w:right w:val="single" w:sz="4" w:space="0" w:color="D9E2F3"/>
            </w:tcBorders>
          </w:tcPr>
          <w:p w:rsidR="003D2FB2" w:rsidRPr="00064401" w:rsidRDefault="007557A4">
            <w:pPr>
              <w:rPr>
                <w:rFonts w:ascii="Arial" w:hAnsi="Arial" w:cs="Arial"/>
                <w:sz w:val="20"/>
                <w:szCs w:val="20"/>
              </w:rPr>
            </w:pPr>
            <w:r w:rsidRPr="00064401">
              <w:rPr>
                <w:rFonts w:ascii="Arial" w:hAnsi="Arial" w:cs="Arial"/>
                <w:sz w:val="20"/>
                <w:szCs w:val="20"/>
              </w:rPr>
              <w:t>Protocolo ético y matriz de sesgos.</w:t>
            </w:r>
          </w:p>
        </w:tc>
      </w:tr>
    </w:tbl>
    <w:p w:rsidR="00040087" w:rsidRPr="00064401" w:rsidRDefault="00040087">
      <w:pPr>
        <w:rPr>
          <w:rFonts w:ascii="Arial" w:hAnsi="Arial" w:cs="Arial"/>
          <w:sz w:val="20"/>
          <w:szCs w:val="20"/>
        </w:rPr>
      </w:pPr>
    </w:p>
    <w:sectPr w:rsidR="00040087" w:rsidRPr="00064401" w:rsidSect="00270339">
      <w:footerReference w:type="default" r:id="rId10"/>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5FA8" w:rsidRDefault="00255FA8">
      <w:pPr>
        <w:spacing w:after="0" w:line="240" w:lineRule="auto"/>
      </w:pPr>
      <w:r>
        <w:separator/>
      </w:r>
    </w:p>
  </w:endnote>
  <w:endnote w:type="continuationSeparator" w:id="0">
    <w:p w:rsidR="00255FA8" w:rsidRDefault="00255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2FB2" w:rsidRPr="009F1265" w:rsidRDefault="007557A4">
    <w:pPr>
      <w:pStyle w:val="Piedepgina"/>
      <w:jc w:val="center"/>
      <w:rPr>
        <w:rFonts w:ascii="Arial" w:hAnsi="Arial" w:cs="Arial"/>
        <w:sz w:val="21"/>
        <w:szCs w:val="21"/>
      </w:rPr>
    </w:pPr>
    <w:r w:rsidRPr="009F1265">
      <w:rPr>
        <w:rFonts w:ascii="Arial" w:hAnsi="Arial" w:cs="Arial"/>
        <w:color w:val="505050"/>
        <w:sz w:val="21"/>
        <w:szCs w:val="21"/>
      </w:rPr>
      <w:t xml:space="preserve">Grupo 195 | Sistema de Análisis de Contexto para la Toma de Decisiones Educativas | Página </w:t>
    </w:r>
    <w:r w:rsidRPr="009F1265">
      <w:rPr>
        <w:rFonts w:ascii="Arial" w:hAnsi="Arial" w:cs="Arial"/>
        <w:sz w:val="21"/>
        <w:szCs w:val="21"/>
      </w:rPr>
      <w:fldChar w:fldCharType="begin"/>
    </w:r>
    <w:r w:rsidRPr="009F1265">
      <w:rPr>
        <w:rFonts w:ascii="Arial" w:hAnsi="Arial" w:cs="Arial"/>
        <w:sz w:val="21"/>
        <w:szCs w:val="21"/>
      </w:rPr>
      <w:instrText>PAGE</w:instrText>
    </w:r>
    <w:r w:rsidRPr="009F1265">
      <w:rPr>
        <w:rFonts w:ascii="Arial" w:hAnsi="Arial" w:cs="Arial"/>
        <w:sz w:val="21"/>
        <w:szCs w:val="21"/>
      </w:rPr>
      <w:fldChar w:fldCharType="separate"/>
    </w:r>
    <w:r w:rsidR="00844BEF">
      <w:rPr>
        <w:rFonts w:ascii="Arial" w:hAnsi="Arial" w:cs="Arial"/>
        <w:noProof/>
        <w:sz w:val="21"/>
        <w:szCs w:val="21"/>
      </w:rPr>
      <w:t>12</w:t>
    </w:r>
    <w:r w:rsidRPr="009F1265">
      <w:rPr>
        <w:rFonts w:ascii="Arial" w:hAnsi="Arial" w:cs="Arial"/>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5FA8" w:rsidRDefault="00255FA8">
      <w:pPr>
        <w:spacing w:after="0" w:line="240" w:lineRule="auto"/>
      </w:pPr>
      <w:r>
        <w:separator/>
      </w:r>
    </w:p>
  </w:footnote>
  <w:footnote w:type="continuationSeparator" w:id="0">
    <w:p w:rsidR="00255FA8" w:rsidRDefault="00255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267"/>
    <w:rsid w:val="00034616"/>
    <w:rsid w:val="00040087"/>
    <w:rsid w:val="0006063C"/>
    <w:rsid w:val="00064401"/>
    <w:rsid w:val="00072A1D"/>
    <w:rsid w:val="000862AE"/>
    <w:rsid w:val="000E4611"/>
    <w:rsid w:val="0015074B"/>
    <w:rsid w:val="001A6DD1"/>
    <w:rsid w:val="00255FA8"/>
    <w:rsid w:val="00270339"/>
    <w:rsid w:val="0029639D"/>
    <w:rsid w:val="00326F90"/>
    <w:rsid w:val="00393EED"/>
    <w:rsid w:val="003C4EFD"/>
    <w:rsid w:val="003D2FB2"/>
    <w:rsid w:val="004377AD"/>
    <w:rsid w:val="00460B3D"/>
    <w:rsid w:val="00487E33"/>
    <w:rsid w:val="005E69AF"/>
    <w:rsid w:val="00661BED"/>
    <w:rsid w:val="006E2C2A"/>
    <w:rsid w:val="006F3A3C"/>
    <w:rsid w:val="00724B9C"/>
    <w:rsid w:val="007557A4"/>
    <w:rsid w:val="0077261E"/>
    <w:rsid w:val="00797951"/>
    <w:rsid w:val="00844BEF"/>
    <w:rsid w:val="008D0CDF"/>
    <w:rsid w:val="00925A1A"/>
    <w:rsid w:val="00934AAE"/>
    <w:rsid w:val="009612F0"/>
    <w:rsid w:val="009663B7"/>
    <w:rsid w:val="009F1265"/>
    <w:rsid w:val="00A947D2"/>
    <w:rsid w:val="00AA1D8D"/>
    <w:rsid w:val="00AB42C0"/>
    <w:rsid w:val="00AB7EF3"/>
    <w:rsid w:val="00B048B8"/>
    <w:rsid w:val="00B47730"/>
    <w:rsid w:val="00B65FE3"/>
    <w:rsid w:val="00BF5F8A"/>
    <w:rsid w:val="00C75EA4"/>
    <w:rsid w:val="00CA61B8"/>
    <w:rsid w:val="00CB0664"/>
    <w:rsid w:val="00CB12E8"/>
    <w:rsid w:val="00D1183F"/>
    <w:rsid w:val="00D133AB"/>
    <w:rsid w:val="00D16F92"/>
    <w:rsid w:val="00D41F27"/>
    <w:rsid w:val="00D63D3E"/>
    <w:rsid w:val="00E023D1"/>
    <w:rsid w:val="00E30B05"/>
    <w:rsid w:val="00E82E71"/>
    <w:rsid w:val="00F045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E8172"/>
  <w14:defaultImageDpi w14:val="300"/>
  <w15:docId w15:val="{28A8B626-DA20-42DB-8026-450F15F51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CO" w:eastAsia="es-CO" w:bidi="es-CO"/>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ptos" w:eastAsia="Aptos" w:hAnsi="Aptos"/>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7255B"/>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7255B"/>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7255B"/>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sz w:val="24"/>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sz w:val="24"/>
    </w:rPr>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rPr>
      <w:sz w:val="24"/>
    </w:rPr>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rPr>
      <w:sz w:val="24"/>
    </w:rPr>
  </w:style>
  <w:style w:type="paragraph" w:styleId="Textoindependiente3">
    <w:name w:val="Body Text 3"/>
    <w:basedOn w:val="Normal"/>
    <w:link w:val="Textoindependiente3Car"/>
    <w:uiPriority w:val="99"/>
    <w:unhideWhenUsed/>
    <w:rsid w:val="00AA1D8D"/>
  </w:style>
  <w:style w:type="character" w:customStyle="1" w:styleId="Textoindependiente3Car">
    <w:name w:val="Texto independiente 3 Car"/>
    <w:basedOn w:val="Fuentedeprrafopredeter"/>
    <w:link w:val="Textoindependiente3"/>
    <w:uiPriority w:val="99"/>
    <w:rsid w:val="00AA1D8D"/>
    <w:rPr>
      <w:sz w:val="24"/>
      <w:szCs w:val="24"/>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TextomacroCar">
    <w:name w:val="Texto macro Car"/>
    <w:basedOn w:val="Fuentedeprrafopredeter"/>
    <w:link w:val="Textomacro"/>
    <w:uiPriority w:val="99"/>
    <w:rsid w:val="0029639D"/>
    <w:rPr>
      <w:rFonts w:ascii="Courier" w:hAnsi="Courier"/>
      <w:sz w:val="24"/>
      <w:szCs w:val="24"/>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sz w:val="24"/>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sz w:val="24"/>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sz w:val="24"/>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4"/>
      <w:szCs w:val="24"/>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4"/>
      <w:szCs w:val="24"/>
    </w:rPr>
  </w:style>
  <w:style w:type="paragraph" w:styleId="Descripcin">
    <w:name w:val="caption"/>
    <w:basedOn w:val="Normal"/>
    <w:next w:val="Normal"/>
    <w:uiPriority w:val="35"/>
    <w:semiHidden/>
    <w:unhideWhenUsed/>
    <w:qFormat/>
    <w:rsid w:val="00FC693F"/>
    <w:pPr>
      <w:spacing w:line="240" w:lineRule="auto"/>
    </w:pPr>
    <w:rPr>
      <w:b/>
      <w:bCs/>
      <w:color w:val="4F81BD" w:themeColor="accent1"/>
    </w:rPr>
  </w:style>
  <w:style w:type="character" w:styleId="Textoennegrita">
    <w:name w:val="Strong"/>
    <w:basedOn w:val="Fuentedeprrafopredeter"/>
    <w:uiPriority w:val="22"/>
    <w:qFormat/>
    <w:rsid w:val="00FC693F"/>
    <w:rPr>
      <w:b/>
      <w:bCs/>
      <w:sz w:val="24"/>
    </w:rPr>
  </w:style>
  <w:style w:type="character" w:styleId="nfasis">
    <w:name w:val="Emphasis"/>
    <w:basedOn w:val="Fuentedeprrafopredeter"/>
    <w:uiPriority w:val="20"/>
    <w:qFormat/>
    <w:rsid w:val="00FC693F"/>
    <w:rPr>
      <w:i/>
      <w:iCs/>
      <w:sz w:val="24"/>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sz w:val="24"/>
    </w:rPr>
  </w:style>
  <w:style w:type="character" w:styleId="nfasissutil">
    <w:name w:val="Subtle Emphasis"/>
    <w:basedOn w:val="Fuentedeprrafopredeter"/>
    <w:uiPriority w:val="19"/>
    <w:qFormat/>
    <w:rsid w:val="00FC693F"/>
    <w:rPr>
      <w:i/>
      <w:iCs/>
      <w:color w:val="808080" w:themeColor="text1" w:themeTint="7F"/>
      <w:sz w:val="24"/>
    </w:rPr>
  </w:style>
  <w:style w:type="character" w:styleId="nfasisintenso">
    <w:name w:val="Intense Emphasis"/>
    <w:basedOn w:val="Fuentedeprrafopredeter"/>
    <w:uiPriority w:val="21"/>
    <w:qFormat/>
    <w:rsid w:val="00FC693F"/>
    <w:rPr>
      <w:b/>
      <w:bCs/>
      <w:i/>
      <w:iCs/>
      <w:color w:val="4F81BD" w:themeColor="accent1"/>
      <w:sz w:val="24"/>
    </w:rPr>
  </w:style>
  <w:style w:type="character" w:styleId="Referenciasutil">
    <w:name w:val="Subtle Reference"/>
    <w:basedOn w:val="Fuentedeprrafopredeter"/>
    <w:uiPriority w:val="31"/>
    <w:qFormat/>
    <w:rsid w:val="00FC693F"/>
    <w:rPr>
      <w:smallCaps/>
      <w:color w:val="C0504D" w:themeColor="accent2"/>
      <w:sz w:val="24"/>
      <w:u w:val="single"/>
    </w:rPr>
  </w:style>
  <w:style w:type="character" w:styleId="Referenciaintensa">
    <w:name w:val="Intense Reference"/>
    <w:basedOn w:val="Fuentedeprrafopredeter"/>
    <w:uiPriority w:val="32"/>
    <w:qFormat/>
    <w:rsid w:val="00FC693F"/>
    <w:rPr>
      <w:b/>
      <w:bCs/>
      <w:smallCaps/>
      <w:color w:val="C0504D" w:themeColor="accent2"/>
      <w:spacing w:val="5"/>
      <w:sz w:val="24"/>
      <w:u w:val="single"/>
    </w:rPr>
  </w:style>
  <w:style w:type="character" w:styleId="Ttulodellibro">
    <w:name w:val="Book Title"/>
    <w:basedOn w:val="Fuentedeprrafopredeter"/>
    <w:uiPriority w:val="33"/>
    <w:qFormat/>
    <w:rsid w:val="00FC693F"/>
    <w:rPr>
      <w:b/>
      <w:bCs/>
      <w:smallCaps/>
      <w:spacing w:val="5"/>
      <w:sz w:val="24"/>
    </w:rPr>
  </w:style>
  <w:style w:type="paragraph" w:styleId="TtuloTDC">
    <w:name w:val="TOC Heading"/>
    <w:basedOn w:val="Ttulo1"/>
    <w:next w:val="Normal"/>
    <w:uiPriority w:val="39"/>
    <w:semiHidden/>
    <w:unhideWhenUsed/>
    <w:qFormat/>
    <w:rsid w:val="00FC693F"/>
    <w:pPr>
      <w:outlineLvl w:val="9"/>
    </w:pPr>
    <w:rPr>
      <w:sz w:val="24"/>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ffersonca-estudio-contexto.hf.spa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jeffersonca-estudio-contexto.hf.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5EE458-B61B-4BEA-A92C-595BF7C63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21</Pages>
  <Words>8845</Words>
  <Characters>48648</Characters>
  <Application>Microsoft Office Word</Application>
  <DocSecurity>0</DocSecurity>
  <Lines>405</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 de Análisis de Contexto para Pertinencia Educativa</vt:lpstr>
      <vt:lpstr/>
    </vt:vector>
  </TitlesOfParts>
  <Manager/>
  <Company/>
  <LinksUpToDate>false</LinksUpToDate>
  <CharactersWithSpaces>57379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Análisis de Contexto para Pertinencia Educativa</dc:title>
  <dc:subject>Documento técnico ejecutivo ajustado para concurso de datos abiertos</dc:subject>
  <dc:creator>Grupo 195</dc:creator>
  <cp:keywords>datos abiertos, educación superior, permanencia, deserción, pertinencia educativa, inteligencia artificial</cp:keywords>
  <dc:description>generated by python-docx</dc:description>
  <cp:lastModifiedBy>Jefferson Geovanny Cuastusa Ates</cp:lastModifiedBy>
  <cp:revision>41</cp:revision>
  <dcterms:created xsi:type="dcterms:W3CDTF">2013-12-23T23:15:00Z</dcterms:created>
  <dcterms:modified xsi:type="dcterms:W3CDTF">2026-07-17T16:05:00Z</dcterms:modified>
  <cp:category/>
</cp:coreProperties>
</file>