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a técnica de Few-shot Chain-of-Thought para um problema da sua vida real;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Escolha 10 textos do seu site de notícias preferido. Apresente para o Google AI Studio o padrão dos títulos e das suas respectivas notícias e quando chegar no décimo primeiro texto, apresenta somente a notícia e peça para ele gerar um título.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Veja se existe alguma técnica ou padrão;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Notícia 1.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76.9230769230769" w:lineRule="auto"/>
        <w:rPr>
          <w:b w:val="1"/>
          <w:color w:val="424242"/>
          <w:sz w:val="39"/>
          <w:szCs w:val="39"/>
        </w:rPr>
      </w:pPr>
      <w:bookmarkStart w:colFirst="0" w:colLast="0" w:name="_au54fwcojyju" w:id="0"/>
      <w:bookmarkEnd w:id="0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Quina: nenhuma aposta acerta as cinco dezenas e prêmio acumula em R$ 6,7 milhões </w:t>
      </w:r>
    </w:p>
    <w:p w:rsidR="00000000" w:rsidDel="00000000" w:rsidP="00000000" w:rsidRDefault="00000000" w:rsidRPr="00000000" w14:paraId="0000000B">
      <w:pPr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Novo sorteio será realizado pela Caixa Econômica Federal nesta quarta-feira (8)</w:t>
      </w:r>
    </w:p>
    <w:p w:rsidR="00000000" w:rsidDel="00000000" w:rsidP="00000000" w:rsidRDefault="00000000" w:rsidRPr="00000000" w14:paraId="0000000C">
      <w:pPr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Caixa Econômica Federal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realizou o sorteio do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concurso 6434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da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Quina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nessa terça-feira (7).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Com isso, o prêmio acumulou em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R$ 6,7 milhões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Os números sorteados foram: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 7 - 21 - 40 - 68 - 74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No entanto,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36 apostas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obtiveram quatro acertos e vão receber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R$ 9.578,87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cada, enquanto outras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2.774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conquistaram três acertos e ganharão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R$ 118,39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Ao todo,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74.992 pessoas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receberão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R$ 4,37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por terem acertado dois números.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 próximo sorteio acontece nesta quarta-feira (8), no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Espaço da Sorte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em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São Paulo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A aposta mínima,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cinco números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custa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R$ 2,50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e pode ser feita até às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19h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em casas lotéricas ou pelo site da Caixa Econômica – acessível por celular, computador ou outros dispositivos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Os apostadores podem marcar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cinco a 15 números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entre os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80 disponíveis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no volante. Há ainda a opção de jogar por meio da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Surpresinha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Nesse caso, o sistema escolhe os números para o apostador.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Na Quina, leva o prêmio máximo quem acertar as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cinco dezenas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Caso ninguém acerte, o valor acumula para o sorteio seguinte. Já as apostas que acertarem quatro, três ou duas dezenas levam valores mais baixos.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Notícia 2. 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76.9230769230769" w:lineRule="auto"/>
        <w:rPr>
          <w:b w:val="1"/>
          <w:color w:val="424242"/>
          <w:sz w:val="39"/>
          <w:szCs w:val="39"/>
        </w:rPr>
      </w:pPr>
      <w:bookmarkStart w:colFirst="0" w:colLast="0" w:name="_2hw3aomfe5xu" w:id="1"/>
      <w:bookmarkEnd w:id="1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AstraZeneca encerra sua produção de vacinas contra a Covid-19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“Como várias vacinas contra a Covid-19 e variantes foram desenvolvidas, há um vexcedente”, afirmou a empresa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AstraZeneca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encerrou sua produção de vacinas contra 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Covid-19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Além disso, as unidades restantes da chamada "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Vaxzevria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" não serão distribuídas. Segundo a nota pela qual a empresa anunciou a medida, o motivo pela interrupção é o fato de que há um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excesso de imunizantes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no mundo.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“Como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várias vacinas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contra a Covid-19 e variantes foram desenvolvidas,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há um excedente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de vacinas atualizadas disponíveis”, afirmou a empresa.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Em março, a companhia solicitou à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União Europeia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(UE) 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retirada voluntária da “autorização de introdução no mercado”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O pedido foi aceito na última terça-feira (7) e entrou em vigor imediatamente.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No Brasil, esses imunizantes eram produzidos pela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Fundação Oswaldo Cruz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(Fiocruz).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Notícia 3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76.9230769230769" w:lineRule="auto"/>
        <w:rPr>
          <w:b w:val="1"/>
          <w:color w:val="424242"/>
          <w:sz w:val="39"/>
          <w:szCs w:val="39"/>
        </w:rPr>
      </w:pPr>
      <w:bookmarkStart w:colFirst="0" w:colLast="0" w:name="_dp0gfju9dj9r" w:id="2"/>
      <w:bookmarkEnd w:id="2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Sandy anuncia pausa por tempo indeterminado nos shows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Últimas apresentações da cantora serão em prol do do Rio Grande do Sul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Através das redes sociais,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Sandy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comunicou que realizará dois shows em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São Paulo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em prol das vítimas das enchentes no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Rio Grande do Sul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e depois fará uma pausa em sua agenda de shows por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tempo indeterminado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As apresentações acontecerão nos dias 15 e 16 de junho no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Espaço Unimed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e as vendas começam nesta sexta-feira (10). Segundo a cantora, toda a renda das apresentações será revertida em doações.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“Estou passando aqui para me unir a esses milhares ou milhões de corações espremidos com tanta tristeza, com toda essa devastação no Rio Grande do Sul.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Já ajudei várias vezes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já fiz algumas doações, já divulguei também muitas maneiras de ajudar, mas senti que eu podia fazer mais e que eu precisava fazer mais”, disse a artista em um vídeo publicado em seu perfil.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Sandy também falou sobre a venda dos ingressos: “estou vendo com minha equipe qual a melhor maneira dessa ajuda chegar efetivamente. Quem não puder comparecer, procura alguma maneira de ajudar.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Juntos somos mais fortes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a gente sabe disso.”, encerrou.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Na legenda, ela escreveu que a pausa por tempo indeterminado se dá somente na agenda de shows e que ela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não vai "sumir completamente"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ab/>
        <w:t xml:space="preserve">Notícia 4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76.9230769230769" w:lineRule="auto"/>
        <w:rPr>
          <w:b w:val="1"/>
          <w:color w:val="424242"/>
          <w:sz w:val="39"/>
          <w:szCs w:val="39"/>
        </w:rPr>
      </w:pPr>
      <w:bookmarkStart w:colFirst="0" w:colLast="0" w:name="_zcl3t3up7s65" w:id="3"/>
      <w:bookmarkEnd w:id="3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Eleições 2024: prazo para emitir 1ª via do título de eleitor termina nesta quarta (8)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Data-limite também contempla coleta de biometria, atualização de dados cadastrais e transferência de domicílio eleitoral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Os cidadãos têm até esta quarta-feira (8) para emitir a primeira via do título de eleitor, alterar ou regularizar dados cadastrais.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O primeiro turno das eleições municipais deste ano está marcado para 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dia 6 de outubro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, e o segundo, caso seja necessário, vai acontecer no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 dia 27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. O voto é facultativo para jovens de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16 anos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e 17 anos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 pessoas analfabetas 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 maiores de 70 anos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. No entanto, ao se tornar maior de idade, é obrigatório.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Neste ano, mais de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154,8 milhões de eleitores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em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 5,5 mil municípios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escolherão candidatos aos cargos de prefeito, vice-prefeito e vereador.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A partir desta quinta-feira (9) até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5 de novembro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, fica suspenso o recebimento de solicitações de alistamento, transferência e revisão eleitoral. No entanto, há uma exceção: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Alexandre de Moraes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, presidente do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Tribunal Superior Eleitoral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(TSE), prorrogou o fechamento do cadastro eleitoral em todo o estado do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Rio Grande do Sul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por mais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15 dias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além da data-limite. A medida foi tomada devido à situação de calamidade pública em que o estado se encontra devido às fortes chuvas.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O título eleitoral não é apenas um documento. Por meio dele, cidadãos podem exercer o direito de votar e de serem votados. Mantê-lo regularizado, inclusive, também é um pré-requisito para outras ações, como obter passaporte e se inscrever em um concurso público.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Para resolver isso, basta se dirigir à unidade de atendimento eleitoral mais próxima, portando: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Documento oficial de identificação (preferencialmente, com foto);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Comprovante de vínculo com o município (como comprovante de residência) ou Algum documento que comprove vínculo residencial, afetivo, familiar, profissional, comunitário ou de outra natureza que justifique a escolha da cidade;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Certificado de quitação militar (somente obrigatório à pessoa do gênero masculino que solicitar o primeiro título no ano em que completar 19 anos).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Aqueles que se mudaram de cidade ou estado podem solicitar a transferência de domicílio eleitoral pelo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Autoatendimento Eleitoral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(apenas para eleitoras e eleitores que já possuem biometria cadastrada) ou se dirigir a uma unidade da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Justiça Eleitoral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Para fazer essa solicitação, além de apresentar os documentos necessários, existem algumas condições: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É preciso que já tenha decorrido no mínimo um ano desde o alistamento ou a última transferência;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O comprovante de endereço deve demonstrar que o cidadão tem, há pelo menos três meses, vínculo residencial, afetivo, familiar, profissional, comunitário ou de outra natureza que justifique a escolha do novo domicílio eleitoral;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Caso tenha débito por ausência às urnas ou aos trabalhos eleitorais, deverá fazer o pagamento da multa antecipadamente.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Para qualquer um desses serviços, o atendimento presencial pode exigir agendamento. Por isso, verifique no site do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Tribunal Regional Eleitoral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(TRE) se o cartório da cidade em questão faz essa exigência, quais são os horários disponíveis, entre outras informações.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Somente de janeiro a abril deste ano, foram registrados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5,9 milhões de requerimentos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de alistamento eleitoral, dos quais mais de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2 milhões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se referem a solicitações de novos títulos, enquanto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1,9 milhão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corresponde a pedidos de transferência de domicílio eleitoral.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ab/>
        <w:t xml:space="preserve">Notícia 5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76.9230769230769" w:lineRule="auto"/>
        <w:rPr>
          <w:b w:val="1"/>
          <w:color w:val="424242"/>
          <w:sz w:val="39"/>
          <w:szCs w:val="39"/>
          <w:highlight w:val="white"/>
        </w:rPr>
      </w:pPr>
      <w:bookmarkStart w:colFirst="0" w:colLast="0" w:name="_bokz7m1ldtwt" w:id="4"/>
      <w:bookmarkEnd w:id="4"/>
      <w:r w:rsidDel="00000000" w:rsidR="00000000" w:rsidRPr="00000000">
        <w:rPr>
          <w:b w:val="1"/>
          <w:color w:val="424242"/>
          <w:sz w:val="39"/>
          <w:szCs w:val="39"/>
          <w:highlight w:val="white"/>
          <w:rtl w:val="0"/>
        </w:rPr>
        <w:t xml:space="preserve">Giro Econômico fala sobre práticas ESG e Programa Acredita nesta quarta-feira (8)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Com apresentação de Maria Manso, edição inédita vai ao ar a partir das 23h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Giro Econômico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desta quarta-feira (8) abordará as práticas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 ESG 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e 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Programa Acredita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, que estimula o crédito para pequenos negócios e foi lançado recentemente pelo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Governo Federal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Com apresentação de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Maria Manso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e com comentários de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 Juliana Inhasz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, a edição inédita vai ao ar a partir das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23h na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TV Cultura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Além disso, o programa também fala sobre a implementação das práticas ambientais, sociais e de governança em empresas por todo 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Notícia 6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b w:val="1"/>
          <w:color w:val="424242"/>
          <w:sz w:val="39"/>
          <w:szCs w:val="39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Estado de SP contabiliza mais de 20 casos de coqueluche em 2024; risco é maior para bebês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Cenário não é alarmante, no entanto, vacinação de público-alvo é fundamental para evitar forma grave nas crianças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Nos primeiros meses deste ano,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27 casos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de coqueluche foram confirmados em todo o estado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São Paulo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sem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nenhum registro de óbitos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até o momento, de acordo com dados divulgados pelo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Centro de Vigilância Epidemiológica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(CVE).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2023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ao longo de 12 meses,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53 casos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foram contabilizados e nenhuma morte catalogada.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 número de resultados positivos chamou atenção, no entanto, o cenário atual não é alarmante, segundo o pediatra infectologista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Renato Kfouri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vice-presidente da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Sociedade Brasileira de Imunizações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(SBIm) e presidente do departamento de imunizações da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Sociedade Brasileira de Pediatria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(SBP).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“Esse aumento está longe dos números que vivenciamos no passado. Claro que qualquer doença preocupa, mas estamos longe de ter um cenário muito diferente. Na verdade não é um aumento expressivo, estamos apenas ‘recuperando’ as taxas. Provavelmente, estamos a caminho de taxas muito semelhantes às dos últimos anos”, expõe.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Ainda de acordo com o especialista, a infecção respiratória causada pela bactéria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Bordetella Pertussis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apresenta um caráter de ondas. “Acaba que em um certo tempo, os infectados, que não ganham uma imunidade definitiva, voltam a se infectar de cinco a 10 anos, então é normal que com o passar desse período surja uma onda esperada de coqueluche. A última foi em 2014, com muitos casos e altas taxas de transmissão”.No entanto, apesar do número de casos não representar a existência de uma epidemia, a doença tem vítimas relevantes em seu radar, os lactantes, crianças que se encontram no primeiro semestre de vida e que ainda não completaram seu esquema vacinal inicial.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“Quando se olham os óbitos, 80% a 90% deles está no primeiro ano de vida, e metade no primeiro semestre de vida. Essa é a grande preocupação quando se tem essas ondas. Quando o adulto e o adolescente pegam a coqueluche acabam apenas apresentando uma tosse comprida, que dificilmente evolui para a forma grave”, ressalta Kfouri.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Entre o público mais velho, o sintoma pode se apresentar como uma sinusite, resfriado ou uma tosse que não vai embora, enquanto entre os pequenos pode evoluir para uma insuficiência respiratória. Uma tosse que é difícil de ser acalmada e que pode vir acompanhada de febre, além de outras complicações, como convulsões por falta de oxigênio.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b w:val="1"/>
          <w:color w:val="606060"/>
          <w:sz w:val="24"/>
          <w:szCs w:val="24"/>
        </w:rPr>
      </w:pP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Quando a vacina deve ser aplicada?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Disponível gratuitamente em todos os postos de saúde do país, a vacina é dada em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cinco doses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aos dois, quatro e seis meses, com um reforço aos 15 meses e outro aos quatro anos. Grávidas também devem ser imunizadas.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Fora desse grupo, adolescentes e adultos também podem ser vacinados, no entanto, as doses só são encontradas em clínicas privadas, já que 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Governo Federal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só as disponibilizam para públicos prioritários.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Em caso de convívio com bebês, recomenda-se que o adulto se vacine contra a doença em busca de reduzir a chance de transmissão, já que como a gripe, o resfriado e a Covid-19, ela também ocorre pela via respiratória, pela tosse, espirro, fala e de pessoa para pessoa.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Devido a isso, duas estratégias são fundamentais nesses momentos de maior atividade com o objetivo de reduzir formas graves, segundo o especialista: vacinar grávidas para proteger os bebês e não imunizar as crianças com atraso, ou seja, com três, sete ou aos nove meses, porque isso vai deixá-los desprotegidos no período de maior vulnerabilidade.</w:t>
      </w:r>
    </w:p>
    <w:p w:rsidR="00000000" w:rsidDel="00000000" w:rsidP="00000000" w:rsidRDefault="00000000" w:rsidRPr="00000000" w14:paraId="00000051">
      <w:pPr>
        <w:ind w:left="1440" w:firstLine="0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Por se tratar de uma bactéria que necessita de um tratamento simples, ele é feito com o uso de antibióticos, que podem ser encontrados com facilidade e devem ser prescritos por um médico especialista, conforme cada caso, segundo 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Ministério da Saúde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1440" w:firstLine="0"/>
        <w:rPr>
          <w:color w:val="606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color w:val="606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ab/>
        <w:t xml:space="preserve">Notícia 7. 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76.9230769230769" w:lineRule="auto"/>
        <w:rPr>
          <w:b w:val="1"/>
          <w:color w:val="424242"/>
          <w:sz w:val="39"/>
          <w:szCs w:val="39"/>
        </w:rPr>
      </w:pPr>
      <w:bookmarkStart w:colFirst="0" w:colLast="0" w:name="_zgk5f7x3qpgt" w:id="5"/>
      <w:bookmarkEnd w:id="5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EUA interrompem envio de bombas a Israel devido à ocupação de Rafah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﻿﻿﻿﻿﻿﻿"Na semana passada, detivemos um envio de armas: 1.800 bombas de 907 kg e 1.700 bombas de 226 kg", disse uma fonte da Casa BrancaA imprensa norte-americana atualmente alega que um funcionário do alto escalão da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Casa Branca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teria dito que os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Estados Unidos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interromperam o envio de bombas 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Israel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devido à ocupação militar do estado judeu em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Rafah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cidade que fica localizada no extremo sul da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Faixa de Gaza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e liga a região com a península do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Sinai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no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Egito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 envio foi interrompido na semana passada. Ainda de acordo com a mídia local, a decisão foi tomada após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Tel Aviv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não responder às "preocupações"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Washington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sobre os planos de invadir a região citada. Inicialmente, as informações foram divulgadas pela rede de televisão </w:t>
      </w:r>
      <w:r w:rsidDel="00000000" w:rsidR="00000000" w:rsidRPr="00000000">
        <w:rPr>
          <w:i w:val="1"/>
          <w:color w:val="606060"/>
          <w:sz w:val="24"/>
          <w:szCs w:val="24"/>
          <w:rtl w:val="0"/>
        </w:rPr>
        <w:t xml:space="preserve">CNN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e pela agência de notícias </w:t>
      </w:r>
      <w:r w:rsidDel="00000000" w:rsidR="00000000" w:rsidRPr="00000000">
        <w:rPr>
          <w:i w:val="1"/>
          <w:color w:val="606060"/>
          <w:sz w:val="24"/>
          <w:szCs w:val="24"/>
          <w:rtl w:val="0"/>
        </w:rPr>
        <w:t xml:space="preserve">Associated Press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"Na semana passada, detivemos um envio de armas: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1.800 bombas de 907 kg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1.700 bombas de 226 kg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", teria dito a fonte dos veículos, que segue em anonimato. "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Não tomamos uma decisão definitiva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sobre como proceder com o envio", teria acrescentado.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Vale lembrar que as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Forças de Defesa de Israel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(FDI) ordenaram que a população palestina deixasse o local na última segunda-feira (6). A orientação dos militares foi para que as pessoas se dirigissem 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Al-Mawasi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uma cidade vizinha.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ind w:left="720" w:firstLine="0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Notícia 8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76.9230769230769" w:lineRule="auto"/>
        <w:rPr>
          <w:b w:val="1"/>
          <w:color w:val="424242"/>
          <w:sz w:val="39"/>
          <w:szCs w:val="39"/>
        </w:rPr>
      </w:pPr>
      <w:bookmarkStart w:colFirst="0" w:colLast="0" w:name="_dyun4rwq4qrc" w:id="6"/>
      <w:bookmarkEnd w:id="6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Governo Lula 3: aprovação cai para 50% e reprovação sobe para 47%, diz pesquisa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Outros 3% dos entrevistados não souberam ou não quiseram responder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 pesquisa Genial/Quaest divulgada na manhã desta quarta-feira (8) aponta que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50%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dos entrevistados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aprovam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a terceira gestão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Luiz Inácio Lula da Silva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(PT) frente à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Presidência da República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Ainda de acordo com o levantamento,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47%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entrevistados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desaprovam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o atual mandato do petista. Outros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3%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dos entrevistados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não souberam ou não quiseram responder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Em comparação ao estudo realizado no mês de março, a aprovação de Lula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caiu um ponto percentual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Já a reprovação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subiu um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b w:val="1"/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Para a realização da pesquisa, foram entrevistadas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2.045 pessoas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entre os dias 2 e 6 de maio. 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margem de erro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é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2,2 pontos percentuais</w:t>
      </w:r>
    </w:p>
    <w:p w:rsidR="00000000" w:rsidDel="00000000" w:rsidP="00000000" w:rsidRDefault="00000000" w:rsidRPr="00000000" w14:paraId="00000061">
      <w:pPr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ab/>
        <w:t xml:space="preserve">Notícia 9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76.9230769230769" w:lineRule="auto"/>
        <w:rPr>
          <w:b w:val="1"/>
          <w:color w:val="424242"/>
          <w:sz w:val="39"/>
          <w:szCs w:val="39"/>
        </w:rPr>
      </w:pPr>
      <w:bookmarkStart w:colFirst="0" w:colLast="0" w:name="_iodvnd6ppila" w:id="7"/>
      <w:bookmarkEnd w:id="7"/>
      <w:r w:rsidDel="00000000" w:rsidR="00000000" w:rsidRPr="00000000">
        <w:rPr>
          <w:b w:val="1"/>
          <w:color w:val="424242"/>
          <w:sz w:val="39"/>
          <w:szCs w:val="39"/>
          <w:rtl w:val="0"/>
        </w:rPr>
        <w:t xml:space="preserve">Banco Central pode derrubar taxa de juros para 10,25% ao ano nesta quarta (8)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 Comitê de Política Monetária diminuiu a Selic de 11,25% para 10,75% ao ano em março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Executivos do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Comitê de Política Monetária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(Copom) do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Banco Central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(BC) iniciarão nesta quarta-feira (8) uma nova reunião.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Com a queda da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taxa básica de juros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da economia brasileira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de 11,25% para 10,75% ao ano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em março, a expectativa é de que, na reunião de hoje, seja definido um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novo recuo de 0,5 ponto percentual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na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Selic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Caso confirmada, essa seria a sexta retração consecutiva do indicador, que iria para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10,25% ao ano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Para definir o patamar dos juros, o Banco Central se baseia no sistema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metas para a inflação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do país. Logo, a Selic é elevada sempre que 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Índice Nacional de Preços ao Consumidor Amplo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(IPCA), tido como 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inflação oficial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do Brasil, também cresce.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Em 2024, a meta para a inflação é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3%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Com uma possível oscilação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1,5 ponto percentual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o objetivo será cumprido oficialmente caso 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IPCA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termine o ano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entre 1,5% e 4,5%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ind w:left="720" w:firstLine="0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Notícia 10.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ind w:left="720" w:firstLine="0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Gerar um título para essa notícia </w:t>
      </w:r>
    </w:p>
    <w:p w:rsidR="00000000" w:rsidDel="00000000" w:rsidP="00000000" w:rsidRDefault="00000000" w:rsidRPr="00000000" w14:paraId="0000006A">
      <w:pPr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Pedido da defesa de Fernando Sastre de Andrade Filho negado pela corte alega que não há motivos no processo para a detenção preventiva</w:t>
      </w:r>
    </w:p>
    <w:p w:rsidR="00000000" w:rsidDel="00000000" w:rsidP="00000000" w:rsidRDefault="00000000" w:rsidRPr="00000000" w14:paraId="0000006B">
      <w:pPr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Superior Tribunal de Justiça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(STJ), em Brasília, na tarde desta terça-feira (7),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manteve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a prisão de Fernando Sastre de Andrade Filho, empresário que dirigia o Porsche que bateu no carro do motorista por aplicativo Ornaldo da Silva Viana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, que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morreu no acidente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A defesa de Fernando havia protocolado um pedido de liberdade ao rapaz, negado pelo tribunal nesta tarde.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Três ministros do STJ votaram por unanimidade para não reconhecer o habeas corpus favorável ao empresário. Ele teve a prisão preventiva pedida pelo Ministério Público e decretada na última sexta-feira (3), pelo desembargador </w:t>
      </w:r>
      <w:r w:rsidDel="00000000" w:rsidR="00000000" w:rsidRPr="00000000">
        <w:rPr>
          <w:i w:val="1"/>
          <w:color w:val="606060"/>
          <w:sz w:val="24"/>
          <w:szCs w:val="24"/>
          <w:highlight w:val="white"/>
          <w:rtl w:val="0"/>
        </w:rPr>
        <w:t xml:space="preserve">João Augusto Garcia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, da 5ª Câmara de Direito Criminal do TJ.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O pedido da defesa de Fernando negado pelo STJ alega que não há motivos no processo para a prisão preventiva. Segundo os advogados, a </w:t>
      </w:r>
      <w:r w:rsidDel="00000000" w:rsidR="00000000" w:rsidRPr="00000000">
        <w:rPr>
          <w:b w:val="1"/>
          <w:color w:val="606060"/>
          <w:sz w:val="24"/>
          <w:szCs w:val="24"/>
          <w:highlight w:val="white"/>
          <w:rtl w:val="0"/>
        </w:rPr>
        <w:t xml:space="preserve">detenção foi motivada por pressão da mídia</w:t>
      </w: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. Outro argumento apresentado menciona que o motorista do Porsche pode correr riscos à integridade física na reclusão.</w:t>
      </w:r>
    </w:p>
    <w:p w:rsidR="00000000" w:rsidDel="00000000" w:rsidP="00000000" w:rsidRDefault="00000000" w:rsidRPr="00000000" w14:paraId="00000070">
      <w:pPr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b w:val="1"/>
          <w:color w:val="606060"/>
          <w:sz w:val="24"/>
          <w:szCs w:val="24"/>
        </w:rPr>
      </w:pP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Entenda o caso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b w:val="1"/>
          <w:color w:val="606060"/>
          <w:sz w:val="21"/>
          <w:szCs w:val="21"/>
          <w:highlight w:val="white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 acidente envolvendo Fernando Sastre Filho aconteceu na madrugada de 31 de março, na avenida Salim Farah Maluf, zona leste da capital paulista. O empresário dirigia um Porsche 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bateu na traseira de um Renault Sandero e matou o condutor do veículo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A vítima era o motorista de aplicativo Ornaldo da Silva Viana.</w:t>
      </w:r>
      <w:r w:rsidDel="00000000" w:rsidR="00000000" w:rsidRPr="00000000">
        <w:rPr>
          <w:b w:val="1"/>
          <w:color w:val="606060"/>
          <w:sz w:val="21"/>
          <w:szCs w:val="21"/>
          <w:highlight w:val="white"/>
          <w:rtl w:val="0"/>
        </w:rPr>
        <w:t xml:space="preserve">NOTÍCIAS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76.9230769230769" w:lineRule="auto"/>
        <w:jc w:val="both"/>
        <w:rPr>
          <w:b w:val="1"/>
          <w:color w:val="424242"/>
          <w:sz w:val="39"/>
          <w:szCs w:val="39"/>
          <w:highlight w:val="white"/>
        </w:rPr>
      </w:pPr>
      <w:bookmarkStart w:colFirst="0" w:colLast="0" w:name="_jsyggu520hnn" w:id="8"/>
      <w:bookmarkEnd w:id="8"/>
      <w:r w:rsidDel="00000000" w:rsidR="00000000" w:rsidRPr="00000000">
        <w:rPr>
          <w:b w:val="1"/>
          <w:color w:val="424242"/>
          <w:sz w:val="39"/>
          <w:szCs w:val="39"/>
          <w:highlight w:val="white"/>
          <w:rtl w:val="0"/>
        </w:rPr>
        <w:t xml:space="preserve">STJ mantém prisão de condutor de Porsche que bateu e matou motorista de aplicativo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20"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Pedido da defesa de Fernando Sastre de Andrade Filho negado pela corte alega que não há motivos no processo para a detenção preventiva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b w:val="1"/>
          <w:color w:val="4d4d4d"/>
          <w:sz w:val="21"/>
          <w:szCs w:val="21"/>
          <w:highlight w:val="white"/>
        </w:rPr>
      </w:pPr>
      <w:r w:rsidDel="00000000" w:rsidR="00000000" w:rsidRPr="00000000">
        <w:rPr>
          <w:b w:val="1"/>
          <w:color w:val="4d4d4d"/>
          <w:sz w:val="21"/>
          <w:szCs w:val="21"/>
          <w:highlight w:val="white"/>
          <w:rtl w:val="0"/>
        </w:rPr>
        <w:t xml:space="preserve">Da Redação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60" w:lineRule="auto"/>
        <w:ind w:right="760"/>
        <w:jc w:val="both"/>
        <w:rPr>
          <w:color w:val="606060"/>
          <w:sz w:val="15"/>
          <w:szCs w:val="15"/>
          <w:highlight w:val="white"/>
        </w:rPr>
      </w:pPr>
      <w:r w:rsidDel="00000000" w:rsidR="00000000" w:rsidRPr="00000000">
        <w:rPr>
          <w:color w:val="606060"/>
          <w:sz w:val="15"/>
          <w:szCs w:val="15"/>
          <w:highlight w:val="white"/>
          <w:rtl w:val="0"/>
        </w:rPr>
        <w:t xml:space="preserve">07/05/2024 16h50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color w:val="606060"/>
          <w:sz w:val="24"/>
          <w:szCs w:val="24"/>
          <w:highlight w:val="white"/>
        </w:rPr>
      </w:pPr>
      <w:r w:rsidDel="00000000" w:rsidR="00000000" w:rsidRPr="00000000">
        <w:rPr>
          <w:color w:val="606060"/>
          <w:sz w:val="24"/>
          <w:szCs w:val="24"/>
          <w:highlight w:val="white"/>
        </w:rPr>
        <w:drawing>
          <wp:inline distB="114300" distT="114300" distL="114300" distR="114300">
            <wp:extent cx="5731200" cy="3848100"/>
            <wp:effectExtent b="0" l="0" r="0" t="0"/>
            <wp:docPr descr="Reprodução | Jornalismo TV Cultura " id="1" name="image1.png"/>
            <a:graphic>
              <a:graphicData uri="http://schemas.openxmlformats.org/drawingml/2006/picture">
                <pic:pic>
                  <pic:nvPicPr>
                    <pic:cNvPr descr="Reprodução | Jornalismo TV Cultura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color w:val="ffffff"/>
          <w:sz w:val="18"/>
          <w:szCs w:val="18"/>
          <w:shd w:fill="424242" w:val="clear"/>
        </w:rPr>
      </w:pPr>
      <w:r w:rsidDel="00000000" w:rsidR="00000000" w:rsidRPr="00000000">
        <w:rPr>
          <w:color w:val="ffffff"/>
          <w:sz w:val="18"/>
          <w:szCs w:val="18"/>
          <w:shd w:fill="424242" w:val="clear"/>
          <w:rtl w:val="0"/>
        </w:rPr>
        <w:t xml:space="preserve">Reprodução | Jornalismo TV Cultura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Superior Tribunal de Justiça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(STJ), em Brasília, na tarde desta terça-feira (7),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manteve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a prisão de Fernando Sastre de Andrade Filho, empresário que dirigia o Porsche que bateu no carro do motorista por aplicativo Ornaldo da Silva Viana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que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morreu no acidente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 defesa de Fernando havia protocolado um pedido de liberdade ao rapaz, negado pelo tribunal nesta tarde.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Três ministros do STJ votaram por unanimidade para não reconhecer o habeas corpus favorável ao empresário. Ele teve a prisão preventiva pedida pelo Ministério Público e decretada na última sexta-feira (3), pelo desembargador </w:t>
      </w:r>
      <w:r w:rsidDel="00000000" w:rsidR="00000000" w:rsidRPr="00000000">
        <w:rPr>
          <w:i w:val="1"/>
          <w:color w:val="606060"/>
          <w:sz w:val="24"/>
          <w:szCs w:val="24"/>
          <w:rtl w:val="0"/>
        </w:rPr>
        <w:t xml:space="preserve">João Augusto Garcia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da 5ª Câmara de Direito Criminal do TJ.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 pedido da defesa de Fernando negado pelo STJ alega que não há motivos no processo para a prisão preventiva. Segundo os advogados, 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detenção foi motivada por pressão da mídia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Outro argumento apresentado menciona que o motorista do Porsche pode correr riscos à integridade física na reclusão.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b w:val="1"/>
          <w:color w:val="606060"/>
          <w:sz w:val="24"/>
          <w:szCs w:val="24"/>
          <w:u w:val="single"/>
        </w:rPr>
      </w:pP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Leia também:</w:t>
      </w:r>
      <w:hyperlink r:id="rId7">
        <w:r w:rsidDel="00000000" w:rsidR="00000000" w:rsidRPr="00000000">
          <w:rPr>
            <w:b w:val="1"/>
            <w:color w:val="606060"/>
            <w:sz w:val="24"/>
            <w:szCs w:val="24"/>
            <w:u w:val="single"/>
            <w:rtl w:val="0"/>
          </w:rPr>
          <w:t xml:space="preserve"> CBF adia jogos de clubes gaúchos até 27 de maio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b w:val="1"/>
          <w:color w:val="606060"/>
          <w:sz w:val="24"/>
          <w:szCs w:val="24"/>
        </w:rPr>
      </w:pP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Entenda o caso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O acidente envolvendo Fernando Sastre Filho aconteceu na madrugada de 31 de março, na avenida Salim Farah Maluf, zona leste da capital paulista. O empresário dirigia um Porsche 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bateu na traseira de um Renault Sandero e matou o condutor do veículo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A vítima era o motorista de aplicativo Ornaldo da Silva Viana.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Imagens de câmeras de segurança mostram que o veículo estava transitando a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 156,4 km/h 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e bateu na traseira de um Sandero a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 114,8 km/h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segundo a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Polícia Técnico-Científica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 O limite para a via é de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50 km/h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Fernando chegou a ser abordado por policiais depois do acidente mas não foi submetido ao teste do bafômetro e foi liberado para ir a um hospital junto com a mãe, que apareceu no local. Os dois foram para casa.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Testemunhas contaram à Polícia Civil que o motorista do carro de luxo havia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 ingerido bebida alcoólica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 momentos antes de dirigir. Quando interrogado pela polícia, ele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negou ter bebido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.O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condutor do Porsche foi indiciado por homicídio doloso</w:t>
      </w:r>
      <w:r w:rsidDel="00000000" w:rsidR="00000000" w:rsidRPr="00000000">
        <w:rPr>
          <w:color w:val="606060"/>
          <w:sz w:val="24"/>
          <w:szCs w:val="24"/>
          <w:rtl w:val="0"/>
        </w:rPr>
        <w:t xml:space="preserve">, ou seja, quando há intenção ou se assume o risco de matar. Ele também deve responder por fuga do local do acidente e lesão corporal, em razão dos ferimentos sofridos pelo passageiro que estava com ele.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Fonte: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https://cultura.uol.com.br/noticias/66031_stj-mantem-prisao-de-motorista-de-porsche-que-bateu-e-matou-motorista-de-aplicativo.html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b w:val="1"/>
          <w:color w:val="606060"/>
          <w:sz w:val="24"/>
          <w:szCs w:val="24"/>
        </w:rPr>
      </w:pP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Resposta :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b w:val="1"/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Resumo das Notícias e Título Sugerido: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Aqui está um resumo das notícias que você forneceu, juntamente com um título sugerido para a notícia 10: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Notícias 1-9: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Quina acumula prêmio: Nenhuma aposta acertou as cinco dezenas do concurso 6434 da Quina, e o prêmio acumulou para R$ 6,7 milhões.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AstraZeneca encerra produção de vacinas contra Covid-19: A empresa citou o excedente global de vacinas como motivo para a interrupção.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Sandy anuncia pausa nos shows: A cantora fará dois shows beneficentes em São Paulo para as vítimas das enchentes no Rio Grande do Sul antes de fazer uma pausa por tempo indeterminado.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Prazo para emitir título de eleitor termina: Cidadãos têm até 8 de maio para emitir a primeira via do título, atualizar dados ou transferir domicílio eleitoral.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Giro Econômico aborda práticas ESG: O programa da TV Cultura discutirá a implementação de práticas ambientais, sociais e de governança em empresas.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Casos de coqueluche em São Paulo: O estado registrou 27 casos da doença em 2024, com maior risco para bebês. A vacinação é crucial.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EUA interrompem envio de bombas a Israel: A decisão ocorre após preocupações com a ocupação de Rafah, na Faixa de Gaza.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Aprovação do governo Lula cai: Pesquisa Genial/Quaest indica 50% de aprovação e 47% de reprovação.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Banco Central pode reduzir taxa de juros: A expectativa é de que a Selic seja reduzida para 10,25% ao ano.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Notícia 10: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b w:val="1"/>
          <w:color w:val="606060"/>
          <w:sz w:val="24"/>
          <w:szCs w:val="24"/>
        </w:rPr>
      </w:pPr>
      <w:r w:rsidDel="00000000" w:rsidR="00000000" w:rsidRPr="00000000">
        <w:rPr>
          <w:b w:val="1"/>
          <w:color w:val="606060"/>
          <w:sz w:val="24"/>
          <w:szCs w:val="24"/>
          <w:rtl w:val="0"/>
        </w:rPr>
        <w:t xml:space="preserve">Título sugerido: Justiça mantém prisão de motorista de Porsche que causou morte em acidente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="360" w:lineRule="auto"/>
        <w:jc w:val="both"/>
        <w:rPr>
          <w:color w:val="606060"/>
          <w:sz w:val="24"/>
          <w:szCs w:val="24"/>
        </w:rPr>
      </w:pPr>
      <w:r w:rsidDel="00000000" w:rsidR="00000000" w:rsidRPr="00000000">
        <w:rPr>
          <w:color w:val="606060"/>
          <w:sz w:val="24"/>
          <w:szCs w:val="24"/>
          <w:rtl w:val="0"/>
        </w:rPr>
        <w:t xml:space="preserve">Resumo: O Superior Tribunal de Justiça (STJ) negou o pedido de habeas corpus para Fernando Sastre de Andrade Filho, que dirigia o Porsche envolvido no acidente que matou o motorista de aplicativo Ornaldo da Silva Viana. A defesa alegou que não havia motivos para a prisão preventiva, mas o tribunal decidiu mantê-la.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ultura.uol.com.br/esporte/noticias/2024/05/07/7957_cfb-adia-jogos-de-clubes-gauchos-ate-27-de-maio.html" TargetMode="External"/><Relationship Id="rId8" Type="http://schemas.openxmlformats.org/officeDocument/2006/relationships/hyperlink" Target="https://cultura.uol.com.br/noticias/66031_stj-mantem-prisao-de-motorista-de-porsche-que-bateu-e-matou-motorista-de-aplicativ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