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124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286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124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286-entity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124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Suroeste</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Talud Este</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Drenajes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124 edificaciones sin verter agroquímicos a los canales de riego.</w:t>
        <w:br/>
        <w:t>2. Rigor Científico y Tecnológico: La integración del catálogo SIG de 286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286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124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286 entidades GIS (124 edificios catalogados, 12 áreas verdes/jardines, 80 canales, vías, caminerías y líneas divisorias, 69 puntos de hitos, paradas y parqueos, 7 tramos viales de barreras vivas [980 m] y 6 estaciones de bio-monitoreo GPS). Incluye conmutadores deslizantes (Toggle Switches) de Idioma (ES ⇄ EN) y Modo (Claro ⇄ Oscuro) en dock independiente:</w:t>
        <w:br/>
        <w:t>• Enlace de acceso libre: https://jeffersonconza.github.io/algoritmo-verde-yosw2026/</w:t>
        <w:br/>
        <w:t>• Repositorio público de código y datos abiertos: https://github.com/JeffersonConza/algoritmo-verde-yosw2026</w:t>
        <w:br/>
        <w:br/>
        <w:t>2. Registro Fotográfico de Campo en Sala Capitular (Foco de Culicoides spp., Lutzomyia spp. y Simulium spp.):</w:t>
        <w:br/>
        <w:t>Inspección in situ efectuada el 22 de octubre de 2026 junto a la parada de buses de Sala Capitular (0.4044473° N, -78.1750098° W), evidenciando el ducto/pozo sin tapa perimetral acordonado con cinta de peligro y acumulación de hojarasca húmeda:</w:t>
        <w:br/>
      </w:r>
      <w:r>
        <w:br/>
        <w:drawing>
          <wp:inline xmlns:a="http://schemas.openxmlformats.org/drawingml/2006/main" xmlns:pic="http://schemas.openxmlformats.org/drawingml/2006/picture">
            <wp:extent cx="5303520" cy="2674819"/>
            <wp:docPr id="1477801617" name="Picture 1477801617"/>
            <wp:cNvGraphicFramePr>
              <a:graphicFrameLocks noChangeAspect="1"/>
            </wp:cNvGraphicFramePr>
            <a:graphic>
              <a:graphicData uri="http://schemas.openxmlformats.org/drawingml/2006/picture">
                <pic:pic>
                  <pic:nvPicPr>
                    <pic:cNvPr id="0" name="Figura5_Evidencia_Campo_Sala_Capitular.png"/>
                    <pic:cNvPicPr/>
                  </pic:nvPicPr>
                  <pic:blipFill>
                    <a:blip r:embed="rId20"/>
                    <a:stretch>
                      <a:fillRect/>
                    </a:stretch>
                  </pic:blipFill>
                  <pic:spPr>
                    <a:xfrm>
                      <a:off x="0" y="0"/>
                      <a:ext cx="5303520" cy="2674819"/>
                    </a:xfrm>
                    <a:prstGeom prst="rect"/>
                  </pic:spPr>
                </pic:pic>
              </a:graphicData>
            </a:graphic>
          </wp:inline>
        </w:drawing>
      </w:r>
      <w:r>
        <w:br/>
        <w:br/>
      </w:r>
      <w:r>
        <w:rPr>
          <w:rFonts w:ascii="Arial" w:hAnsi="Arial"/>
          <w:sz w:val="19"/>
        </w:rPr>
        <w:t>3. Acceso Móvil mediante Código QR de GitHub con Logo Institucional (Nivel H - 30%):</w:t>
        <w:br/>
        <w:t>El jurado calificador y la comunidad universitaria pueden escanear el código QR oficial para abrir el Repositorio Público en GitHub, donde se encuentra en la parte superior el botón de acceso directo al Mapa Interactivo en vivo:</w:t>
        <w:br/>
      </w:r>
      <w:r>
        <w:br/>
        <w:drawing>
          <wp:inline xmlns:a="http://schemas.openxmlformats.org/drawingml/2006/main" xmlns:pic="http://schemas.openxmlformats.org/drawingml/2006/picture">
            <wp:extent cx="1691640" cy="1691640"/>
            <wp:docPr id="1477801618" name="Picture 1477801618"/>
            <wp:cNvGraphicFramePr>
              <a:graphicFrameLocks noChangeAspect="1"/>
            </wp:cNvGraphicFramePr>
            <a:graphic>
              <a:graphicData uri="http://schemas.openxmlformats.org/drawingml/2006/picture">
                <pic:pic>
                  <pic:nvPicPr>
                    <pic:cNvPr id="0" name="qr_algoritmo_verde.png"/>
                    <pic:cNvPicPr/>
                  </pic:nvPicPr>
                  <pic:blipFill>
                    <a:blip r:embed="rId21"/>
                    <a:stretch>
                      <a:fillRect/>
                    </a:stretch>
                  </pic:blipFill>
                  <pic:spPr>
                    <a:xfrm>
                      <a:off x="0" y="0"/>
                      <a:ext cx="1691640" cy="1691640"/>
                    </a:xfrm>
                    <a:prstGeom prst="rect"/>
                  </pic:spPr>
                </pic:pic>
              </a:graphicData>
            </a:graphic>
          </wp:inline>
        </w:drawing>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 Id="rId20" Type="http://schemas.openxmlformats.org/officeDocument/2006/relationships/image" Target="media/image3.png"/><Relationship Id="rId21"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