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A9771B">
      <w:pPr>
        <w:pStyle w:val="LO-normal"/>
        <w:jc w:val="center"/>
        <w:rPr>
          <w:sz w:val="32"/>
          <w:szCs w:val="32"/>
        </w:rPr>
      </w:pPr>
      <w:r>
        <w:rPr>
          <w:rFonts w:ascii="Cutive" w:eastAsia="Cutive" w:hAnsi="Cutive" w:cs="Cutive"/>
          <w:b/>
          <w:sz w:val="32"/>
          <w:szCs w:val="32"/>
          <w:highlight w:val="white"/>
        </w:rPr>
        <w:t>CLAS12</w:t>
      </w:r>
    </w:p>
    <w:p w14:paraId="52393C10" w14:textId="19CF4187" w:rsidR="009A4974" w:rsidRDefault="00A9771B">
      <w:pPr>
        <w:pStyle w:val="LO-normal"/>
        <w:jc w:val="center"/>
      </w:pPr>
      <w:r>
        <w:rPr>
          <w:rFonts w:ascii="Cutive" w:eastAsia="Cutive" w:hAnsi="Cutive" w:cs="Cutive"/>
          <w:b/>
          <w:sz w:val="32"/>
          <w:szCs w:val="32"/>
          <w:highlight w:val="white"/>
        </w:rPr>
        <w:t xml:space="preserve">Hall B </w:t>
      </w:r>
      <w:r w:rsidR="003650E6">
        <w:rPr>
          <w:rFonts w:ascii="Cutive" w:eastAsia="Cutive" w:hAnsi="Cutive" w:cs="Cutive"/>
          <w:b/>
          <w:sz w:val="32"/>
          <w:szCs w:val="32"/>
          <w:highlight w:val="white"/>
        </w:rPr>
        <w:t xml:space="preserve">ALERT </w:t>
      </w:r>
      <w:r>
        <w:rPr>
          <w:rFonts w:ascii="Cutive" w:eastAsia="Cutive" w:hAnsi="Cutive" w:cs="Cutive"/>
          <w:b/>
          <w:sz w:val="32"/>
          <w:szCs w:val="32"/>
          <w:highlight w:val="white"/>
        </w:rPr>
        <w:t>Run Group (RG-</w:t>
      </w:r>
      <w:r w:rsidR="003650E6">
        <w:rPr>
          <w:rFonts w:ascii="Cutive" w:eastAsia="Cutive" w:hAnsi="Cutive" w:cs="Cutive"/>
          <w:b/>
          <w:sz w:val="32"/>
          <w:szCs w:val="32"/>
          <w:highlight w:val="white"/>
        </w:rPr>
        <w:t>L and RG-T</w:t>
      </w:r>
      <w:r>
        <w:rPr>
          <w:rFonts w:ascii="Cutive" w:eastAsia="Cutive" w:hAnsi="Cutive" w:cs="Cutive"/>
          <w:b/>
          <w:sz w:val="32"/>
          <w:szCs w:val="32"/>
          <w:highlight w:val="white"/>
        </w:rPr>
        <w:t>)</w:t>
      </w:r>
    </w:p>
    <w:p w14:paraId="78C21E3B" w14:textId="77777777" w:rsidR="009A4974" w:rsidRDefault="00A9771B">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6173AEDA" w:rsidR="009A4974" w:rsidRDefault="00A9771B" w:rsidP="00F90F80">
      <w:pPr>
        <w:pStyle w:val="LO-normal"/>
        <w:spacing w:before="40"/>
        <w:ind w:right="360"/>
        <w:jc w:val="both"/>
      </w:pPr>
      <w:r>
        <w:rPr>
          <w:rFonts w:ascii="Calibri" w:eastAsia="Calibri" w:hAnsi="Calibri" w:cs="Calibri"/>
          <w:b/>
          <w:sz w:val="24"/>
          <w:szCs w:val="24"/>
        </w:rPr>
        <w:t xml:space="preserve">This Radiological Safety Analysis Document (RSAD) identifies the general conditions associated with the CLAS12 </w:t>
      </w:r>
      <w:r w:rsidR="003650E6">
        <w:rPr>
          <w:rFonts w:ascii="Calibri" w:eastAsia="Calibri" w:hAnsi="Calibri" w:cs="Calibri"/>
          <w:b/>
          <w:sz w:val="24"/>
          <w:szCs w:val="24"/>
        </w:rPr>
        <w:t xml:space="preserve">ALERT </w:t>
      </w:r>
      <w:r>
        <w:rPr>
          <w:rFonts w:ascii="Calibri" w:eastAsia="Calibri" w:hAnsi="Calibri" w:cs="Calibri"/>
          <w:b/>
          <w:sz w:val="24"/>
          <w:szCs w:val="24"/>
        </w:rPr>
        <w:t xml:space="preserve">Run Group </w:t>
      </w:r>
      <w:r w:rsidR="00F03107">
        <w:rPr>
          <w:rFonts w:ascii="Calibri" w:eastAsia="Calibri" w:hAnsi="Calibri" w:cs="Calibri"/>
          <w:b/>
          <w:sz w:val="24"/>
          <w:szCs w:val="24"/>
        </w:rPr>
        <w:t>(</w:t>
      </w:r>
      <w:r>
        <w:rPr>
          <w:rFonts w:ascii="Calibri" w:eastAsia="Calibri" w:hAnsi="Calibri" w:cs="Calibri"/>
          <w:b/>
          <w:sz w:val="24"/>
          <w:szCs w:val="24"/>
        </w:rPr>
        <w:t>RG-</w:t>
      </w:r>
      <w:r w:rsidR="003650E6">
        <w:rPr>
          <w:rFonts w:ascii="Calibri" w:eastAsia="Calibri" w:hAnsi="Calibri" w:cs="Calibri"/>
          <w:b/>
          <w:sz w:val="24"/>
          <w:szCs w:val="24"/>
        </w:rPr>
        <w:t>L and RG-T</w:t>
      </w:r>
      <w:r>
        <w:rPr>
          <w:rFonts w:ascii="Calibri" w:eastAsia="Calibri" w:hAnsi="Calibri" w:cs="Calibri"/>
          <w:b/>
          <w:sz w:val="24"/>
          <w:szCs w:val="24"/>
        </w:rPr>
        <w:t>) in Hall B, as well as the controls associated with the production, movement, or import of radioactive materials.</w:t>
      </w:r>
    </w:p>
    <w:p w14:paraId="022D7A56" w14:textId="77777777" w:rsidR="009A4974" w:rsidRDefault="00A9771B" w:rsidP="00F90F80">
      <w:pPr>
        <w:pStyle w:val="LO-normal"/>
        <w:numPr>
          <w:ilvl w:val="0"/>
          <w:numId w:val="1"/>
        </w:numPr>
        <w:spacing w:before="240" w:after="240"/>
        <w:ind w:left="360"/>
        <w:rPr>
          <w:sz w:val="24"/>
          <w:szCs w:val="24"/>
        </w:rPr>
      </w:pPr>
      <w:r>
        <w:rPr>
          <w:rFonts w:ascii="Calibri" w:eastAsia="Calibri" w:hAnsi="Calibri" w:cs="Calibri"/>
          <w:b/>
          <w:sz w:val="24"/>
          <w:szCs w:val="24"/>
        </w:rPr>
        <w:t>Description</w:t>
      </w:r>
    </w:p>
    <w:p w14:paraId="272E1B05" w14:textId="272E56DE" w:rsidR="00291F7D" w:rsidRPr="00BE3D3A" w:rsidRDefault="00A9771B" w:rsidP="00F90F80">
      <w:pPr>
        <w:pStyle w:val="LO-normal"/>
        <w:spacing w:before="40"/>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w:t>
      </w:r>
      <w:r w:rsidR="003650E6">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003650E6">
        <w:rPr>
          <w:rFonts w:asciiTheme="majorHAnsi" w:eastAsia="Calibri" w:hAnsiTheme="majorHAnsi" w:cstheme="majorHAnsi"/>
          <w:sz w:val="24"/>
          <w:szCs w:val="24"/>
        </w:rPr>
        <w:t>(</w:t>
      </w:r>
      <w:r w:rsidR="007B1DDC">
        <w:rPr>
          <w:rFonts w:asciiTheme="majorHAnsi" w:eastAsia="Calibri" w:hAnsiTheme="majorHAnsi" w:cstheme="majorHAnsi"/>
          <w:sz w:val="24"/>
          <w:szCs w:val="24"/>
        </w:rPr>
        <w:t>comprised of</w:t>
      </w:r>
      <w:r w:rsidR="003650E6">
        <w:rPr>
          <w:rFonts w:asciiTheme="majorHAnsi" w:eastAsia="Calibri" w:hAnsiTheme="majorHAnsi" w:cstheme="majorHAnsi"/>
          <w:sz w:val="24"/>
          <w:szCs w:val="24"/>
        </w:rPr>
        <w:t xml:space="preserve"> Run Groups L and T)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 xml:space="preserve">during the </w:t>
      </w:r>
      <w:r w:rsidR="003650E6">
        <w:rPr>
          <w:rFonts w:asciiTheme="majorHAnsi" w:eastAsia="Calibri" w:hAnsiTheme="majorHAnsi" w:cstheme="majorHAnsi"/>
          <w:sz w:val="24"/>
          <w:szCs w:val="24"/>
        </w:rPr>
        <w:t>spring/summer</w:t>
      </w:r>
      <w:r w:rsidR="00291F7D" w:rsidRPr="00BE3D3A">
        <w:rPr>
          <w:rFonts w:asciiTheme="majorHAnsi" w:eastAsia="Calibri" w:hAnsiTheme="majorHAnsi" w:cstheme="majorHAnsi"/>
          <w:sz w:val="24"/>
          <w:szCs w:val="24"/>
        </w:rPr>
        <w:t xml:space="preserve"> of 202</w:t>
      </w:r>
      <w:r w:rsidR="003650E6">
        <w:rPr>
          <w:rFonts w:asciiTheme="majorHAnsi" w:eastAsia="Calibri" w:hAnsiTheme="majorHAnsi" w:cstheme="majorHAnsi"/>
          <w:sz w:val="24"/>
          <w:szCs w:val="24"/>
        </w:rPr>
        <w:t>5</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and solenoid superconducting magnets</w:t>
      </w:r>
      <w:r w:rsidR="00442141">
        <w:rPr>
          <w:rFonts w:asciiTheme="majorHAnsi" w:eastAsia="Calibri" w:hAnsiTheme="majorHAnsi" w:cstheme="majorHAnsi"/>
          <w:sz w:val="24"/>
          <w:szCs w:val="24"/>
        </w:rPr>
        <w:t xml:space="preserve"> in the forward and central regions, respectively, of CLAS12</w:t>
      </w:r>
      <w:r w:rsidRPr="00BE3D3A">
        <w:rPr>
          <w:rFonts w:asciiTheme="majorHAnsi" w:eastAsia="Calibri" w:hAnsiTheme="majorHAnsi" w:cstheme="majorHAnsi"/>
          <w:sz w:val="24"/>
          <w:szCs w:val="24"/>
        </w:rPr>
        <w:t xml:space="preserve">.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3650E6">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alorimeters</w:t>
      </w:r>
      <w:r w:rsidR="003650E6">
        <w:rPr>
          <w:rFonts w:asciiTheme="majorHAnsi" w:eastAsia="Calibri" w:hAnsiTheme="majorHAnsi" w:cstheme="majorHAnsi"/>
          <w:sz w:val="24"/>
          <w:szCs w:val="24"/>
        </w:rPr>
        <w:t xml:space="preserve"> in the forward region. In the central region the experiment will employ the new ALERT detector </w:t>
      </w:r>
      <w:r w:rsidR="007B1DDC">
        <w:rPr>
          <w:rFonts w:asciiTheme="majorHAnsi" w:eastAsia="Calibri" w:hAnsiTheme="majorHAnsi" w:cstheme="majorHAnsi"/>
          <w:sz w:val="24"/>
          <w:szCs w:val="24"/>
        </w:rPr>
        <w:t xml:space="preserve">consisting of </w:t>
      </w:r>
      <w:r w:rsidR="00442141">
        <w:rPr>
          <w:rFonts w:asciiTheme="majorHAnsi" w:eastAsia="Calibri" w:hAnsiTheme="majorHAnsi" w:cstheme="majorHAnsi"/>
          <w:sz w:val="24"/>
          <w:szCs w:val="24"/>
        </w:rPr>
        <w:t xml:space="preserve">two sub-detectors, </w:t>
      </w:r>
      <w:r w:rsidR="003650E6">
        <w:rPr>
          <w:rFonts w:asciiTheme="majorHAnsi" w:eastAsia="Calibri" w:hAnsiTheme="majorHAnsi" w:cstheme="majorHAnsi"/>
          <w:sz w:val="24"/>
          <w:szCs w:val="24"/>
        </w:rPr>
        <w:t>the AHDC hyperbolic drift chamber</w:t>
      </w:r>
      <w:r w:rsidR="00442141">
        <w:rPr>
          <w:rFonts w:asciiTheme="majorHAnsi" w:eastAsia="Calibri" w:hAnsiTheme="majorHAnsi" w:cstheme="majorHAnsi"/>
          <w:sz w:val="24"/>
          <w:szCs w:val="24"/>
        </w:rPr>
        <w:t xml:space="preserve"> surrounding the target </w:t>
      </w:r>
      <w:r w:rsidR="003650E6">
        <w:rPr>
          <w:rFonts w:asciiTheme="majorHAnsi" w:eastAsia="Calibri" w:hAnsiTheme="majorHAnsi" w:cstheme="majorHAnsi"/>
          <w:sz w:val="24"/>
          <w:szCs w:val="24"/>
        </w:rPr>
        <w:t xml:space="preserve">and the ATOF </w:t>
      </w:r>
      <w:r w:rsidR="007B1DDC">
        <w:rPr>
          <w:rFonts w:asciiTheme="majorHAnsi" w:eastAsia="Calibri" w:hAnsiTheme="majorHAnsi" w:cstheme="majorHAnsi"/>
          <w:sz w:val="24"/>
          <w:szCs w:val="24"/>
        </w:rPr>
        <w:t xml:space="preserve">time-of-flight </w:t>
      </w:r>
      <w:r w:rsidR="003650E6">
        <w:rPr>
          <w:rFonts w:asciiTheme="majorHAnsi" w:eastAsia="Calibri" w:hAnsiTheme="majorHAnsi" w:cstheme="majorHAnsi"/>
          <w:sz w:val="24"/>
          <w:szCs w:val="24"/>
        </w:rPr>
        <w:t>detector system</w:t>
      </w:r>
      <w:r w:rsidR="00442141">
        <w:rPr>
          <w:rFonts w:asciiTheme="majorHAnsi" w:eastAsia="Calibri" w:hAnsiTheme="majorHAnsi" w:cstheme="majorHAnsi"/>
          <w:sz w:val="24"/>
          <w:szCs w:val="24"/>
        </w:rPr>
        <w:t xml:space="preserve"> </w:t>
      </w:r>
      <w:r w:rsidR="001E4E76">
        <w:rPr>
          <w:rFonts w:asciiTheme="majorHAnsi" w:eastAsia="Calibri" w:hAnsiTheme="majorHAnsi" w:cstheme="majorHAnsi"/>
          <w:sz w:val="24"/>
          <w:szCs w:val="24"/>
        </w:rPr>
        <w:t>locat</w:t>
      </w:r>
      <w:r w:rsidR="00442141">
        <w:rPr>
          <w:rFonts w:asciiTheme="majorHAnsi" w:eastAsia="Calibri" w:hAnsiTheme="majorHAnsi" w:cstheme="majorHAnsi"/>
          <w:sz w:val="24"/>
          <w:szCs w:val="24"/>
        </w:rPr>
        <w:t>ed radially outward of the AHDC</w:t>
      </w:r>
      <w:r w:rsidRPr="00BE3D3A">
        <w:rPr>
          <w:rFonts w:asciiTheme="majorHAnsi" w:eastAsia="Calibri" w:hAnsiTheme="majorHAnsi" w:cstheme="majorHAnsi"/>
          <w:sz w:val="24"/>
          <w:szCs w:val="24"/>
        </w:rPr>
        <w:t xml:space="preserve">. </w:t>
      </w:r>
    </w:p>
    <w:p w14:paraId="32C3F4F2" w14:textId="42C6CEF6" w:rsidR="00F95E30" w:rsidRPr="00B663A3" w:rsidRDefault="00A9771B" w:rsidP="00F90F80">
      <w:pPr>
        <w:pStyle w:val="LO-normal"/>
        <w:spacing w:before="40"/>
        <w:ind w:right="360" w:firstLine="360"/>
        <w:jc w:val="both"/>
        <w:rPr>
          <w:rFonts w:asciiTheme="majorHAnsi" w:eastAsia="Calibri" w:hAnsiTheme="majorHAnsi" w:cstheme="majorHAnsi"/>
          <w:color w:val="000000" w:themeColor="text1"/>
          <w:sz w:val="24"/>
          <w:szCs w:val="24"/>
        </w:rPr>
      </w:pPr>
      <w:r w:rsidRPr="00B663A3">
        <w:rPr>
          <w:rFonts w:asciiTheme="majorHAnsi" w:eastAsia="Calibri" w:hAnsiTheme="majorHAnsi" w:cstheme="majorHAnsi"/>
          <w:color w:val="000000" w:themeColor="text1"/>
          <w:sz w:val="24"/>
          <w:szCs w:val="24"/>
        </w:rPr>
        <w:t xml:space="preserve">During this run period, </w:t>
      </w:r>
      <w:r w:rsidR="00B663A3" w:rsidRPr="00B663A3">
        <w:rPr>
          <w:rFonts w:asciiTheme="majorHAnsi" w:eastAsia="Calibri" w:hAnsiTheme="majorHAnsi" w:cstheme="majorHAnsi"/>
          <w:color w:val="000000" w:themeColor="text1"/>
          <w:sz w:val="24"/>
          <w:szCs w:val="24"/>
        </w:rPr>
        <w:t xml:space="preserve">the </w:t>
      </w:r>
      <w:r w:rsidRPr="00B663A3">
        <w:rPr>
          <w:rFonts w:asciiTheme="majorHAnsi" w:eastAsia="Calibri" w:hAnsiTheme="majorHAnsi" w:cstheme="majorHAnsi"/>
          <w:color w:val="000000" w:themeColor="text1"/>
          <w:sz w:val="24"/>
          <w:szCs w:val="24"/>
        </w:rPr>
        <w:t xml:space="preserve">CLAS12 </w:t>
      </w:r>
      <w:r w:rsidR="009E34AE" w:rsidRPr="00B663A3">
        <w:rPr>
          <w:rFonts w:asciiTheme="majorHAnsi" w:eastAsia="Calibri" w:hAnsiTheme="majorHAnsi" w:cstheme="majorHAnsi"/>
          <w:color w:val="000000" w:themeColor="text1"/>
          <w:sz w:val="24"/>
          <w:szCs w:val="24"/>
        </w:rPr>
        <w:t xml:space="preserve">Forward Detector system </w:t>
      </w:r>
      <w:r w:rsidRPr="00B663A3">
        <w:rPr>
          <w:rFonts w:asciiTheme="majorHAnsi" w:eastAsia="Calibri" w:hAnsiTheme="majorHAnsi" w:cstheme="majorHAnsi"/>
          <w:color w:val="000000" w:themeColor="text1"/>
          <w:sz w:val="24"/>
          <w:szCs w:val="24"/>
        </w:rPr>
        <w:t>will be used in its standard detector and shielding configuration with the Forward Tagger (FT) O</w:t>
      </w:r>
      <w:r w:rsidR="003650E6" w:rsidRPr="00B663A3">
        <w:rPr>
          <w:rFonts w:asciiTheme="majorHAnsi" w:eastAsia="Calibri" w:hAnsiTheme="majorHAnsi" w:cstheme="majorHAnsi"/>
          <w:color w:val="000000" w:themeColor="text1"/>
          <w:sz w:val="24"/>
          <w:szCs w:val="24"/>
        </w:rPr>
        <w:t>N. In the central region</w:t>
      </w:r>
      <w:r w:rsidR="009E34AE" w:rsidRPr="00B663A3">
        <w:rPr>
          <w:rFonts w:asciiTheme="majorHAnsi" w:eastAsia="Calibri" w:hAnsiTheme="majorHAnsi" w:cstheme="majorHAnsi"/>
          <w:color w:val="000000" w:themeColor="text1"/>
          <w:sz w:val="24"/>
          <w:szCs w:val="24"/>
        </w:rPr>
        <w:t xml:space="preserve"> within the solenoid,</w:t>
      </w:r>
      <w:r w:rsidR="003650E6" w:rsidRPr="00B663A3">
        <w:rPr>
          <w:rFonts w:asciiTheme="majorHAnsi" w:eastAsia="Calibri" w:hAnsiTheme="majorHAnsi" w:cstheme="majorHAnsi"/>
          <w:color w:val="000000" w:themeColor="text1"/>
          <w:sz w:val="24"/>
          <w:szCs w:val="24"/>
        </w:rPr>
        <w:t xml:space="preserve"> the CVT tracker will be replaced by the new ALERT detector system (AHDC + ATOF)</w:t>
      </w:r>
      <w:r w:rsidRPr="00B663A3">
        <w:rPr>
          <w:rFonts w:asciiTheme="majorHAnsi" w:eastAsia="Calibri" w:hAnsiTheme="majorHAnsi" w:cstheme="majorHAnsi"/>
          <w:color w:val="000000" w:themeColor="text1"/>
          <w:sz w:val="24"/>
          <w:szCs w:val="24"/>
        </w:rPr>
        <w:t xml:space="preserve">. </w:t>
      </w:r>
      <w:r w:rsidR="007B1DDC" w:rsidRPr="00B663A3">
        <w:rPr>
          <w:rFonts w:asciiTheme="majorHAnsi" w:eastAsia="Calibri" w:hAnsiTheme="majorHAnsi" w:cstheme="majorHAnsi"/>
          <w:color w:val="000000" w:themeColor="text1"/>
          <w:sz w:val="24"/>
          <w:szCs w:val="24"/>
        </w:rPr>
        <w:t xml:space="preserve">At backward angles the BAND neutron detector will be installed. </w:t>
      </w:r>
      <w:r w:rsidR="00442141" w:rsidRPr="00B663A3">
        <w:rPr>
          <w:rFonts w:asciiTheme="majorHAnsi" w:eastAsia="Calibri" w:hAnsiTheme="majorHAnsi" w:cstheme="majorHAnsi"/>
          <w:color w:val="000000" w:themeColor="text1"/>
          <w:sz w:val="24"/>
          <w:szCs w:val="24"/>
        </w:rPr>
        <w:t xml:space="preserve">This run will employ a high-pressure gas target cell (filled with H, D, and </w:t>
      </w:r>
      <w:r w:rsidR="00442141" w:rsidRPr="00B663A3">
        <w:rPr>
          <w:rFonts w:asciiTheme="majorHAnsi" w:eastAsia="Calibri" w:hAnsiTheme="majorHAnsi" w:cstheme="majorHAnsi"/>
          <w:color w:val="000000" w:themeColor="text1"/>
          <w:sz w:val="24"/>
          <w:szCs w:val="24"/>
          <w:vertAlign w:val="superscript"/>
        </w:rPr>
        <w:t>4</w:t>
      </w:r>
      <w:r w:rsidR="00442141" w:rsidRPr="00B663A3">
        <w:rPr>
          <w:rFonts w:asciiTheme="majorHAnsi" w:eastAsia="Calibri" w:hAnsiTheme="majorHAnsi" w:cstheme="majorHAnsi"/>
          <w:color w:val="000000" w:themeColor="text1"/>
          <w:sz w:val="24"/>
          <w:szCs w:val="24"/>
        </w:rPr>
        <w:t>He) placed along the beamline inside the ALERT detector. The target cell will be a 45-cm-long Kapton straw of 0.6 cm diameter and 5</w:t>
      </w:r>
      <w:r w:rsidR="00F95E30" w:rsidRPr="00B663A3">
        <w:rPr>
          <w:rFonts w:asciiTheme="majorHAnsi" w:eastAsia="Calibri" w:hAnsiTheme="majorHAnsi" w:cstheme="majorHAnsi"/>
          <w:color w:val="000000" w:themeColor="text1"/>
          <w:sz w:val="24"/>
          <w:szCs w:val="24"/>
        </w:rPr>
        <w:t>0</w:t>
      </w:r>
      <w:r w:rsidR="00442141" w:rsidRPr="00B663A3">
        <w:rPr>
          <w:rFonts w:asciiTheme="majorHAnsi" w:eastAsia="Calibri" w:hAnsiTheme="majorHAnsi" w:cstheme="majorHAnsi"/>
          <w:color w:val="000000" w:themeColor="text1"/>
          <w:sz w:val="24"/>
          <w:szCs w:val="24"/>
        </w:rPr>
        <w:t xml:space="preserve"> </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wall thickness. It will be operated at a nominal pressure of 60 psi (4 atm). The straw has entrance and exit windows of </w:t>
      </w:r>
      <w:r w:rsidR="00F95E30" w:rsidRPr="00B663A3">
        <w:rPr>
          <w:rFonts w:asciiTheme="majorHAnsi" w:eastAsia="Calibri" w:hAnsiTheme="majorHAnsi" w:cstheme="majorHAnsi"/>
          <w:color w:val="000000" w:themeColor="text1"/>
          <w:sz w:val="24"/>
          <w:szCs w:val="24"/>
        </w:rPr>
        <w:t>30</w:t>
      </w:r>
      <w:r w:rsidR="00442141" w:rsidRPr="00B663A3">
        <w:rPr>
          <w:rFonts w:asciiTheme="majorHAnsi" w:eastAsia="Calibri" w:hAnsiTheme="majorHAnsi" w:cstheme="majorHAnsi"/>
          <w:color w:val="000000" w:themeColor="text1"/>
          <w:sz w:val="24"/>
          <w:szCs w:val="24"/>
        </w:rPr>
        <w:t>-</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thick </w:t>
      </w:r>
      <w:r w:rsidR="00F95E30" w:rsidRPr="00B663A3">
        <w:rPr>
          <w:rFonts w:asciiTheme="majorHAnsi" w:eastAsia="Calibri" w:hAnsiTheme="majorHAnsi" w:cstheme="majorHAnsi"/>
          <w:color w:val="000000" w:themeColor="text1"/>
          <w:sz w:val="24"/>
          <w:szCs w:val="24"/>
        </w:rPr>
        <w:t>aluminum</w:t>
      </w:r>
      <w:r w:rsidR="00442141" w:rsidRPr="00B663A3">
        <w:rPr>
          <w:rFonts w:asciiTheme="majorHAnsi" w:eastAsia="Calibri" w:hAnsiTheme="majorHAnsi" w:cstheme="majorHAnsi"/>
          <w:color w:val="000000" w:themeColor="text1"/>
          <w:sz w:val="24"/>
          <w:szCs w:val="24"/>
        </w:rPr>
        <w:t xml:space="preserve">. The center </w:t>
      </w:r>
      <w:r w:rsidR="00F95E30" w:rsidRPr="00B663A3">
        <w:rPr>
          <w:rFonts w:asciiTheme="majorHAnsi" w:eastAsia="Calibri" w:hAnsiTheme="majorHAnsi" w:cstheme="majorHAnsi"/>
          <w:color w:val="000000" w:themeColor="text1"/>
          <w:sz w:val="24"/>
          <w:szCs w:val="24"/>
        </w:rPr>
        <w:t xml:space="preserve">of ALERT is defined as the midpoint of the ATOF scintillators.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 xml:space="preserve">ALERT </w:t>
      </w:r>
      <w:r w:rsidR="00B663A3" w:rsidRPr="00B663A3">
        <w:rPr>
          <w:rFonts w:asciiTheme="majorHAnsi" w:eastAsia="Calibri" w:hAnsiTheme="majorHAnsi" w:cstheme="majorHAnsi"/>
          <w:color w:val="000000" w:themeColor="text1"/>
          <w:sz w:val="24"/>
          <w:szCs w:val="24"/>
        </w:rPr>
        <w:t xml:space="preserve">detector </w:t>
      </w:r>
      <w:r w:rsidR="00F95E30" w:rsidRPr="00B663A3">
        <w:rPr>
          <w:rFonts w:asciiTheme="majorHAnsi" w:eastAsia="Calibri" w:hAnsiTheme="majorHAnsi" w:cstheme="majorHAnsi"/>
          <w:color w:val="000000" w:themeColor="text1"/>
          <w:sz w:val="24"/>
          <w:szCs w:val="24"/>
        </w:rPr>
        <w:t xml:space="preserve">center is positioned at the solenoid center, which is 130.3 cm upstream of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Hall center in the</w:t>
      </w:r>
      <w:r w:rsidR="00442141" w:rsidRPr="00B663A3">
        <w:rPr>
          <w:rFonts w:asciiTheme="majorHAnsi" w:eastAsia="Calibri" w:hAnsiTheme="majorHAnsi" w:cstheme="majorHAnsi"/>
          <w:color w:val="000000" w:themeColor="text1"/>
          <w:sz w:val="24"/>
          <w:szCs w:val="24"/>
        </w:rPr>
        <w:t xml:space="preserve"> nominal CLAS12 coordinate system. The vacuum will be disconnected between the upstream and downstream beamlines with </w:t>
      </w:r>
      <w:r w:rsidR="00F95E30" w:rsidRPr="00B663A3">
        <w:rPr>
          <w:rFonts w:asciiTheme="majorHAnsi" w:eastAsia="Calibri" w:hAnsiTheme="majorHAnsi" w:cstheme="majorHAnsi"/>
          <w:color w:val="000000" w:themeColor="text1"/>
          <w:sz w:val="24"/>
          <w:szCs w:val="24"/>
        </w:rPr>
        <w:t>1</w:t>
      </w:r>
      <w:r w:rsidR="00442141" w:rsidRPr="00B663A3">
        <w:rPr>
          <w:rFonts w:asciiTheme="majorHAnsi" w:eastAsia="Calibri" w:hAnsiTheme="majorHAnsi" w:cstheme="majorHAnsi"/>
          <w:color w:val="000000" w:themeColor="text1"/>
          <w:sz w:val="24"/>
          <w:szCs w:val="24"/>
        </w:rPr>
        <w:t xml:space="preserve"> cm of air between the </w:t>
      </w:r>
      <w:r w:rsidR="00F95E30" w:rsidRPr="00B663A3">
        <w:rPr>
          <w:rFonts w:asciiTheme="majorHAnsi" w:eastAsia="Calibri" w:hAnsiTheme="majorHAnsi" w:cstheme="majorHAnsi"/>
          <w:color w:val="000000" w:themeColor="text1"/>
          <w:sz w:val="24"/>
          <w:szCs w:val="24"/>
        </w:rPr>
        <w:t xml:space="preserve">upstream beam pipe window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thick aluminum) and the upstream target window.  ALERT will have a helium extension tube on the downstream end with a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aluminum window.  There will be a 4 cm air gap between this window and the 75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m thick window on the downstream beam pipe.</w:t>
      </w:r>
    </w:p>
    <w:p w14:paraId="3E3FCDC3" w14:textId="0737C6B7" w:rsidR="00F90F80" w:rsidRDefault="00A9771B" w:rsidP="001E4E76">
      <w:pPr>
        <w:pStyle w:val="Heading2"/>
        <w:pBdr>
          <w:bottom w:val="single" w:sz="6" w:space="15" w:color="E0E0E0"/>
        </w:pBdr>
        <w:spacing w:before="40" w:after="0" w:line="276"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lastRenderedPageBreak/>
        <w:t xml:space="preserve">The </w:t>
      </w:r>
      <w:r w:rsidR="003650E6">
        <w:rPr>
          <w:rFonts w:asciiTheme="majorHAnsi" w:eastAsia="Calibri" w:hAnsiTheme="majorHAnsi" w:cstheme="majorHAnsi"/>
          <w:color w:val="000000" w:themeColor="text1"/>
          <w:sz w:val="24"/>
          <w:szCs w:val="24"/>
        </w:rPr>
        <w:t>ALERT</w:t>
      </w:r>
      <w:r w:rsidRPr="00606F9A">
        <w:rPr>
          <w:rFonts w:asciiTheme="majorHAnsi" w:eastAsia="Calibri" w:hAnsiTheme="majorHAnsi" w:cstheme="majorHAnsi"/>
          <w:color w:val="000000" w:themeColor="text1"/>
          <w:sz w:val="24"/>
          <w:szCs w:val="24"/>
        </w:rPr>
        <w:t xml:space="preserve"> run will </w:t>
      </w:r>
      <w:r w:rsidR="003650E6">
        <w:rPr>
          <w:rFonts w:asciiTheme="majorHAnsi" w:eastAsia="Calibri" w:hAnsiTheme="majorHAnsi" w:cstheme="majorHAnsi"/>
          <w:color w:val="000000" w:themeColor="text1"/>
          <w:sz w:val="24"/>
          <w:szCs w:val="24"/>
        </w:rPr>
        <w:t>take data using 2.2 GeV (1-pass)</w:t>
      </w:r>
      <w:r w:rsidR="007B1DDC">
        <w:rPr>
          <w:rFonts w:asciiTheme="majorHAnsi" w:eastAsia="Calibri" w:hAnsiTheme="majorHAnsi" w:cstheme="majorHAnsi"/>
          <w:color w:val="000000" w:themeColor="text1"/>
          <w:sz w:val="24"/>
          <w:szCs w:val="24"/>
        </w:rPr>
        <w:t xml:space="preserve"> beam for detector calibrations and both </w:t>
      </w:r>
      <w:r w:rsidR="003650E6">
        <w:rPr>
          <w:rFonts w:asciiTheme="majorHAnsi" w:eastAsia="Calibri" w:hAnsiTheme="majorHAnsi" w:cstheme="majorHAnsi"/>
          <w:color w:val="000000" w:themeColor="text1"/>
          <w:sz w:val="24"/>
          <w:szCs w:val="24"/>
        </w:rPr>
        <w:t>6.6 GeV (</w:t>
      </w:r>
      <w:r w:rsidR="00291F7D" w:rsidRPr="00606F9A">
        <w:rPr>
          <w:rFonts w:asciiTheme="majorHAnsi" w:eastAsia="Calibri" w:hAnsiTheme="majorHAnsi" w:cstheme="majorHAnsi"/>
          <w:color w:val="000000" w:themeColor="text1"/>
          <w:sz w:val="24"/>
          <w:szCs w:val="24"/>
        </w:rPr>
        <w:t>3-pass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and </w:t>
      </w:r>
      <w:r w:rsidR="003650E6">
        <w:rPr>
          <w:rFonts w:asciiTheme="majorHAnsi" w:eastAsia="Calibri" w:hAnsiTheme="majorHAnsi" w:cstheme="majorHAnsi"/>
          <w:color w:val="000000" w:themeColor="text1"/>
          <w:sz w:val="24"/>
          <w:szCs w:val="24"/>
        </w:rPr>
        <w:t>11 GeV (5</w:t>
      </w:r>
      <w:r w:rsidR="00291F7D" w:rsidRPr="00606F9A">
        <w:rPr>
          <w:rFonts w:asciiTheme="majorHAnsi" w:eastAsia="Calibri" w:hAnsiTheme="majorHAnsi" w:cstheme="majorHAnsi"/>
          <w:color w:val="000000" w:themeColor="text1"/>
          <w:sz w:val="24"/>
          <w:szCs w:val="24"/>
        </w:rPr>
        <w:t>-pass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polarized electron beams</w:t>
      </w:r>
      <w:r w:rsidR="00F879D9" w:rsidRPr="00606F9A">
        <w:rPr>
          <w:rFonts w:asciiTheme="majorHAnsi" w:eastAsia="Calibri" w:hAnsiTheme="majorHAnsi" w:cstheme="majorHAnsi"/>
          <w:color w:val="000000" w:themeColor="text1"/>
          <w:sz w:val="24"/>
          <w:szCs w:val="24"/>
        </w:rPr>
        <w:t xml:space="preserve"> </w:t>
      </w:r>
      <w:r w:rsidR="007B1DDC">
        <w:rPr>
          <w:rFonts w:asciiTheme="majorHAnsi" w:eastAsia="Calibri" w:hAnsiTheme="majorHAnsi" w:cstheme="majorHAnsi"/>
          <w:color w:val="000000" w:themeColor="text1"/>
          <w:sz w:val="24"/>
          <w:szCs w:val="24"/>
        </w:rPr>
        <w:t xml:space="preserve">for production data taking. </w:t>
      </w:r>
      <w:r w:rsidR="009E34AE">
        <w:rPr>
          <w:rFonts w:asciiTheme="majorHAnsi" w:eastAsia="Calibri" w:hAnsiTheme="majorHAnsi" w:cstheme="majorHAnsi"/>
          <w:color w:val="000000" w:themeColor="text1"/>
          <w:sz w:val="24"/>
          <w:szCs w:val="24"/>
        </w:rPr>
        <w:t>Production d</w:t>
      </w:r>
      <w:r w:rsidR="007B1DDC">
        <w:rPr>
          <w:rFonts w:asciiTheme="majorHAnsi" w:eastAsia="Calibri" w:hAnsiTheme="majorHAnsi" w:cstheme="majorHAnsi"/>
          <w:color w:val="000000" w:themeColor="text1"/>
          <w:sz w:val="24"/>
          <w:szCs w:val="24"/>
        </w:rPr>
        <w:t xml:space="preserve">ata collection will take place </w:t>
      </w:r>
      <w:r w:rsidR="003650E6">
        <w:rPr>
          <w:rFonts w:asciiTheme="majorHAnsi" w:eastAsia="Calibri" w:hAnsiTheme="majorHAnsi" w:cstheme="majorHAnsi"/>
          <w:color w:val="000000" w:themeColor="text1"/>
          <w:sz w:val="24"/>
          <w:szCs w:val="24"/>
        </w:rPr>
        <w:t xml:space="preserve">with </w:t>
      </w:r>
      <w:r w:rsidR="009E34AE">
        <w:rPr>
          <w:rFonts w:asciiTheme="majorHAnsi" w:eastAsia="Calibri" w:hAnsiTheme="majorHAnsi" w:cstheme="majorHAnsi"/>
          <w:color w:val="000000" w:themeColor="text1"/>
          <w:sz w:val="24"/>
          <w:szCs w:val="24"/>
        </w:rPr>
        <w:t xml:space="preserve">beam </w:t>
      </w:r>
      <w:r w:rsidRPr="00606F9A">
        <w:rPr>
          <w:rFonts w:asciiTheme="majorHAnsi" w:eastAsia="Calibri" w:hAnsiTheme="majorHAnsi" w:cstheme="majorHAnsi"/>
          <w:color w:val="000000" w:themeColor="text1"/>
          <w:sz w:val="24"/>
          <w:szCs w:val="24"/>
        </w:rPr>
        <w:t xml:space="preserve">currents up to </w:t>
      </w:r>
      <w:r w:rsidR="003650E6">
        <w:rPr>
          <w:rFonts w:asciiTheme="majorHAnsi" w:eastAsia="Calibri" w:hAnsiTheme="majorHAnsi" w:cstheme="majorHAnsi"/>
          <w:color w:val="000000" w:themeColor="text1"/>
          <w:sz w:val="24"/>
          <w:szCs w:val="24"/>
        </w:rPr>
        <w:t>10</w:t>
      </w:r>
      <w:r w:rsidRPr="00606F9A">
        <w:rPr>
          <w:rFonts w:asciiTheme="majorHAnsi" w:eastAsia="Calibri" w:hAnsiTheme="majorHAnsi" w:cstheme="majorHAnsi"/>
          <w:color w:val="000000" w:themeColor="text1"/>
          <w:sz w:val="24"/>
          <w:szCs w:val="24"/>
        </w:rPr>
        <w:t xml:space="preserve">00 </w:t>
      </w:r>
      <w:proofErr w:type="spellStart"/>
      <w:r w:rsidRPr="00606F9A">
        <w:rPr>
          <w:rFonts w:asciiTheme="majorHAnsi" w:eastAsia="Calibri" w:hAnsiTheme="majorHAnsi" w:cstheme="majorHAnsi"/>
          <w:color w:val="000000" w:themeColor="text1"/>
          <w:sz w:val="24"/>
          <w:szCs w:val="24"/>
        </w:rPr>
        <w:t>nA</w:t>
      </w:r>
      <w:proofErr w:type="spellEnd"/>
      <w:r w:rsidRPr="00606F9A">
        <w:rPr>
          <w:rFonts w:asciiTheme="majorHAnsi" w:eastAsia="Calibri" w:hAnsiTheme="majorHAnsi" w:cstheme="majorHAnsi"/>
          <w:color w:val="000000" w:themeColor="text1"/>
          <w:sz w:val="24"/>
          <w:szCs w:val="24"/>
        </w:rPr>
        <w:t xml:space="preserve"> during</w:t>
      </w:r>
      <w:r w:rsidR="007B1DDC">
        <w:rPr>
          <w:rFonts w:asciiTheme="majorHAnsi" w:eastAsia="Calibri" w:hAnsiTheme="majorHAnsi" w:cstheme="majorHAnsi"/>
          <w:color w:val="000000" w:themeColor="text1"/>
          <w:sz w:val="24"/>
          <w:szCs w:val="24"/>
        </w:rPr>
        <w:t xml:space="preserve"> </w:t>
      </w:r>
      <w:r w:rsidR="009E34AE">
        <w:rPr>
          <w:rFonts w:asciiTheme="majorHAnsi" w:eastAsia="Calibri" w:hAnsiTheme="majorHAnsi" w:cstheme="majorHAnsi"/>
          <w:color w:val="000000" w:themeColor="text1"/>
          <w:sz w:val="24"/>
          <w:szCs w:val="24"/>
        </w:rPr>
        <w:t>the</w:t>
      </w:r>
      <w:r w:rsidR="007B1DDC">
        <w:rPr>
          <w:rFonts w:asciiTheme="majorHAnsi" w:eastAsia="Calibri" w:hAnsiTheme="majorHAnsi" w:cstheme="majorHAnsi"/>
          <w:color w:val="000000" w:themeColor="text1"/>
          <w:sz w:val="24"/>
          <w:szCs w:val="24"/>
        </w:rPr>
        <w:t xml:space="preserve"> 11 GeV running and with beam currents up to 500 </w:t>
      </w:r>
      <w:proofErr w:type="spellStart"/>
      <w:r w:rsidR="007B1DDC">
        <w:rPr>
          <w:rFonts w:asciiTheme="majorHAnsi" w:eastAsia="Calibri" w:hAnsiTheme="majorHAnsi" w:cstheme="majorHAnsi"/>
          <w:color w:val="000000" w:themeColor="text1"/>
          <w:sz w:val="24"/>
          <w:szCs w:val="24"/>
        </w:rPr>
        <w:t>nA</w:t>
      </w:r>
      <w:proofErr w:type="spellEnd"/>
      <w:r w:rsidR="007B1DDC">
        <w:rPr>
          <w:rFonts w:asciiTheme="majorHAnsi" w:eastAsia="Calibri" w:hAnsiTheme="majorHAnsi" w:cstheme="majorHAnsi"/>
          <w:color w:val="000000" w:themeColor="text1"/>
          <w:sz w:val="24"/>
          <w:szCs w:val="24"/>
        </w:rPr>
        <w:t xml:space="preserve"> for the </w:t>
      </w:r>
      <w:r w:rsidR="009E34AE">
        <w:rPr>
          <w:rFonts w:asciiTheme="majorHAnsi" w:eastAsia="Calibri" w:hAnsiTheme="majorHAnsi" w:cstheme="majorHAnsi"/>
          <w:color w:val="000000" w:themeColor="text1"/>
          <w:sz w:val="24"/>
          <w:szCs w:val="24"/>
        </w:rPr>
        <w:t xml:space="preserve">two </w:t>
      </w:r>
      <w:r w:rsidR="007B1DDC">
        <w:rPr>
          <w:rFonts w:asciiTheme="majorHAnsi" w:eastAsia="Calibri" w:hAnsiTheme="majorHAnsi" w:cstheme="majorHAnsi"/>
          <w:color w:val="000000" w:themeColor="text1"/>
          <w:sz w:val="24"/>
          <w:szCs w:val="24"/>
        </w:rPr>
        <w:t>lower beam energies</w:t>
      </w:r>
      <w:r w:rsidRPr="00606F9A">
        <w:rPr>
          <w:rFonts w:asciiTheme="majorHAnsi" w:eastAsia="Calibri" w:hAnsiTheme="majorHAnsi" w:cstheme="majorHAnsi"/>
          <w:color w:val="000000" w:themeColor="text1"/>
          <w:sz w:val="24"/>
          <w:szCs w:val="24"/>
        </w:rPr>
        <w:t xml:space="preserve">. </w:t>
      </w:r>
      <w:r w:rsidR="007B42E9" w:rsidRPr="00606F9A">
        <w:rPr>
          <w:rFonts w:asciiTheme="majorHAnsi" w:eastAsia="Calibri" w:hAnsiTheme="majorHAnsi" w:cstheme="majorHAnsi"/>
          <w:color w:val="000000" w:themeColor="text1"/>
          <w:sz w:val="24"/>
          <w:szCs w:val="24"/>
        </w:rPr>
        <w:t xml:space="preserve">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 xml:space="preserve">luminosity during data taking will be </w:t>
      </w:r>
      <w:r w:rsidR="00F90F80" w:rsidRPr="00F90F80">
        <w:rPr>
          <w:rFonts w:ascii="Cambria Math" w:hAnsi="Cambria Math" w:cs="Cambria Math"/>
          <w:color w:val="000000"/>
          <w:sz w:val="24"/>
          <w:szCs w:val="24"/>
        </w:rPr>
        <w:t>≲</w:t>
      </w:r>
      <w:r w:rsidR="007B1DDC" w:rsidRPr="00F90F80">
        <w:rPr>
          <w:rFonts w:asciiTheme="majorHAnsi" w:eastAsia="Calibri" w:hAnsiTheme="majorHAnsi" w:cstheme="majorHAnsi"/>
          <w:color w:val="000000" w:themeColor="text1"/>
          <w:sz w:val="24"/>
          <w:szCs w:val="24"/>
        </w:rPr>
        <w:t>6</w:t>
      </w:r>
      <w:r w:rsidR="00F879D9" w:rsidRPr="00F90F80">
        <w:rPr>
          <w:rFonts w:asciiTheme="majorHAnsi" w:eastAsia="Calibri" w:hAnsiTheme="majorHAnsi" w:cstheme="majorHAnsi"/>
          <w:color w:val="000000" w:themeColor="text1"/>
          <w:sz w:val="24"/>
          <w:szCs w:val="24"/>
        </w:rPr>
        <w:t>x</w:t>
      </w:r>
      <w:r w:rsidR="007B42E9" w:rsidRPr="00F90F80">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w:t>
      </w:r>
      <w:r w:rsidR="007B1DDC">
        <w:rPr>
          <w:rFonts w:asciiTheme="majorHAnsi" w:eastAsia="Calibri" w:hAnsiTheme="majorHAnsi" w:cstheme="majorHAnsi"/>
          <w:color w:val="000000" w:themeColor="text1"/>
          <w:sz w:val="24"/>
          <w:szCs w:val="24"/>
          <w:vertAlign w:val="superscript"/>
        </w:rPr>
        <w:t>4</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7B42E9" w:rsidRPr="00606F9A">
        <w:rPr>
          <w:rFonts w:asciiTheme="majorHAnsi" w:eastAsia="Calibri" w:hAnsiTheme="majorHAnsi" w:cstheme="majorHAnsi"/>
          <w:color w:val="000000" w:themeColor="text1"/>
          <w:sz w:val="24"/>
          <w:szCs w:val="24"/>
        </w:rPr>
        <w:t xml:space="preserve">.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r w:rsidR="00F90F80">
        <w:rPr>
          <w:rFonts w:asciiTheme="majorHAnsi" w:eastAsia="Calibri" w:hAnsiTheme="majorHAnsi" w:cstheme="majorHAnsi"/>
          <w:color w:val="000000" w:themeColor="text1"/>
          <w:sz w:val="24"/>
          <w:szCs w:val="24"/>
        </w:rPr>
        <w:t xml:space="preserve"> The new Hall B Faraday cup with beam blocker has been approved for 17 kW operation.</w:t>
      </w:r>
    </w:p>
    <w:p w14:paraId="17A70F24" w14:textId="4C56EFF1" w:rsidR="009A4974" w:rsidRPr="00F90F80" w:rsidRDefault="00A9771B" w:rsidP="001E4E76">
      <w:pPr>
        <w:pStyle w:val="Heading2"/>
        <w:pBdr>
          <w:bottom w:val="single" w:sz="6" w:space="15" w:color="E0E0E0"/>
        </w:pBdr>
        <w:spacing w:before="40" w:after="0" w:line="276" w:lineRule="auto"/>
        <w:ind w:right="360" w:firstLine="360"/>
        <w:jc w:val="both"/>
        <w:rPr>
          <w:rFonts w:ascii="Roboto" w:hAnsi="Roboto"/>
          <w:color w:val="000000"/>
          <w:sz w:val="35"/>
          <w:szCs w:val="35"/>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w:t>
      </w:r>
      <w:r w:rsidR="007B1DDC">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F90F80">
          <w:rPr>
            <w:rStyle w:val="Hyperlink"/>
            <w:rFonts w:asciiTheme="majorHAnsi" w:eastAsia="Calibri" w:hAnsiTheme="majorHAnsi" w:cstheme="majorHAnsi"/>
            <w:sz w:val="24"/>
            <w:szCs w:val="24"/>
          </w:rPr>
          <w:t>https://wiki.jlab.org/Hall-B/engineering/hallb_eng_wiki/index.php/Main_Page</w:t>
        </w:r>
      </w:hyperlink>
      <w:r w:rsidR="007B42E9" w:rsidRPr="00F90F80">
        <w:rPr>
          <w:rFonts w:asciiTheme="majorHAnsi" w:eastAsia="Calibri" w:hAnsiTheme="majorHAnsi" w:cstheme="majorHAnsi"/>
          <w:sz w:val="24"/>
          <w:szCs w:val="24"/>
          <w:u w:val="single"/>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1E4E76">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w:t>
      </w:r>
      <w:r w:rsidRPr="00BE3D3A">
        <w:rPr>
          <w:rFonts w:asciiTheme="majorHAnsi" w:hAnsiTheme="majorHAnsi" w:cstheme="majorHAnsi"/>
          <w:sz w:val="24"/>
          <w:szCs w:val="24"/>
        </w:rPr>
        <w:lastRenderedPageBreak/>
        <w:t>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Radiation Hazards</w:t>
      </w:r>
    </w:p>
    <w:p w14:paraId="0284C1E3" w14:textId="45701F8B" w:rsidR="00F9272F" w:rsidRDefault="00F9272F" w:rsidP="001E4E76">
      <w:pPr>
        <w:pStyle w:val="LO-normal"/>
        <w:spacing w:before="240" w:after="240" w:line="240" w:lineRule="auto"/>
        <w:ind w:right="360" w:firstLine="360"/>
        <w:jc w:val="both"/>
        <w:rPr>
          <w:sz w:val="24"/>
          <w:szCs w:val="24"/>
        </w:rPr>
      </w:pPr>
      <w:r>
        <w:rPr>
          <w:sz w:val="24"/>
          <w:szCs w:val="24"/>
        </w:rPr>
        <w:t>The following controls shall be used to:</w:t>
      </w:r>
    </w:p>
    <w:p w14:paraId="7976FCB9" w14:textId="481ED74D"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p</w:t>
      </w:r>
      <w:r w:rsidR="00F9272F">
        <w:rPr>
          <w:sz w:val="24"/>
          <w:szCs w:val="24"/>
        </w:rPr>
        <w:t>revent unnecessary exposure of personnel</w:t>
      </w:r>
    </w:p>
    <w:p w14:paraId="6A935A90" w14:textId="623680C2"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c</w:t>
      </w:r>
      <w:r w:rsidR="00F9272F">
        <w:rPr>
          <w:sz w:val="24"/>
          <w:szCs w:val="24"/>
        </w:rPr>
        <w:t>omply with federal, state, and local regulations</w:t>
      </w:r>
    </w:p>
    <w:p w14:paraId="04DECD4A" w14:textId="2AB2E736"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a</w:t>
      </w:r>
      <w:r w:rsidR="00F9272F">
        <w:rPr>
          <w:sz w:val="24"/>
          <w:szCs w:val="24"/>
        </w:rPr>
        <w:t>dhere to TJNAF procedures and,</w:t>
      </w:r>
    </w:p>
    <w:p w14:paraId="373AFFC0" w14:textId="2A2D661B" w:rsidR="00F9272F" w:rsidRPr="00BE3D3A"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1E4E76">
      <w:pPr>
        <w:pStyle w:val="LO-normal"/>
        <w:numPr>
          <w:ilvl w:val="1"/>
          <w:numId w:val="10"/>
        </w:numPr>
        <w:spacing w:before="240" w:after="240" w:line="240" w:lineRule="auto"/>
        <w:ind w:left="360" w:right="360"/>
        <w:rPr>
          <w:sz w:val="24"/>
          <w:szCs w:val="24"/>
        </w:rPr>
      </w:pPr>
      <w:r>
        <w:rPr>
          <w:rFonts w:ascii="Calibri" w:eastAsia="Calibri" w:hAnsi="Calibri" w:cs="Calibri"/>
          <w:b/>
          <w:sz w:val="24"/>
          <w:szCs w:val="24"/>
        </w:rPr>
        <w:t>Beam in the Hall</w:t>
      </w:r>
    </w:p>
    <w:p w14:paraId="03F32C7F" w14:textId="779F31D3" w:rsidR="00F9272F" w:rsidRDefault="00F9272F" w:rsidP="001E4E76">
      <w:pPr>
        <w:pStyle w:val="LO-normal"/>
        <w:spacing w:before="240" w:after="240" w:line="240" w:lineRule="auto"/>
        <w:ind w:right="360" w:firstLine="360"/>
        <w:jc w:val="both"/>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All magnetic locks on exit doors will be activated.</w:t>
      </w:r>
    </w:p>
    <w:p w14:paraId="5A3E8F43" w14:textId="5645174E"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1E4E76">
      <w:pPr>
        <w:pStyle w:val="LO-normal"/>
        <w:spacing w:before="240" w:after="240" w:line="240" w:lineRule="auto"/>
        <w:ind w:right="360" w:firstLine="36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1E4E76">
      <w:pPr>
        <w:pStyle w:val="LO-normal"/>
        <w:spacing w:before="240" w:after="240" w:line="240" w:lineRule="auto"/>
        <w:ind w:right="360" w:firstLine="360"/>
        <w:jc w:val="both"/>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1E4E76">
      <w:pPr>
        <w:pStyle w:val="LO-normal"/>
        <w:spacing w:before="240" w:after="240" w:line="240" w:lineRule="auto"/>
        <w:ind w:right="360" w:firstLine="36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1E4E76">
      <w:pPr>
        <w:pStyle w:val="LO-normal"/>
        <w:numPr>
          <w:ilvl w:val="1"/>
          <w:numId w:val="3"/>
        </w:numPr>
        <w:spacing w:before="240" w:after="240" w:line="240" w:lineRule="auto"/>
        <w:ind w:left="360" w:right="360"/>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1E4E76">
      <w:pPr>
        <w:pStyle w:val="LO-normal"/>
        <w:spacing w:before="240" w:after="240" w:line="240" w:lineRule="auto"/>
        <w:ind w:right="360" w:firstLine="360"/>
        <w:jc w:val="both"/>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Radioactive check sources of any activity, exempt or non-exempt</w:t>
      </w:r>
    </w:p>
    <w:p w14:paraId="284D092F" w14:textId="7F68BE5B"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lastRenderedPageBreak/>
        <w:t>Previously used targets or radioactive beamline components or,</w:t>
      </w:r>
    </w:p>
    <w:p w14:paraId="1F8A06E4" w14:textId="5FE9BA68"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Previously used shielding or collimators.</w:t>
      </w:r>
    </w:p>
    <w:p w14:paraId="24A10AD7" w14:textId="07A5C706" w:rsidR="00F9272F" w:rsidRDefault="00F9272F" w:rsidP="001E4E76">
      <w:pPr>
        <w:pStyle w:val="LO-normal"/>
        <w:spacing w:before="240" w:after="240" w:line="240" w:lineRule="auto"/>
        <w:ind w:right="360" w:firstLine="36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1E4E76">
      <w:pPr>
        <w:pStyle w:val="LO-normal"/>
        <w:spacing w:before="240" w:after="240" w:line="240" w:lineRule="auto"/>
        <w:ind w:right="360" w:firstLine="36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1E4E76">
      <w:pPr>
        <w:pStyle w:val="LO-normal"/>
        <w:spacing w:before="240" w:after="240" w:line="240" w:lineRule="auto"/>
        <w:ind w:right="360" w:firstLine="360"/>
        <w:jc w:val="both"/>
        <w:rPr>
          <w:sz w:val="24"/>
          <w:szCs w:val="24"/>
        </w:rPr>
      </w:pPr>
      <w:r w:rsidRPr="00F9272F">
        <w:rPr>
          <w:i/>
          <w:iCs/>
          <w:sz w:val="24"/>
          <w:szCs w:val="24"/>
        </w:rPr>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1E4E76">
      <w:pPr>
        <w:pStyle w:val="LO-normal"/>
        <w:spacing w:before="240" w:after="240" w:line="240" w:lineRule="auto"/>
        <w:ind w:right="360" w:firstLine="36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1E4E76">
      <w:pPr>
        <w:pStyle w:val="LO-normal"/>
        <w:spacing w:before="240" w:after="240" w:line="240" w:lineRule="auto"/>
        <w:ind w:right="360" w:firstLine="360"/>
        <w:jc w:val="both"/>
        <w:rPr>
          <w:i/>
          <w:iCs/>
          <w:sz w:val="24"/>
          <w:szCs w:val="24"/>
        </w:rPr>
      </w:pPr>
      <w:r w:rsidRPr="006A5056">
        <w:rPr>
          <w:i/>
          <w:iCs/>
          <w:sz w:val="24"/>
          <w:szCs w:val="24"/>
        </w:rPr>
        <w:t>None.</w:t>
      </w:r>
    </w:p>
    <w:p w14:paraId="00AA0D4F" w14:textId="0ABF8299"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Operations Procedures</w:t>
      </w:r>
    </w:p>
    <w:p w14:paraId="7001DC41" w14:textId="0F18B584" w:rsidR="006A5056" w:rsidRDefault="006A5056" w:rsidP="001E4E76">
      <w:pPr>
        <w:pStyle w:val="LO-normal"/>
        <w:spacing w:before="240" w:after="240" w:line="240" w:lineRule="auto"/>
        <w:ind w:right="360" w:firstLine="360"/>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temporary operational safety procedures (TOSPs), operational safety procedures (OSPs), 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xml:space="preserve">. All those who participate in the </w:t>
      </w:r>
      <w:r w:rsidR="007B1DDC">
        <w:rPr>
          <w:sz w:val="24"/>
          <w:szCs w:val="24"/>
        </w:rPr>
        <w:t>ALERT</w:t>
      </w:r>
      <w:r>
        <w:rPr>
          <w:sz w:val="24"/>
          <w:szCs w:val="24"/>
        </w:rPr>
        <w:t xml:space="preserve">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1E4E76">
      <w:pPr>
        <w:pStyle w:val="LO-normal"/>
        <w:spacing w:before="240" w:after="240" w:line="240" w:lineRule="auto"/>
        <w:ind w:right="360" w:firstLine="360"/>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1E4E76">
      <w:pPr>
        <w:pStyle w:val="LO-normal"/>
        <w:spacing w:before="240" w:after="240" w:line="240" w:lineRule="auto"/>
        <w:ind w:right="360" w:firstLine="360"/>
        <w:jc w:val="both"/>
        <w:rPr>
          <w:sz w:val="24"/>
          <w:szCs w:val="24"/>
        </w:rPr>
      </w:pPr>
      <w:r>
        <w:rPr>
          <w:sz w:val="24"/>
          <w:szCs w:val="24"/>
        </w:rPr>
        <w:t xml:space="preserve">No scattering chamber or downstream component may be altered outside the scope of this RSAD without formal Radiation Control Department review and approval. Alteration of these components (including the exit beamline itself) may result in </w:t>
      </w:r>
      <w:r>
        <w:rPr>
          <w:sz w:val="24"/>
          <w:szCs w:val="24"/>
        </w:rPr>
        <w:lastRenderedPageBreak/>
        <w:t>increased radiation production from the Hall and a resultant increase in dose at the site boundary.</w:t>
      </w:r>
    </w:p>
    <w:p w14:paraId="2A3EA2FD" w14:textId="427DC19C"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1E4E76">
      <w:pPr>
        <w:pStyle w:val="LO-normal"/>
        <w:spacing w:before="240" w:after="240" w:line="240" w:lineRule="auto"/>
        <w:ind w:right="360" w:firstLine="360"/>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licensing requirements, the experimenter shall arrange for appropriate funds transfers for disposal of the material.</w:t>
      </w:r>
    </w:p>
    <w:p w14:paraId="20BDB653" w14:textId="79A858D6" w:rsidR="00076566" w:rsidRDefault="00076566" w:rsidP="001E4E76">
      <w:pPr>
        <w:pStyle w:val="LO-normal"/>
        <w:spacing w:before="240" w:after="240" w:line="240" w:lineRule="auto"/>
        <w:ind w:right="360" w:firstLine="360"/>
        <w:jc w:val="both"/>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1E4E76">
      <w:pPr>
        <w:pStyle w:val="LO-normal"/>
        <w:spacing w:before="240" w:after="240" w:line="240" w:lineRule="auto"/>
        <w:ind w:right="360" w:firstLine="360"/>
        <w:jc w:val="both"/>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9D6F" w14:textId="77777777" w:rsidR="009957FD" w:rsidRDefault="009957FD">
      <w:pPr>
        <w:spacing w:line="240" w:lineRule="auto"/>
      </w:pPr>
      <w:r>
        <w:separator/>
      </w:r>
    </w:p>
  </w:endnote>
  <w:endnote w:type="continuationSeparator" w:id="0">
    <w:p w14:paraId="5F281C28" w14:textId="77777777" w:rsidR="009957FD" w:rsidRDefault="00995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25B4" w14:textId="77777777" w:rsidR="009957FD" w:rsidRDefault="009957FD">
      <w:pPr>
        <w:pStyle w:val="LO-normal"/>
      </w:pPr>
    </w:p>
  </w:footnote>
  <w:footnote w:type="continuationSeparator" w:id="0">
    <w:p w14:paraId="57B48FEA" w14:textId="77777777" w:rsidR="009957FD" w:rsidRDefault="009957FD">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314600">
    <w:abstractNumId w:val="0"/>
  </w:num>
  <w:num w:numId="2" w16cid:durableId="2074697918">
    <w:abstractNumId w:val="5"/>
  </w:num>
  <w:num w:numId="3" w16cid:durableId="1910336813">
    <w:abstractNumId w:val="7"/>
  </w:num>
  <w:num w:numId="4" w16cid:durableId="965310832">
    <w:abstractNumId w:val="6"/>
  </w:num>
  <w:num w:numId="5" w16cid:durableId="1954944981">
    <w:abstractNumId w:val="2"/>
  </w:num>
  <w:num w:numId="6" w16cid:durableId="2097897927">
    <w:abstractNumId w:val="8"/>
  </w:num>
  <w:num w:numId="7" w16cid:durableId="959725592">
    <w:abstractNumId w:val="4"/>
  </w:num>
  <w:num w:numId="8" w16cid:durableId="1563640818">
    <w:abstractNumId w:val="9"/>
  </w:num>
  <w:num w:numId="9" w16cid:durableId="1539202013">
    <w:abstractNumId w:val="1"/>
  </w:num>
  <w:num w:numId="10" w16cid:durableId="20321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1E4E76"/>
    <w:rsid w:val="00291F7D"/>
    <w:rsid w:val="0035364E"/>
    <w:rsid w:val="003650E6"/>
    <w:rsid w:val="00422731"/>
    <w:rsid w:val="00442141"/>
    <w:rsid w:val="00606F9A"/>
    <w:rsid w:val="006A5056"/>
    <w:rsid w:val="007568FE"/>
    <w:rsid w:val="007B1DDC"/>
    <w:rsid w:val="007B42E9"/>
    <w:rsid w:val="0089290D"/>
    <w:rsid w:val="009957FD"/>
    <w:rsid w:val="009A4974"/>
    <w:rsid w:val="009E34AE"/>
    <w:rsid w:val="00A9771B"/>
    <w:rsid w:val="00B663A3"/>
    <w:rsid w:val="00BE3D3A"/>
    <w:rsid w:val="00C47A46"/>
    <w:rsid w:val="00C675FB"/>
    <w:rsid w:val="00CE0DF7"/>
    <w:rsid w:val="00CF0816"/>
    <w:rsid w:val="00F03107"/>
    <w:rsid w:val="00F33E84"/>
    <w:rsid w:val="00F879D9"/>
    <w:rsid w:val="00F90F80"/>
    <w:rsid w:val="00F9272F"/>
    <w:rsid w:val="00F95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customStyle="1" w:styleId="UnresolvedMention1">
    <w:name w:val="Unresolved Mention1"/>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Carman</dc:creator>
  <dc:description/>
  <cp:lastModifiedBy>Daniel Carman</cp:lastModifiedBy>
  <cp:revision>3</cp:revision>
  <cp:lastPrinted>2024-08-06T13:01:00Z</cp:lastPrinted>
  <dcterms:created xsi:type="dcterms:W3CDTF">2024-08-06T13:01:00Z</dcterms:created>
  <dcterms:modified xsi:type="dcterms:W3CDTF">2024-08-06T13:02:00Z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