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B32D0" w14:textId="77777777" w:rsidR="009A4974" w:rsidRDefault="00A9771B">
      <w:pPr>
        <w:pStyle w:val="LO-normal"/>
        <w:jc w:val="center"/>
        <w:rPr>
          <w:sz w:val="32"/>
          <w:szCs w:val="32"/>
        </w:rPr>
      </w:pPr>
      <w:r>
        <w:rPr>
          <w:rFonts w:ascii="Cutive" w:eastAsia="Cutive" w:hAnsi="Cutive" w:cs="Cutive"/>
          <w:b/>
          <w:sz w:val="32"/>
          <w:szCs w:val="32"/>
          <w:highlight w:val="white"/>
        </w:rPr>
        <w:t>CLAS12</w:t>
      </w:r>
    </w:p>
    <w:p w14:paraId="52393C10" w14:textId="7EF71000" w:rsidR="009A4974" w:rsidRDefault="00A9771B">
      <w:pPr>
        <w:pStyle w:val="LO-normal"/>
        <w:jc w:val="center"/>
      </w:pPr>
      <w:r>
        <w:rPr>
          <w:rFonts w:ascii="Cutive" w:eastAsia="Cutive" w:hAnsi="Cutive" w:cs="Cutive"/>
          <w:b/>
          <w:sz w:val="32"/>
          <w:szCs w:val="32"/>
          <w:highlight w:val="white"/>
        </w:rPr>
        <w:t xml:space="preserve">Hall B Run Group </w:t>
      </w:r>
      <w:r w:rsidR="006F5ED9">
        <w:rPr>
          <w:rFonts w:ascii="Cutive" w:eastAsia="Cutive" w:hAnsi="Cutive" w:cs="Cutive"/>
          <w:b/>
          <w:sz w:val="32"/>
          <w:szCs w:val="32"/>
          <w:highlight w:val="white"/>
        </w:rPr>
        <w:t>L</w:t>
      </w:r>
      <w:r w:rsidR="006F5ED9">
        <w:rPr>
          <w:rFonts w:ascii="Cutive" w:eastAsia="Cutive" w:hAnsi="Cutive" w:cs="Cutive"/>
          <w:b/>
          <w:sz w:val="32"/>
          <w:szCs w:val="32"/>
        </w:rPr>
        <w:t xml:space="preserve"> (RG-L)</w:t>
      </w:r>
    </w:p>
    <w:p w14:paraId="78C21E3B" w14:textId="77777777" w:rsidR="009A4974" w:rsidRDefault="00A9771B">
      <w:pPr>
        <w:pStyle w:val="LO-normal"/>
        <w:jc w:val="center"/>
        <w:rPr>
          <w:sz w:val="32"/>
          <w:szCs w:val="32"/>
        </w:rPr>
      </w:pPr>
      <w:r>
        <w:rPr>
          <w:rFonts w:ascii="Cutive" w:eastAsia="Cutive" w:hAnsi="Cutive" w:cs="Cutive"/>
          <w:b/>
          <w:sz w:val="32"/>
          <w:szCs w:val="32"/>
          <w:highlight w:val="white"/>
        </w:rPr>
        <w:t>Radiological Safety Analysis Document (RSAD</w:t>
      </w:r>
      <w:r>
        <w:rPr>
          <w:rFonts w:ascii="Cutive" w:eastAsia="Cutive" w:hAnsi="Cutive" w:cs="Cutive"/>
          <w:sz w:val="32"/>
          <w:szCs w:val="32"/>
          <w:highlight w:val="white"/>
        </w:rPr>
        <w:t>)</w:t>
      </w:r>
    </w:p>
    <w:p w14:paraId="4A0EB744" w14:textId="77777777" w:rsidR="009A4974" w:rsidRDefault="009A4974">
      <w:pPr>
        <w:pStyle w:val="LO-normal"/>
        <w:rPr>
          <w:sz w:val="24"/>
          <w:szCs w:val="24"/>
        </w:rPr>
      </w:pPr>
    </w:p>
    <w:p w14:paraId="31999308" w14:textId="77777777" w:rsidR="009A4974" w:rsidRDefault="009A4974">
      <w:pPr>
        <w:pStyle w:val="LO-normal"/>
        <w:rPr>
          <w:sz w:val="24"/>
          <w:szCs w:val="24"/>
        </w:rPr>
      </w:pPr>
    </w:p>
    <w:p w14:paraId="6BAA5FE3" w14:textId="3BF7F31F" w:rsidR="009A4974" w:rsidRDefault="00A9771B" w:rsidP="00F90F80">
      <w:pPr>
        <w:pStyle w:val="LO-normal"/>
        <w:spacing w:before="40"/>
        <w:ind w:right="360"/>
        <w:jc w:val="both"/>
      </w:pPr>
      <w:r>
        <w:rPr>
          <w:rFonts w:ascii="Calibri" w:eastAsia="Calibri" w:hAnsi="Calibri" w:cs="Calibri"/>
          <w:b/>
          <w:sz w:val="24"/>
          <w:szCs w:val="24"/>
        </w:rPr>
        <w:t xml:space="preserve">This Radiological Safety Analysis Document (RSAD) identifies the general conditions associated with CLAS12 Run Group </w:t>
      </w:r>
      <w:r w:rsidR="006F5ED9">
        <w:rPr>
          <w:rFonts w:ascii="Calibri" w:eastAsia="Calibri" w:hAnsi="Calibri" w:cs="Calibri"/>
          <w:b/>
          <w:sz w:val="24"/>
          <w:szCs w:val="24"/>
        </w:rPr>
        <w:t xml:space="preserve">L </w:t>
      </w:r>
      <w:r w:rsidR="00F03107">
        <w:rPr>
          <w:rFonts w:ascii="Calibri" w:eastAsia="Calibri" w:hAnsi="Calibri" w:cs="Calibri"/>
          <w:b/>
          <w:sz w:val="24"/>
          <w:szCs w:val="24"/>
        </w:rPr>
        <w:t>(</w:t>
      </w:r>
      <w:r>
        <w:rPr>
          <w:rFonts w:ascii="Calibri" w:eastAsia="Calibri" w:hAnsi="Calibri" w:cs="Calibri"/>
          <w:b/>
          <w:sz w:val="24"/>
          <w:szCs w:val="24"/>
        </w:rPr>
        <w:t>RG-</w:t>
      </w:r>
      <w:r w:rsidR="003650E6">
        <w:rPr>
          <w:rFonts w:ascii="Calibri" w:eastAsia="Calibri" w:hAnsi="Calibri" w:cs="Calibri"/>
          <w:b/>
          <w:sz w:val="24"/>
          <w:szCs w:val="24"/>
        </w:rPr>
        <w:t>L</w:t>
      </w:r>
      <w:r w:rsidR="006F5ED9">
        <w:rPr>
          <w:rFonts w:ascii="Calibri" w:eastAsia="Calibri" w:hAnsi="Calibri" w:cs="Calibri"/>
          <w:b/>
          <w:sz w:val="24"/>
          <w:szCs w:val="24"/>
        </w:rPr>
        <w:t>)</w:t>
      </w:r>
      <w:r>
        <w:rPr>
          <w:rFonts w:ascii="Calibri" w:eastAsia="Calibri" w:hAnsi="Calibri" w:cs="Calibri"/>
          <w:b/>
          <w:sz w:val="24"/>
          <w:szCs w:val="24"/>
        </w:rPr>
        <w:t xml:space="preserve"> in Hall B, as well as the controls associated with the production, movement, or import of radioactive materials.</w:t>
      </w:r>
    </w:p>
    <w:p w14:paraId="022D7A56" w14:textId="77777777" w:rsidR="009A4974" w:rsidRDefault="00A9771B" w:rsidP="00F90F80">
      <w:pPr>
        <w:pStyle w:val="LO-normal"/>
        <w:numPr>
          <w:ilvl w:val="0"/>
          <w:numId w:val="1"/>
        </w:numPr>
        <w:spacing w:before="240" w:after="240"/>
        <w:ind w:left="360"/>
        <w:rPr>
          <w:sz w:val="24"/>
          <w:szCs w:val="24"/>
        </w:rPr>
      </w:pPr>
      <w:r>
        <w:rPr>
          <w:rFonts w:ascii="Calibri" w:eastAsia="Calibri" w:hAnsi="Calibri" w:cs="Calibri"/>
          <w:b/>
          <w:sz w:val="24"/>
          <w:szCs w:val="24"/>
        </w:rPr>
        <w:t>Description</w:t>
      </w:r>
    </w:p>
    <w:p w14:paraId="272E1B05" w14:textId="68A4C419" w:rsidR="00291F7D" w:rsidRPr="00BE3D3A" w:rsidRDefault="00A9771B" w:rsidP="00F90F80">
      <w:pPr>
        <w:pStyle w:val="LO-normal"/>
        <w:spacing w:before="40"/>
        <w:ind w:right="360" w:firstLine="360"/>
        <w:jc w:val="both"/>
        <w:rPr>
          <w:rFonts w:asciiTheme="majorHAnsi" w:eastAsia="Calibri" w:hAnsiTheme="majorHAnsi" w:cstheme="majorHAnsi"/>
          <w:sz w:val="24"/>
          <w:szCs w:val="24"/>
        </w:rPr>
      </w:pPr>
      <w:r w:rsidRPr="00BE3D3A">
        <w:rPr>
          <w:rFonts w:asciiTheme="majorHAnsi" w:eastAsia="Calibri" w:hAnsiTheme="majorHAnsi" w:cstheme="majorHAnsi"/>
          <w:sz w:val="24"/>
          <w:szCs w:val="24"/>
        </w:rPr>
        <w:t xml:space="preserve">The </w:t>
      </w:r>
      <w:r w:rsidR="00291F7D" w:rsidRPr="00BE3D3A">
        <w:rPr>
          <w:rFonts w:asciiTheme="majorHAnsi" w:eastAsia="Calibri" w:hAnsiTheme="majorHAnsi" w:cstheme="majorHAnsi"/>
          <w:sz w:val="24"/>
          <w:szCs w:val="24"/>
        </w:rPr>
        <w:t>Physics Division</w:t>
      </w:r>
      <w:r w:rsidRPr="00BE3D3A">
        <w:rPr>
          <w:rFonts w:asciiTheme="majorHAnsi" w:eastAsia="Calibri" w:hAnsiTheme="majorHAnsi" w:cstheme="majorHAnsi"/>
          <w:sz w:val="24"/>
          <w:szCs w:val="24"/>
        </w:rPr>
        <w:t xml:space="preserve"> CLAS12 </w:t>
      </w:r>
      <w:r w:rsidR="006F5ED9">
        <w:rPr>
          <w:rFonts w:asciiTheme="majorHAnsi" w:eastAsia="Calibri" w:hAnsiTheme="majorHAnsi" w:cstheme="majorHAnsi"/>
          <w:sz w:val="24"/>
          <w:szCs w:val="24"/>
        </w:rPr>
        <w:t>RG-L</w:t>
      </w:r>
      <w:r w:rsidRPr="00BE3D3A">
        <w:rPr>
          <w:rFonts w:asciiTheme="majorHAnsi" w:eastAsia="Calibri" w:hAnsiTheme="majorHAnsi" w:cstheme="majorHAnsi"/>
          <w:sz w:val="24"/>
          <w:szCs w:val="24"/>
        </w:rPr>
        <w:t xml:space="preserve"> </w:t>
      </w:r>
      <w:r w:rsidR="00291F7D" w:rsidRPr="00BE3D3A">
        <w:rPr>
          <w:rFonts w:asciiTheme="majorHAnsi" w:eastAsia="Calibri" w:hAnsiTheme="majorHAnsi" w:cstheme="majorHAnsi"/>
          <w:sz w:val="24"/>
          <w:szCs w:val="24"/>
        </w:rPr>
        <w:t xml:space="preserve">run </w:t>
      </w:r>
      <w:r w:rsidRPr="00BE3D3A">
        <w:rPr>
          <w:rFonts w:asciiTheme="majorHAnsi" w:eastAsia="Calibri" w:hAnsiTheme="majorHAnsi" w:cstheme="majorHAnsi"/>
          <w:sz w:val="24"/>
          <w:szCs w:val="24"/>
        </w:rPr>
        <w:t xml:space="preserve">will take place </w:t>
      </w:r>
      <w:r w:rsidR="00291F7D" w:rsidRPr="00BE3D3A">
        <w:rPr>
          <w:rFonts w:asciiTheme="majorHAnsi" w:eastAsia="Calibri" w:hAnsiTheme="majorHAnsi" w:cstheme="majorHAnsi"/>
          <w:sz w:val="24"/>
          <w:szCs w:val="24"/>
        </w:rPr>
        <w:t xml:space="preserve">during the </w:t>
      </w:r>
      <w:r w:rsidR="003650E6">
        <w:rPr>
          <w:rFonts w:asciiTheme="majorHAnsi" w:eastAsia="Calibri" w:hAnsiTheme="majorHAnsi" w:cstheme="majorHAnsi"/>
          <w:sz w:val="24"/>
          <w:szCs w:val="24"/>
        </w:rPr>
        <w:t>spring/summer</w:t>
      </w:r>
      <w:r w:rsidR="00291F7D" w:rsidRPr="00BE3D3A">
        <w:rPr>
          <w:rFonts w:asciiTheme="majorHAnsi" w:eastAsia="Calibri" w:hAnsiTheme="majorHAnsi" w:cstheme="majorHAnsi"/>
          <w:sz w:val="24"/>
          <w:szCs w:val="24"/>
        </w:rPr>
        <w:t xml:space="preserve"> of 202</w:t>
      </w:r>
      <w:r w:rsidR="003650E6">
        <w:rPr>
          <w:rFonts w:asciiTheme="majorHAnsi" w:eastAsia="Calibri" w:hAnsiTheme="majorHAnsi" w:cstheme="majorHAnsi"/>
          <w:sz w:val="24"/>
          <w:szCs w:val="24"/>
        </w:rPr>
        <w:t>5</w:t>
      </w:r>
      <w:r w:rsidR="00114E3F">
        <w:rPr>
          <w:rFonts w:asciiTheme="majorHAnsi" w:eastAsia="Calibri" w:hAnsiTheme="majorHAnsi" w:cstheme="majorHAnsi"/>
          <w:sz w:val="24"/>
          <w:szCs w:val="24"/>
        </w:rPr>
        <w:t xml:space="preserve"> in</w:t>
      </w:r>
      <w:r w:rsidR="00291F7D" w:rsidRPr="00BE3D3A">
        <w:rPr>
          <w:rFonts w:asciiTheme="majorHAnsi" w:eastAsia="Calibri" w:hAnsiTheme="majorHAnsi" w:cstheme="majorHAnsi"/>
          <w:sz w:val="24"/>
          <w:szCs w:val="24"/>
        </w:rPr>
        <w:t xml:space="preserve"> E</w:t>
      </w:r>
      <w:r w:rsidRPr="00BE3D3A">
        <w:rPr>
          <w:rFonts w:asciiTheme="majorHAnsi" w:eastAsia="Calibri" w:hAnsiTheme="majorHAnsi" w:cstheme="majorHAnsi"/>
          <w:sz w:val="24"/>
          <w:szCs w:val="24"/>
        </w:rPr>
        <w:t>xperimental Hall</w:t>
      </w:r>
      <w:r w:rsidR="00291F7D" w:rsidRPr="00BE3D3A">
        <w:rPr>
          <w:rFonts w:asciiTheme="majorHAnsi" w:eastAsia="Calibri" w:hAnsiTheme="majorHAnsi" w:cstheme="majorHAnsi"/>
          <w:sz w:val="24"/>
          <w:szCs w:val="24"/>
        </w:rPr>
        <w:t xml:space="preserve"> </w:t>
      </w:r>
      <w:r w:rsidRPr="00BE3D3A">
        <w:rPr>
          <w:rFonts w:asciiTheme="majorHAnsi" w:eastAsia="Calibri" w:hAnsiTheme="majorHAnsi" w:cstheme="majorHAnsi"/>
          <w:sz w:val="24"/>
          <w:szCs w:val="24"/>
        </w:rPr>
        <w:t>B. CLAS12 is a multi</w:t>
      </w:r>
      <w:r w:rsidR="00291F7D" w:rsidRPr="00BE3D3A">
        <w:rPr>
          <w:rFonts w:asciiTheme="majorHAnsi" w:eastAsia="Calibri" w:hAnsiTheme="majorHAnsi" w:cstheme="majorHAnsi"/>
          <w:sz w:val="24"/>
          <w:szCs w:val="24"/>
        </w:rPr>
        <w:t>-</w:t>
      </w:r>
      <w:r w:rsidRPr="00BE3D3A">
        <w:rPr>
          <w:rFonts w:asciiTheme="majorHAnsi" w:eastAsia="Calibri" w:hAnsiTheme="majorHAnsi" w:cstheme="majorHAnsi"/>
          <w:sz w:val="24"/>
          <w:szCs w:val="24"/>
        </w:rPr>
        <w:t>purpose detector system based on toroidal and solenoid superconducting magnets</w:t>
      </w:r>
      <w:r w:rsidR="00442141">
        <w:rPr>
          <w:rFonts w:asciiTheme="majorHAnsi" w:eastAsia="Calibri" w:hAnsiTheme="majorHAnsi" w:cstheme="majorHAnsi"/>
          <w:sz w:val="24"/>
          <w:szCs w:val="24"/>
        </w:rPr>
        <w:t xml:space="preserve"> in the forward and central regions, respectively, of CLAS12</w:t>
      </w:r>
      <w:r w:rsidRPr="00BE3D3A">
        <w:rPr>
          <w:rFonts w:asciiTheme="majorHAnsi" w:eastAsia="Calibri" w:hAnsiTheme="majorHAnsi" w:cstheme="majorHAnsi"/>
          <w:sz w:val="24"/>
          <w:szCs w:val="24"/>
        </w:rPr>
        <w:t xml:space="preserve">. The detector system includes Cherenkov </w:t>
      </w:r>
      <w:r w:rsidR="00291F7D" w:rsidRPr="00BE3D3A">
        <w:rPr>
          <w:rFonts w:asciiTheme="majorHAnsi" w:eastAsia="Calibri" w:hAnsiTheme="majorHAnsi" w:cstheme="majorHAnsi"/>
          <w:sz w:val="24"/>
          <w:szCs w:val="24"/>
        </w:rPr>
        <w:t>c</w:t>
      </w:r>
      <w:r w:rsidRPr="00BE3D3A">
        <w:rPr>
          <w:rFonts w:asciiTheme="majorHAnsi" w:eastAsia="Calibri" w:hAnsiTheme="majorHAnsi" w:cstheme="majorHAnsi"/>
          <w:sz w:val="24"/>
          <w:szCs w:val="24"/>
        </w:rPr>
        <w:t xml:space="preserve">ounters, </w:t>
      </w:r>
      <w:r w:rsidR="00291F7D" w:rsidRPr="00BE3D3A">
        <w:rPr>
          <w:rFonts w:asciiTheme="majorHAnsi" w:eastAsia="Calibri" w:hAnsiTheme="majorHAnsi" w:cstheme="majorHAnsi"/>
          <w:sz w:val="24"/>
          <w:szCs w:val="24"/>
        </w:rPr>
        <w:t>d</w:t>
      </w:r>
      <w:r w:rsidRPr="00BE3D3A">
        <w:rPr>
          <w:rFonts w:asciiTheme="majorHAnsi" w:eastAsia="Calibri" w:hAnsiTheme="majorHAnsi" w:cstheme="majorHAnsi"/>
          <w:sz w:val="24"/>
          <w:szCs w:val="24"/>
        </w:rPr>
        <w:t xml:space="preserve">rift </w:t>
      </w:r>
      <w:r w:rsidR="00291F7D" w:rsidRPr="00BE3D3A">
        <w:rPr>
          <w:rFonts w:asciiTheme="majorHAnsi" w:eastAsia="Calibri" w:hAnsiTheme="majorHAnsi" w:cstheme="majorHAnsi"/>
          <w:sz w:val="24"/>
          <w:szCs w:val="24"/>
        </w:rPr>
        <w:t>c</w:t>
      </w:r>
      <w:r w:rsidRPr="00BE3D3A">
        <w:rPr>
          <w:rFonts w:asciiTheme="majorHAnsi" w:eastAsia="Calibri" w:hAnsiTheme="majorHAnsi" w:cstheme="majorHAnsi"/>
          <w:sz w:val="24"/>
          <w:szCs w:val="24"/>
        </w:rPr>
        <w:t xml:space="preserve">hambers, </w:t>
      </w:r>
      <w:r w:rsidR="00291F7D" w:rsidRPr="00BE3D3A">
        <w:rPr>
          <w:rFonts w:asciiTheme="majorHAnsi" w:eastAsia="Calibri" w:hAnsiTheme="majorHAnsi" w:cstheme="majorHAnsi"/>
          <w:sz w:val="24"/>
          <w:szCs w:val="24"/>
        </w:rPr>
        <w:t>s</w:t>
      </w:r>
      <w:r w:rsidRPr="00BE3D3A">
        <w:rPr>
          <w:rFonts w:asciiTheme="majorHAnsi" w:eastAsia="Calibri" w:hAnsiTheme="majorHAnsi" w:cstheme="majorHAnsi"/>
          <w:sz w:val="24"/>
          <w:szCs w:val="24"/>
        </w:rPr>
        <w:t xml:space="preserve">cintillator </w:t>
      </w:r>
      <w:r w:rsidR="00291F7D" w:rsidRPr="00BE3D3A">
        <w:rPr>
          <w:rFonts w:asciiTheme="majorHAnsi" w:eastAsia="Calibri" w:hAnsiTheme="majorHAnsi" w:cstheme="majorHAnsi"/>
          <w:sz w:val="24"/>
          <w:szCs w:val="24"/>
        </w:rPr>
        <w:t>c</w:t>
      </w:r>
      <w:r w:rsidRPr="00BE3D3A">
        <w:rPr>
          <w:rFonts w:asciiTheme="majorHAnsi" w:eastAsia="Calibri" w:hAnsiTheme="majorHAnsi" w:cstheme="majorHAnsi"/>
          <w:sz w:val="24"/>
          <w:szCs w:val="24"/>
        </w:rPr>
        <w:t xml:space="preserve">ounters, </w:t>
      </w:r>
      <w:r w:rsidR="003650E6">
        <w:rPr>
          <w:rFonts w:asciiTheme="majorHAnsi" w:eastAsia="Calibri" w:hAnsiTheme="majorHAnsi" w:cstheme="majorHAnsi"/>
          <w:sz w:val="24"/>
          <w:szCs w:val="24"/>
        </w:rPr>
        <w:t>m</w:t>
      </w:r>
      <w:r w:rsidRPr="00BE3D3A">
        <w:rPr>
          <w:rFonts w:asciiTheme="majorHAnsi" w:eastAsia="Calibri" w:hAnsiTheme="majorHAnsi" w:cstheme="majorHAnsi"/>
          <w:sz w:val="24"/>
          <w:szCs w:val="24"/>
        </w:rPr>
        <w:t>icromega</w:t>
      </w:r>
      <w:r w:rsidR="00F879D9">
        <w:rPr>
          <w:rFonts w:asciiTheme="majorHAnsi" w:eastAsia="Calibri" w:hAnsiTheme="majorHAnsi" w:cstheme="majorHAnsi"/>
          <w:sz w:val="24"/>
          <w:szCs w:val="24"/>
        </w:rPr>
        <w:t>s</w:t>
      </w:r>
      <w:r w:rsidRPr="00BE3D3A">
        <w:rPr>
          <w:rFonts w:asciiTheme="majorHAnsi" w:eastAsia="Calibri" w:hAnsiTheme="majorHAnsi" w:cstheme="majorHAnsi"/>
          <w:sz w:val="24"/>
          <w:szCs w:val="24"/>
        </w:rPr>
        <w:t xml:space="preserve"> gas detectors, and </w:t>
      </w:r>
      <w:r w:rsidR="00291F7D" w:rsidRPr="00BE3D3A">
        <w:rPr>
          <w:rFonts w:asciiTheme="majorHAnsi" w:eastAsia="Calibri" w:hAnsiTheme="majorHAnsi" w:cstheme="majorHAnsi"/>
          <w:sz w:val="24"/>
          <w:szCs w:val="24"/>
        </w:rPr>
        <w:t>c</w:t>
      </w:r>
      <w:r w:rsidRPr="00BE3D3A">
        <w:rPr>
          <w:rFonts w:asciiTheme="majorHAnsi" w:eastAsia="Calibri" w:hAnsiTheme="majorHAnsi" w:cstheme="majorHAnsi"/>
          <w:sz w:val="24"/>
          <w:szCs w:val="24"/>
        </w:rPr>
        <w:t>alorimeters</w:t>
      </w:r>
      <w:r w:rsidR="003650E6">
        <w:rPr>
          <w:rFonts w:asciiTheme="majorHAnsi" w:eastAsia="Calibri" w:hAnsiTheme="majorHAnsi" w:cstheme="majorHAnsi"/>
          <w:sz w:val="24"/>
          <w:szCs w:val="24"/>
        </w:rPr>
        <w:t xml:space="preserve"> in the forward region. In the central region the experiment will employ the new ALERT detector </w:t>
      </w:r>
      <w:r w:rsidR="007B1DDC">
        <w:rPr>
          <w:rFonts w:asciiTheme="majorHAnsi" w:eastAsia="Calibri" w:hAnsiTheme="majorHAnsi" w:cstheme="majorHAnsi"/>
          <w:sz w:val="24"/>
          <w:szCs w:val="24"/>
        </w:rPr>
        <w:t xml:space="preserve">consisting of </w:t>
      </w:r>
      <w:r w:rsidR="00442141">
        <w:rPr>
          <w:rFonts w:asciiTheme="majorHAnsi" w:eastAsia="Calibri" w:hAnsiTheme="majorHAnsi" w:cstheme="majorHAnsi"/>
          <w:sz w:val="24"/>
          <w:szCs w:val="24"/>
        </w:rPr>
        <w:t xml:space="preserve">two sub-detectors, </w:t>
      </w:r>
      <w:r w:rsidR="003650E6">
        <w:rPr>
          <w:rFonts w:asciiTheme="majorHAnsi" w:eastAsia="Calibri" w:hAnsiTheme="majorHAnsi" w:cstheme="majorHAnsi"/>
          <w:sz w:val="24"/>
          <w:szCs w:val="24"/>
        </w:rPr>
        <w:t>the AHDC hyperbolic drift chamber</w:t>
      </w:r>
      <w:r w:rsidR="00442141">
        <w:rPr>
          <w:rFonts w:asciiTheme="majorHAnsi" w:eastAsia="Calibri" w:hAnsiTheme="majorHAnsi" w:cstheme="majorHAnsi"/>
          <w:sz w:val="24"/>
          <w:szCs w:val="24"/>
        </w:rPr>
        <w:t xml:space="preserve"> surrounding the target </w:t>
      </w:r>
      <w:r w:rsidR="003650E6">
        <w:rPr>
          <w:rFonts w:asciiTheme="majorHAnsi" w:eastAsia="Calibri" w:hAnsiTheme="majorHAnsi" w:cstheme="majorHAnsi"/>
          <w:sz w:val="24"/>
          <w:szCs w:val="24"/>
        </w:rPr>
        <w:t xml:space="preserve">and the ATOF </w:t>
      </w:r>
      <w:r w:rsidR="007B1DDC">
        <w:rPr>
          <w:rFonts w:asciiTheme="majorHAnsi" w:eastAsia="Calibri" w:hAnsiTheme="majorHAnsi" w:cstheme="majorHAnsi"/>
          <w:sz w:val="24"/>
          <w:szCs w:val="24"/>
        </w:rPr>
        <w:t xml:space="preserve">time-of-flight </w:t>
      </w:r>
      <w:r w:rsidR="003650E6">
        <w:rPr>
          <w:rFonts w:asciiTheme="majorHAnsi" w:eastAsia="Calibri" w:hAnsiTheme="majorHAnsi" w:cstheme="majorHAnsi"/>
          <w:sz w:val="24"/>
          <w:szCs w:val="24"/>
        </w:rPr>
        <w:t>detector system</w:t>
      </w:r>
      <w:r w:rsidR="00442141">
        <w:rPr>
          <w:rFonts w:asciiTheme="majorHAnsi" w:eastAsia="Calibri" w:hAnsiTheme="majorHAnsi" w:cstheme="majorHAnsi"/>
          <w:sz w:val="24"/>
          <w:szCs w:val="24"/>
        </w:rPr>
        <w:t xml:space="preserve"> </w:t>
      </w:r>
      <w:r w:rsidR="001E4E76">
        <w:rPr>
          <w:rFonts w:asciiTheme="majorHAnsi" w:eastAsia="Calibri" w:hAnsiTheme="majorHAnsi" w:cstheme="majorHAnsi"/>
          <w:sz w:val="24"/>
          <w:szCs w:val="24"/>
        </w:rPr>
        <w:t>locat</w:t>
      </w:r>
      <w:r w:rsidR="00442141">
        <w:rPr>
          <w:rFonts w:asciiTheme="majorHAnsi" w:eastAsia="Calibri" w:hAnsiTheme="majorHAnsi" w:cstheme="majorHAnsi"/>
          <w:sz w:val="24"/>
          <w:szCs w:val="24"/>
        </w:rPr>
        <w:t>ed radially outward of the AHDC</w:t>
      </w:r>
      <w:r w:rsidRPr="00BE3D3A">
        <w:rPr>
          <w:rFonts w:asciiTheme="majorHAnsi" w:eastAsia="Calibri" w:hAnsiTheme="majorHAnsi" w:cstheme="majorHAnsi"/>
          <w:sz w:val="24"/>
          <w:szCs w:val="24"/>
        </w:rPr>
        <w:t xml:space="preserve">. </w:t>
      </w:r>
    </w:p>
    <w:p w14:paraId="32C3F4F2" w14:textId="5AE01A41" w:rsidR="00F95E30" w:rsidRPr="00B663A3" w:rsidRDefault="00A9771B" w:rsidP="00F90F80">
      <w:pPr>
        <w:pStyle w:val="LO-normal"/>
        <w:spacing w:before="40"/>
        <w:ind w:right="360" w:firstLine="360"/>
        <w:jc w:val="both"/>
        <w:rPr>
          <w:rFonts w:asciiTheme="majorHAnsi" w:eastAsia="Calibri" w:hAnsiTheme="majorHAnsi" w:cstheme="majorHAnsi"/>
          <w:color w:val="000000" w:themeColor="text1"/>
          <w:sz w:val="24"/>
          <w:szCs w:val="24"/>
        </w:rPr>
      </w:pPr>
      <w:r w:rsidRPr="00B663A3">
        <w:rPr>
          <w:rFonts w:asciiTheme="majorHAnsi" w:eastAsia="Calibri" w:hAnsiTheme="majorHAnsi" w:cstheme="majorHAnsi"/>
          <w:color w:val="000000" w:themeColor="text1"/>
          <w:sz w:val="24"/>
          <w:szCs w:val="24"/>
        </w:rPr>
        <w:t xml:space="preserve">During this run period, </w:t>
      </w:r>
      <w:r w:rsidR="00B663A3" w:rsidRPr="00B663A3">
        <w:rPr>
          <w:rFonts w:asciiTheme="majorHAnsi" w:eastAsia="Calibri" w:hAnsiTheme="majorHAnsi" w:cstheme="majorHAnsi"/>
          <w:color w:val="000000" w:themeColor="text1"/>
          <w:sz w:val="24"/>
          <w:szCs w:val="24"/>
        </w:rPr>
        <w:t xml:space="preserve">the </w:t>
      </w:r>
      <w:r w:rsidRPr="00B663A3">
        <w:rPr>
          <w:rFonts w:asciiTheme="majorHAnsi" w:eastAsia="Calibri" w:hAnsiTheme="majorHAnsi" w:cstheme="majorHAnsi"/>
          <w:color w:val="000000" w:themeColor="text1"/>
          <w:sz w:val="24"/>
          <w:szCs w:val="24"/>
        </w:rPr>
        <w:t xml:space="preserve">CLAS12 </w:t>
      </w:r>
      <w:r w:rsidR="009E34AE" w:rsidRPr="00B663A3">
        <w:rPr>
          <w:rFonts w:asciiTheme="majorHAnsi" w:eastAsia="Calibri" w:hAnsiTheme="majorHAnsi" w:cstheme="majorHAnsi"/>
          <w:color w:val="000000" w:themeColor="text1"/>
          <w:sz w:val="24"/>
          <w:szCs w:val="24"/>
        </w:rPr>
        <w:t xml:space="preserve">Forward Detector system </w:t>
      </w:r>
      <w:r w:rsidRPr="00B663A3">
        <w:rPr>
          <w:rFonts w:asciiTheme="majorHAnsi" w:eastAsia="Calibri" w:hAnsiTheme="majorHAnsi" w:cstheme="majorHAnsi"/>
          <w:color w:val="000000" w:themeColor="text1"/>
          <w:sz w:val="24"/>
          <w:szCs w:val="24"/>
        </w:rPr>
        <w:t>will be used in its standard detector and shielding configuration with the Forward Tagger (FT) O</w:t>
      </w:r>
      <w:r w:rsidR="003650E6" w:rsidRPr="00B663A3">
        <w:rPr>
          <w:rFonts w:asciiTheme="majorHAnsi" w:eastAsia="Calibri" w:hAnsiTheme="majorHAnsi" w:cstheme="majorHAnsi"/>
          <w:color w:val="000000" w:themeColor="text1"/>
          <w:sz w:val="24"/>
          <w:szCs w:val="24"/>
        </w:rPr>
        <w:t>N. In the central region</w:t>
      </w:r>
      <w:r w:rsidR="009E34AE" w:rsidRPr="00B663A3">
        <w:rPr>
          <w:rFonts w:asciiTheme="majorHAnsi" w:eastAsia="Calibri" w:hAnsiTheme="majorHAnsi" w:cstheme="majorHAnsi"/>
          <w:color w:val="000000" w:themeColor="text1"/>
          <w:sz w:val="24"/>
          <w:szCs w:val="24"/>
        </w:rPr>
        <w:t xml:space="preserve"> within the solenoid,</w:t>
      </w:r>
      <w:r w:rsidR="003650E6" w:rsidRPr="00B663A3">
        <w:rPr>
          <w:rFonts w:asciiTheme="majorHAnsi" w:eastAsia="Calibri" w:hAnsiTheme="majorHAnsi" w:cstheme="majorHAnsi"/>
          <w:color w:val="000000" w:themeColor="text1"/>
          <w:sz w:val="24"/>
          <w:szCs w:val="24"/>
        </w:rPr>
        <w:t xml:space="preserve"> the CVT tracker will be replaced by the new ALERT detector system (AHDC + ATOF)</w:t>
      </w:r>
      <w:r w:rsidRPr="00B663A3">
        <w:rPr>
          <w:rFonts w:asciiTheme="majorHAnsi" w:eastAsia="Calibri" w:hAnsiTheme="majorHAnsi" w:cstheme="majorHAnsi"/>
          <w:color w:val="000000" w:themeColor="text1"/>
          <w:sz w:val="24"/>
          <w:szCs w:val="24"/>
        </w:rPr>
        <w:t xml:space="preserve">. </w:t>
      </w:r>
      <w:r w:rsidR="007B1DDC" w:rsidRPr="00B663A3">
        <w:rPr>
          <w:rFonts w:asciiTheme="majorHAnsi" w:eastAsia="Calibri" w:hAnsiTheme="majorHAnsi" w:cstheme="majorHAnsi"/>
          <w:color w:val="000000" w:themeColor="text1"/>
          <w:sz w:val="24"/>
          <w:szCs w:val="24"/>
        </w:rPr>
        <w:t xml:space="preserve">At backward angles the BAND neutron detector will be installed. </w:t>
      </w:r>
      <w:r w:rsidR="00442141" w:rsidRPr="00B663A3">
        <w:rPr>
          <w:rFonts w:asciiTheme="majorHAnsi" w:eastAsia="Calibri" w:hAnsiTheme="majorHAnsi" w:cstheme="majorHAnsi"/>
          <w:color w:val="000000" w:themeColor="text1"/>
          <w:sz w:val="24"/>
          <w:szCs w:val="24"/>
        </w:rPr>
        <w:t xml:space="preserve">This run will employ a high-pressure gas target cell (filled with H, D, and </w:t>
      </w:r>
      <w:r w:rsidR="00442141" w:rsidRPr="00B663A3">
        <w:rPr>
          <w:rFonts w:asciiTheme="majorHAnsi" w:eastAsia="Calibri" w:hAnsiTheme="majorHAnsi" w:cstheme="majorHAnsi"/>
          <w:color w:val="000000" w:themeColor="text1"/>
          <w:sz w:val="24"/>
          <w:szCs w:val="24"/>
          <w:vertAlign w:val="superscript"/>
        </w:rPr>
        <w:t>4</w:t>
      </w:r>
      <w:r w:rsidR="00442141" w:rsidRPr="00B663A3">
        <w:rPr>
          <w:rFonts w:asciiTheme="majorHAnsi" w:eastAsia="Calibri" w:hAnsiTheme="majorHAnsi" w:cstheme="majorHAnsi"/>
          <w:color w:val="000000" w:themeColor="text1"/>
          <w:sz w:val="24"/>
          <w:szCs w:val="24"/>
        </w:rPr>
        <w:t xml:space="preserve">He) placed along the beamline inside the ALERT detector. The target cell will be a 45-cm-long </w:t>
      </w:r>
      <w:r w:rsidR="008B19F6">
        <w:rPr>
          <w:rFonts w:asciiTheme="majorHAnsi" w:eastAsia="Calibri" w:hAnsiTheme="majorHAnsi" w:cstheme="majorHAnsi"/>
          <w:color w:val="000000" w:themeColor="text1"/>
          <w:sz w:val="24"/>
          <w:szCs w:val="24"/>
        </w:rPr>
        <w:t xml:space="preserve">aluminized </w:t>
      </w:r>
      <w:r w:rsidR="00442141" w:rsidRPr="00B663A3">
        <w:rPr>
          <w:rFonts w:asciiTheme="majorHAnsi" w:eastAsia="Calibri" w:hAnsiTheme="majorHAnsi" w:cstheme="majorHAnsi"/>
          <w:color w:val="000000" w:themeColor="text1"/>
          <w:sz w:val="24"/>
          <w:szCs w:val="24"/>
        </w:rPr>
        <w:t>Kapton straw of 0.6 cm diameter and 5</w:t>
      </w:r>
      <w:r w:rsidR="00F95E30" w:rsidRPr="00B663A3">
        <w:rPr>
          <w:rFonts w:asciiTheme="majorHAnsi" w:eastAsia="Calibri" w:hAnsiTheme="majorHAnsi" w:cstheme="majorHAnsi"/>
          <w:color w:val="000000" w:themeColor="text1"/>
          <w:sz w:val="24"/>
          <w:szCs w:val="24"/>
        </w:rPr>
        <w:t>0</w:t>
      </w:r>
      <w:r w:rsidR="00442141" w:rsidRPr="00B663A3">
        <w:rPr>
          <w:rFonts w:asciiTheme="majorHAnsi" w:eastAsia="Calibri" w:hAnsiTheme="majorHAnsi" w:cstheme="majorHAnsi"/>
          <w:color w:val="000000" w:themeColor="text1"/>
          <w:sz w:val="24"/>
          <w:szCs w:val="24"/>
        </w:rPr>
        <w:t xml:space="preserve"> </w:t>
      </w:r>
      <w:r w:rsidR="00442141" w:rsidRPr="00B663A3">
        <w:rPr>
          <w:rFonts w:ascii="Symbol" w:eastAsia="Calibri" w:hAnsi="Symbol" w:cstheme="majorHAnsi"/>
          <w:color w:val="000000" w:themeColor="text1"/>
          <w:sz w:val="24"/>
          <w:szCs w:val="24"/>
        </w:rPr>
        <w:t></w:t>
      </w:r>
      <w:r w:rsidR="00442141" w:rsidRPr="00B663A3">
        <w:rPr>
          <w:rFonts w:asciiTheme="majorHAnsi" w:eastAsia="Calibri" w:hAnsiTheme="majorHAnsi" w:cstheme="majorHAnsi"/>
          <w:color w:val="000000" w:themeColor="text1"/>
          <w:sz w:val="24"/>
          <w:szCs w:val="24"/>
        </w:rPr>
        <w:t>m wall thickness. It will be operated at a nominal pressure of 6</w:t>
      </w:r>
      <w:r w:rsidR="00573F2A">
        <w:rPr>
          <w:rFonts w:asciiTheme="majorHAnsi" w:eastAsia="Calibri" w:hAnsiTheme="majorHAnsi" w:cstheme="majorHAnsi"/>
          <w:color w:val="000000" w:themeColor="text1"/>
          <w:sz w:val="24"/>
          <w:szCs w:val="24"/>
        </w:rPr>
        <w:t>8</w:t>
      </w:r>
      <w:r w:rsidR="00442141" w:rsidRPr="00B663A3">
        <w:rPr>
          <w:rFonts w:asciiTheme="majorHAnsi" w:eastAsia="Calibri" w:hAnsiTheme="majorHAnsi" w:cstheme="majorHAnsi"/>
          <w:color w:val="000000" w:themeColor="text1"/>
          <w:sz w:val="24"/>
          <w:szCs w:val="24"/>
        </w:rPr>
        <w:t xml:space="preserve"> </w:t>
      </w:r>
      <w:proofErr w:type="spellStart"/>
      <w:r w:rsidR="00442141" w:rsidRPr="00B663A3">
        <w:rPr>
          <w:rFonts w:asciiTheme="majorHAnsi" w:eastAsia="Calibri" w:hAnsiTheme="majorHAnsi" w:cstheme="majorHAnsi"/>
          <w:color w:val="000000" w:themeColor="text1"/>
          <w:sz w:val="24"/>
          <w:szCs w:val="24"/>
        </w:rPr>
        <w:t>psi</w:t>
      </w:r>
      <w:r w:rsidR="00573F2A">
        <w:rPr>
          <w:rFonts w:asciiTheme="majorHAnsi" w:eastAsia="Calibri" w:hAnsiTheme="majorHAnsi" w:cstheme="majorHAnsi"/>
          <w:color w:val="000000" w:themeColor="text1"/>
          <w:sz w:val="24"/>
          <w:szCs w:val="24"/>
        </w:rPr>
        <w:t>g</w:t>
      </w:r>
      <w:proofErr w:type="spellEnd"/>
      <w:r w:rsidR="00442141" w:rsidRPr="00B663A3">
        <w:rPr>
          <w:rFonts w:asciiTheme="majorHAnsi" w:eastAsia="Calibri" w:hAnsiTheme="majorHAnsi" w:cstheme="majorHAnsi"/>
          <w:color w:val="000000" w:themeColor="text1"/>
          <w:sz w:val="24"/>
          <w:szCs w:val="24"/>
        </w:rPr>
        <w:t xml:space="preserve"> (4</w:t>
      </w:r>
      <w:r w:rsidR="00573F2A">
        <w:rPr>
          <w:rFonts w:asciiTheme="majorHAnsi" w:eastAsia="Calibri" w:hAnsiTheme="majorHAnsi" w:cstheme="majorHAnsi"/>
          <w:color w:val="000000" w:themeColor="text1"/>
          <w:sz w:val="24"/>
          <w:szCs w:val="24"/>
        </w:rPr>
        <w:t>.6</w:t>
      </w:r>
      <w:r w:rsidR="00442141" w:rsidRPr="00B663A3">
        <w:rPr>
          <w:rFonts w:asciiTheme="majorHAnsi" w:eastAsia="Calibri" w:hAnsiTheme="majorHAnsi" w:cstheme="majorHAnsi"/>
          <w:color w:val="000000" w:themeColor="text1"/>
          <w:sz w:val="24"/>
          <w:szCs w:val="24"/>
        </w:rPr>
        <w:t xml:space="preserve"> atm). The straw has entrance and exit windows of </w:t>
      </w:r>
      <w:r w:rsidR="00F95E30" w:rsidRPr="00B663A3">
        <w:rPr>
          <w:rFonts w:asciiTheme="majorHAnsi" w:eastAsia="Calibri" w:hAnsiTheme="majorHAnsi" w:cstheme="majorHAnsi"/>
          <w:color w:val="000000" w:themeColor="text1"/>
          <w:sz w:val="24"/>
          <w:szCs w:val="24"/>
        </w:rPr>
        <w:t>30</w:t>
      </w:r>
      <w:r w:rsidR="00442141" w:rsidRPr="00B663A3">
        <w:rPr>
          <w:rFonts w:asciiTheme="majorHAnsi" w:eastAsia="Calibri" w:hAnsiTheme="majorHAnsi" w:cstheme="majorHAnsi"/>
          <w:color w:val="000000" w:themeColor="text1"/>
          <w:sz w:val="24"/>
          <w:szCs w:val="24"/>
        </w:rPr>
        <w:t>-</w:t>
      </w:r>
      <w:r w:rsidR="00442141" w:rsidRPr="00B663A3">
        <w:rPr>
          <w:rFonts w:ascii="Symbol" w:eastAsia="Calibri" w:hAnsi="Symbol" w:cstheme="majorHAnsi"/>
          <w:color w:val="000000" w:themeColor="text1"/>
          <w:sz w:val="24"/>
          <w:szCs w:val="24"/>
        </w:rPr>
        <w:t></w:t>
      </w:r>
      <w:r w:rsidR="00442141" w:rsidRPr="00B663A3">
        <w:rPr>
          <w:rFonts w:asciiTheme="majorHAnsi" w:eastAsia="Calibri" w:hAnsiTheme="majorHAnsi" w:cstheme="majorHAnsi"/>
          <w:color w:val="000000" w:themeColor="text1"/>
          <w:sz w:val="24"/>
          <w:szCs w:val="24"/>
        </w:rPr>
        <w:t xml:space="preserve">m thick </w:t>
      </w:r>
      <w:r w:rsidR="00F95E30" w:rsidRPr="00B663A3">
        <w:rPr>
          <w:rFonts w:asciiTheme="majorHAnsi" w:eastAsia="Calibri" w:hAnsiTheme="majorHAnsi" w:cstheme="majorHAnsi"/>
          <w:color w:val="000000" w:themeColor="text1"/>
          <w:sz w:val="24"/>
          <w:szCs w:val="24"/>
        </w:rPr>
        <w:t>aluminum</w:t>
      </w:r>
      <w:r w:rsidR="00442141" w:rsidRPr="00B663A3">
        <w:rPr>
          <w:rFonts w:asciiTheme="majorHAnsi" w:eastAsia="Calibri" w:hAnsiTheme="majorHAnsi" w:cstheme="majorHAnsi"/>
          <w:color w:val="000000" w:themeColor="text1"/>
          <w:sz w:val="24"/>
          <w:szCs w:val="24"/>
        </w:rPr>
        <w:t xml:space="preserve">. The center </w:t>
      </w:r>
      <w:r w:rsidR="00F95E30" w:rsidRPr="00B663A3">
        <w:rPr>
          <w:rFonts w:asciiTheme="majorHAnsi" w:eastAsia="Calibri" w:hAnsiTheme="majorHAnsi" w:cstheme="majorHAnsi"/>
          <w:color w:val="000000" w:themeColor="text1"/>
          <w:sz w:val="24"/>
          <w:szCs w:val="24"/>
        </w:rPr>
        <w:t xml:space="preserve">of ALERT is defined as the midpoint of the ATOF scintillators.  </w:t>
      </w:r>
      <w:r w:rsidR="00B663A3" w:rsidRPr="00B663A3">
        <w:rPr>
          <w:rFonts w:asciiTheme="majorHAnsi" w:eastAsia="Calibri" w:hAnsiTheme="majorHAnsi" w:cstheme="majorHAnsi"/>
          <w:color w:val="000000" w:themeColor="text1"/>
          <w:sz w:val="24"/>
          <w:szCs w:val="24"/>
        </w:rPr>
        <w:t xml:space="preserve">The </w:t>
      </w:r>
      <w:r w:rsidR="00F95E30" w:rsidRPr="00B663A3">
        <w:rPr>
          <w:rFonts w:asciiTheme="majorHAnsi" w:eastAsia="Calibri" w:hAnsiTheme="majorHAnsi" w:cstheme="majorHAnsi"/>
          <w:color w:val="000000" w:themeColor="text1"/>
          <w:sz w:val="24"/>
          <w:szCs w:val="24"/>
        </w:rPr>
        <w:t xml:space="preserve">ALERT </w:t>
      </w:r>
      <w:r w:rsidR="00B663A3" w:rsidRPr="00B663A3">
        <w:rPr>
          <w:rFonts w:asciiTheme="majorHAnsi" w:eastAsia="Calibri" w:hAnsiTheme="majorHAnsi" w:cstheme="majorHAnsi"/>
          <w:color w:val="000000" w:themeColor="text1"/>
          <w:sz w:val="24"/>
          <w:szCs w:val="24"/>
        </w:rPr>
        <w:t xml:space="preserve">detector </w:t>
      </w:r>
      <w:r w:rsidR="00F95E30" w:rsidRPr="00B663A3">
        <w:rPr>
          <w:rFonts w:asciiTheme="majorHAnsi" w:eastAsia="Calibri" w:hAnsiTheme="majorHAnsi" w:cstheme="majorHAnsi"/>
          <w:color w:val="000000" w:themeColor="text1"/>
          <w:sz w:val="24"/>
          <w:szCs w:val="24"/>
        </w:rPr>
        <w:t xml:space="preserve">center is positioned at the solenoid center, which is 130.3 cm upstream of </w:t>
      </w:r>
      <w:r w:rsidR="00B663A3" w:rsidRPr="00B663A3">
        <w:rPr>
          <w:rFonts w:asciiTheme="majorHAnsi" w:eastAsia="Calibri" w:hAnsiTheme="majorHAnsi" w:cstheme="majorHAnsi"/>
          <w:color w:val="000000" w:themeColor="text1"/>
          <w:sz w:val="24"/>
          <w:szCs w:val="24"/>
        </w:rPr>
        <w:t xml:space="preserve">the </w:t>
      </w:r>
      <w:r w:rsidR="00F95E30" w:rsidRPr="00B663A3">
        <w:rPr>
          <w:rFonts w:asciiTheme="majorHAnsi" w:eastAsia="Calibri" w:hAnsiTheme="majorHAnsi" w:cstheme="majorHAnsi"/>
          <w:color w:val="000000" w:themeColor="text1"/>
          <w:sz w:val="24"/>
          <w:szCs w:val="24"/>
        </w:rPr>
        <w:t>Hall center in the</w:t>
      </w:r>
      <w:r w:rsidR="00442141" w:rsidRPr="00B663A3">
        <w:rPr>
          <w:rFonts w:asciiTheme="majorHAnsi" w:eastAsia="Calibri" w:hAnsiTheme="majorHAnsi" w:cstheme="majorHAnsi"/>
          <w:color w:val="000000" w:themeColor="text1"/>
          <w:sz w:val="24"/>
          <w:szCs w:val="24"/>
        </w:rPr>
        <w:t xml:space="preserve"> nominal CLAS12 coordinate system. The vacuum will be disconnected between the upstream and downstream beamlines with </w:t>
      </w:r>
      <w:r w:rsidR="00F95E30" w:rsidRPr="00B663A3">
        <w:rPr>
          <w:rFonts w:asciiTheme="majorHAnsi" w:eastAsia="Calibri" w:hAnsiTheme="majorHAnsi" w:cstheme="majorHAnsi"/>
          <w:color w:val="000000" w:themeColor="text1"/>
          <w:sz w:val="24"/>
          <w:szCs w:val="24"/>
        </w:rPr>
        <w:t>1</w:t>
      </w:r>
      <w:r w:rsidR="00442141" w:rsidRPr="00B663A3">
        <w:rPr>
          <w:rFonts w:asciiTheme="majorHAnsi" w:eastAsia="Calibri" w:hAnsiTheme="majorHAnsi" w:cstheme="majorHAnsi"/>
          <w:color w:val="000000" w:themeColor="text1"/>
          <w:sz w:val="24"/>
          <w:szCs w:val="24"/>
        </w:rPr>
        <w:t xml:space="preserve"> cm of air between the </w:t>
      </w:r>
      <w:r w:rsidR="00F95E30" w:rsidRPr="00B663A3">
        <w:rPr>
          <w:rFonts w:asciiTheme="majorHAnsi" w:eastAsia="Calibri" w:hAnsiTheme="majorHAnsi" w:cstheme="majorHAnsi"/>
          <w:color w:val="000000" w:themeColor="text1"/>
          <w:sz w:val="24"/>
          <w:szCs w:val="24"/>
        </w:rPr>
        <w:t xml:space="preserve">upstream beam pipe window (30 </w:t>
      </w:r>
      <w:r w:rsidR="00F95E30" w:rsidRPr="00B663A3">
        <w:rPr>
          <w:rFonts w:ascii="Symbol" w:eastAsia="Calibri" w:hAnsi="Symbol" w:cstheme="majorHAnsi"/>
          <w:color w:val="000000" w:themeColor="text1"/>
          <w:sz w:val="24"/>
          <w:szCs w:val="24"/>
        </w:rPr>
        <w:t></w:t>
      </w:r>
      <w:r w:rsidR="00F95E30" w:rsidRPr="00B663A3">
        <w:rPr>
          <w:rFonts w:asciiTheme="majorHAnsi" w:eastAsia="Calibri" w:hAnsiTheme="majorHAnsi" w:cstheme="majorHAnsi"/>
          <w:color w:val="000000" w:themeColor="text1"/>
          <w:sz w:val="24"/>
          <w:szCs w:val="24"/>
        </w:rPr>
        <w:t xml:space="preserve">m thick aluminum) and the upstream target window.  ALERT will have a helium extension tube on the downstream end with a 30 </w:t>
      </w:r>
      <w:r w:rsidR="00F95E30" w:rsidRPr="00B663A3">
        <w:rPr>
          <w:rFonts w:ascii="Symbol" w:eastAsia="Calibri" w:hAnsi="Symbol" w:cstheme="majorHAnsi"/>
          <w:color w:val="000000" w:themeColor="text1"/>
          <w:sz w:val="24"/>
          <w:szCs w:val="24"/>
        </w:rPr>
        <w:t></w:t>
      </w:r>
      <w:r w:rsidR="00F95E30" w:rsidRPr="00B663A3">
        <w:rPr>
          <w:rFonts w:asciiTheme="majorHAnsi" w:eastAsia="Calibri" w:hAnsiTheme="majorHAnsi" w:cstheme="majorHAnsi"/>
          <w:color w:val="000000" w:themeColor="text1"/>
          <w:sz w:val="24"/>
          <w:szCs w:val="24"/>
        </w:rPr>
        <w:t xml:space="preserve">m aluminum window.  There will be a 4 cm air gap between this window and the 75 </w:t>
      </w:r>
      <w:r w:rsidR="00F95E30" w:rsidRPr="00B663A3">
        <w:rPr>
          <w:rFonts w:ascii="Symbol" w:eastAsia="Calibri" w:hAnsi="Symbol" w:cstheme="majorHAnsi"/>
          <w:color w:val="000000" w:themeColor="text1"/>
          <w:sz w:val="24"/>
          <w:szCs w:val="24"/>
        </w:rPr>
        <w:t></w:t>
      </w:r>
      <w:r w:rsidR="00F95E30" w:rsidRPr="00B663A3">
        <w:rPr>
          <w:rFonts w:asciiTheme="majorHAnsi" w:eastAsia="Calibri" w:hAnsiTheme="majorHAnsi" w:cstheme="majorHAnsi"/>
          <w:color w:val="000000" w:themeColor="text1"/>
          <w:sz w:val="24"/>
          <w:szCs w:val="24"/>
        </w:rPr>
        <w:t>m thick window on the downstream beam pipe.</w:t>
      </w:r>
    </w:p>
    <w:p w14:paraId="3E3FCDC3" w14:textId="17EE0795" w:rsidR="00F90F80" w:rsidRDefault="00A9771B" w:rsidP="001E4E76">
      <w:pPr>
        <w:pStyle w:val="Heading2"/>
        <w:pBdr>
          <w:bottom w:val="single" w:sz="6" w:space="15" w:color="E0E0E0"/>
        </w:pBdr>
        <w:spacing w:before="40" w:after="0" w:line="276" w:lineRule="auto"/>
        <w:ind w:right="360" w:firstLine="360"/>
        <w:jc w:val="both"/>
        <w:rPr>
          <w:rFonts w:asciiTheme="majorHAnsi" w:eastAsia="Calibri" w:hAnsiTheme="majorHAnsi" w:cstheme="majorHAnsi"/>
          <w:color w:val="000000" w:themeColor="text1"/>
          <w:sz w:val="24"/>
          <w:szCs w:val="24"/>
        </w:rPr>
      </w:pPr>
      <w:r w:rsidRPr="00606F9A">
        <w:rPr>
          <w:rFonts w:asciiTheme="majorHAnsi" w:eastAsia="Calibri" w:hAnsiTheme="majorHAnsi" w:cstheme="majorHAnsi"/>
          <w:color w:val="000000" w:themeColor="text1"/>
          <w:sz w:val="24"/>
          <w:szCs w:val="24"/>
        </w:rPr>
        <w:lastRenderedPageBreak/>
        <w:t xml:space="preserve">The </w:t>
      </w:r>
      <w:r w:rsidR="003650E6">
        <w:rPr>
          <w:rFonts w:asciiTheme="majorHAnsi" w:eastAsia="Calibri" w:hAnsiTheme="majorHAnsi" w:cstheme="majorHAnsi"/>
          <w:color w:val="000000" w:themeColor="text1"/>
          <w:sz w:val="24"/>
          <w:szCs w:val="24"/>
        </w:rPr>
        <w:t>ALERT</w:t>
      </w:r>
      <w:r w:rsidRPr="00606F9A">
        <w:rPr>
          <w:rFonts w:asciiTheme="majorHAnsi" w:eastAsia="Calibri" w:hAnsiTheme="majorHAnsi" w:cstheme="majorHAnsi"/>
          <w:color w:val="000000" w:themeColor="text1"/>
          <w:sz w:val="24"/>
          <w:szCs w:val="24"/>
        </w:rPr>
        <w:t xml:space="preserve"> run will </w:t>
      </w:r>
      <w:r w:rsidR="003650E6">
        <w:rPr>
          <w:rFonts w:asciiTheme="majorHAnsi" w:eastAsia="Calibri" w:hAnsiTheme="majorHAnsi" w:cstheme="majorHAnsi"/>
          <w:color w:val="000000" w:themeColor="text1"/>
          <w:sz w:val="24"/>
          <w:szCs w:val="24"/>
        </w:rPr>
        <w:t>take data using 2.2 GeV (1-pass)</w:t>
      </w:r>
      <w:r w:rsidR="007B1DDC">
        <w:rPr>
          <w:rFonts w:asciiTheme="majorHAnsi" w:eastAsia="Calibri" w:hAnsiTheme="majorHAnsi" w:cstheme="majorHAnsi"/>
          <w:color w:val="000000" w:themeColor="text1"/>
          <w:sz w:val="24"/>
          <w:szCs w:val="24"/>
        </w:rPr>
        <w:t xml:space="preserve"> beam for detector calibrations and both </w:t>
      </w:r>
      <w:r w:rsidR="003650E6">
        <w:rPr>
          <w:rFonts w:asciiTheme="majorHAnsi" w:eastAsia="Calibri" w:hAnsiTheme="majorHAnsi" w:cstheme="majorHAnsi"/>
          <w:color w:val="000000" w:themeColor="text1"/>
          <w:sz w:val="24"/>
          <w:szCs w:val="24"/>
        </w:rPr>
        <w:t>6.6 GeV (</w:t>
      </w:r>
      <w:r w:rsidR="00291F7D" w:rsidRPr="00606F9A">
        <w:rPr>
          <w:rFonts w:asciiTheme="majorHAnsi" w:eastAsia="Calibri" w:hAnsiTheme="majorHAnsi" w:cstheme="majorHAnsi"/>
          <w:color w:val="000000" w:themeColor="text1"/>
          <w:sz w:val="24"/>
          <w:szCs w:val="24"/>
        </w:rPr>
        <w:t>3-pass</w:t>
      </w:r>
      <w:r w:rsidR="003650E6">
        <w:rPr>
          <w:rFonts w:asciiTheme="majorHAnsi" w:eastAsia="Calibri" w:hAnsiTheme="majorHAnsi" w:cstheme="majorHAnsi"/>
          <w:color w:val="000000" w:themeColor="text1"/>
          <w:sz w:val="24"/>
          <w:szCs w:val="24"/>
        </w:rPr>
        <w:t>)</w:t>
      </w:r>
      <w:r w:rsidR="00291F7D" w:rsidRPr="00606F9A">
        <w:rPr>
          <w:rFonts w:asciiTheme="majorHAnsi" w:eastAsia="Calibri" w:hAnsiTheme="majorHAnsi" w:cstheme="majorHAnsi"/>
          <w:color w:val="000000" w:themeColor="text1"/>
          <w:sz w:val="24"/>
          <w:szCs w:val="24"/>
        </w:rPr>
        <w:t xml:space="preserve"> and </w:t>
      </w:r>
      <w:r w:rsidR="003650E6">
        <w:rPr>
          <w:rFonts w:asciiTheme="majorHAnsi" w:eastAsia="Calibri" w:hAnsiTheme="majorHAnsi" w:cstheme="majorHAnsi"/>
          <w:color w:val="000000" w:themeColor="text1"/>
          <w:sz w:val="24"/>
          <w:szCs w:val="24"/>
        </w:rPr>
        <w:t>11 GeV (5</w:t>
      </w:r>
      <w:r w:rsidR="00291F7D" w:rsidRPr="00606F9A">
        <w:rPr>
          <w:rFonts w:asciiTheme="majorHAnsi" w:eastAsia="Calibri" w:hAnsiTheme="majorHAnsi" w:cstheme="majorHAnsi"/>
          <w:color w:val="000000" w:themeColor="text1"/>
          <w:sz w:val="24"/>
          <w:szCs w:val="24"/>
        </w:rPr>
        <w:t>-pass</w:t>
      </w:r>
      <w:r w:rsidR="003650E6">
        <w:rPr>
          <w:rFonts w:asciiTheme="majorHAnsi" w:eastAsia="Calibri" w:hAnsiTheme="majorHAnsi" w:cstheme="majorHAnsi"/>
          <w:color w:val="000000" w:themeColor="text1"/>
          <w:sz w:val="24"/>
          <w:szCs w:val="24"/>
        </w:rPr>
        <w:t>)</w:t>
      </w:r>
      <w:r w:rsidR="00291F7D" w:rsidRPr="00606F9A">
        <w:rPr>
          <w:rFonts w:asciiTheme="majorHAnsi" w:eastAsia="Calibri" w:hAnsiTheme="majorHAnsi" w:cstheme="majorHAnsi"/>
          <w:color w:val="000000" w:themeColor="text1"/>
          <w:sz w:val="24"/>
          <w:szCs w:val="24"/>
        </w:rPr>
        <w:t xml:space="preserve"> polarized electron beams</w:t>
      </w:r>
      <w:r w:rsidR="00F879D9" w:rsidRPr="00606F9A">
        <w:rPr>
          <w:rFonts w:asciiTheme="majorHAnsi" w:eastAsia="Calibri" w:hAnsiTheme="majorHAnsi" w:cstheme="majorHAnsi"/>
          <w:color w:val="000000" w:themeColor="text1"/>
          <w:sz w:val="24"/>
          <w:szCs w:val="24"/>
        </w:rPr>
        <w:t xml:space="preserve"> </w:t>
      </w:r>
      <w:r w:rsidR="007B1DDC">
        <w:rPr>
          <w:rFonts w:asciiTheme="majorHAnsi" w:eastAsia="Calibri" w:hAnsiTheme="majorHAnsi" w:cstheme="majorHAnsi"/>
          <w:color w:val="000000" w:themeColor="text1"/>
          <w:sz w:val="24"/>
          <w:szCs w:val="24"/>
        </w:rPr>
        <w:t xml:space="preserve">for production data taking. </w:t>
      </w:r>
      <w:r w:rsidR="009E34AE">
        <w:rPr>
          <w:rFonts w:asciiTheme="majorHAnsi" w:eastAsia="Calibri" w:hAnsiTheme="majorHAnsi" w:cstheme="majorHAnsi"/>
          <w:color w:val="000000" w:themeColor="text1"/>
          <w:sz w:val="24"/>
          <w:szCs w:val="24"/>
        </w:rPr>
        <w:t>Production d</w:t>
      </w:r>
      <w:r w:rsidR="007B1DDC">
        <w:rPr>
          <w:rFonts w:asciiTheme="majorHAnsi" w:eastAsia="Calibri" w:hAnsiTheme="majorHAnsi" w:cstheme="majorHAnsi"/>
          <w:color w:val="000000" w:themeColor="text1"/>
          <w:sz w:val="24"/>
          <w:szCs w:val="24"/>
        </w:rPr>
        <w:t xml:space="preserve">ata collection will take place </w:t>
      </w:r>
      <w:r w:rsidR="003650E6">
        <w:rPr>
          <w:rFonts w:asciiTheme="majorHAnsi" w:eastAsia="Calibri" w:hAnsiTheme="majorHAnsi" w:cstheme="majorHAnsi"/>
          <w:color w:val="000000" w:themeColor="text1"/>
          <w:sz w:val="24"/>
          <w:szCs w:val="24"/>
        </w:rPr>
        <w:t xml:space="preserve">with </w:t>
      </w:r>
      <w:r w:rsidR="009E34AE">
        <w:rPr>
          <w:rFonts w:asciiTheme="majorHAnsi" w:eastAsia="Calibri" w:hAnsiTheme="majorHAnsi" w:cstheme="majorHAnsi"/>
          <w:color w:val="000000" w:themeColor="text1"/>
          <w:sz w:val="24"/>
          <w:szCs w:val="24"/>
        </w:rPr>
        <w:t xml:space="preserve">beam </w:t>
      </w:r>
      <w:r w:rsidRPr="00606F9A">
        <w:rPr>
          <w:rFonts w:asciiTheme="majorHAnsi" w:eastAsia="Calibri" w:hAnsiTheme="majorHAnsi" w:cstheme="majorHAnsi"/>
          <w:color w:val="000000" w:themeColor="text1"/>
          <w:sz w:val="24"/>
          <w:szCs w:val="24"/>
        </w:rPr>
        <w:t xml:space="preserve">currents up to </w:t>
      </w:r>
      <w:r w:rsidR="003650E6">
        <w:rPr>
          <w:rFonts w:asciiTheme="majorHAnsi" w:eastAsia="Calibri" w:hAnsiTheme="majorHAnsi" w:cstheme="majorHAnsi"/>
          <w:color w:val="000000" w:themeColor="text1"/>
          <w:sz w:val="24"/>
          <w:szCs w:val="24"/>
        </w:rPr>
        <w:t>10</w:t>
      </w:r>
      <w:r w:rsidRPr="00606F9A">
        <w:rPr>
          <w:rFonts w:asciiTheme="majorHAnsi" w:eastAsia="Calibri" w:hAnsiTheme="majorHAnsi" w:cstheme="majorHAnsi"/>
          <w:color w:val="000000" w:themeColor="text1"/>
          <w:sz w:val="24"/>
          <w:szCs w:val="24"/>
        </w:rPr>
        <w:t xml:space="preserve">00 </w:t>
      </w:r>
      <w:proofErr w:type="spellStart"/>
      <w:r w:rsidRPr="00606F9A">
        <w:rPr>
          <w:rFonts w:asciiTheme="majorHAnsi" w:eastAsia="Calibri" w:hAnsiTheme="majorHAnsi" w:cstheme="majorHAnsi"/>
          <w:color w:val="000000" w:themeColor="text1"/>
          <w:sz w:val="24"/>
          <w:szCs w:val="24"/>
        </w:rPr>
        <w:t>nA</w:t>
      </w:r>
      <w:proofErr w:type="spellEnd"/>
      <w:r w:rsidRPr="00606F9A">
        <w:rPr>
          <w:rFonts w:asciiTheme="majorHAnsi" w:eastAsia="Calibri" w:hAnsiTheme="majorHAnsi" w:cstheme="majorHAnsi"/>
          <w:color w:val="000000" w:themeColor="text1"/>
          <w:sz w:val="24"/>
          <w:szCs w:val="24"/>
        </w:rPr>
        <w:t xml:space="preserve"> during</w:t>
      </w:r>
      <w:r w:rsidR="007B1DDC">
        <w:rPr>
          <w:rFonts w:asciiTheme="majorHAnsi" w:eastAsia="Calibri" w:hAnsiTheme="majorHAnsi" w:cstheme="majorHAnsi"/>
          <w:color w:val="000000" w:themeColor="text1"/>
          <w:sz w:val="24"/>
          <w:szCs w:val="24"/>
        </w:rPr>
        <w:t xml:space="preserve"> </w:t>
      </w:r>
      <w:r w:rsidR="009E34AE">
        <w:rPr>
          <w:rFonts w:asciiTheme="majorHAnsi" w:eastAsia="Calibri" w:hAnsiTheme="majorHAnsi" w:cstheme="majorHAnsi"/>
          <w:color w:val="000000" w:themeColor="text1"/>
          <w:sz w:val="24"/>
          <w:szCs w:val="24"/>
        </w:rPr>
        <w:t>the</w:t>
      </w:r>
      <w:r w:rsidR="007B1DDC">
        <w:rPr>
          <w:rFonts w:asciiTheme="majorHAnsi" w:eastAsia="Calibri" w:hAnsiTheme="majorHAnsi" w:cstheme="majorHAnsi"/>
          <w:color w:val="000000" w:themeColor="text1"/>
          <w:sz w:val="24"/>
          <w:szCs w:val="24"/>
        </w:rPr>
        <w:t xml:space="preserve"> 11 GeV running and with beam currents up to 500 </w:t>
      </w:r>
      <w:proofErr w:type="spellStart"/>
      <w:r w:rsidR="007B1DDC">
        <w:rPr>
          <w:rFonts w:asciiTheme="majorHAnsi" w:eastAsia="Calibri" w:hAnsiTheme="majorHAnsi" w:cstheme="majorHAnsi"/>
          <w:color w:val="000000" w:themeColor="text1"/>
          <w:sz w:val="24"/>
          <w:szCs w:val="24"/>
        </w:rPr>
        <w:t>nA</w:t>
      </w:r>
      <w:proofErr w:type="spellEnd"/>
      <w:r w:rsidR="007B1DDC">
        <w:rPr>
          <w:rFonts w:asciiTheme="majorHAnsi" w:eastAsia="Calibri" w:hAnsiTheme="majorHAnsi" w:cstheme="majorHAnsi"/>
          <w:color w:val="000000" w:themeColor="text1"/>
          <w:sz w:val="24"/>
          <w:szCs w:val="24"/>
        </w:rPr>
        <w:t xml:space="preserve"> for the </w:t>
      </w:r>
      <w:r w:rsidR="009E34AE">
        <w:rPr>
          <w:rFonts w:asciiTheme="majorHAnsi" w:eastAsia="Calibri" w:hAnsiTheme="majorHAnsi" w:cstheme="majorHAnsi"/>
          <w:color w:val="000000" w:themeColor="text1"/>
          <w:sz w:val="24"/>
          <w:szCs w:val="24"/>
        </w:rPr>
        <w:t xml:space="preserve">two </w:t>
      </w:r>
      <w:r w:rsidR="007B1DDC">
        <w:rPr>
          <w:rFonts w:asciiTheme="majorHAnsi" w:eastAsia="Calibri" w:hAnsiTheme="majorHAnsi" w:cstheme="majorHAnsi"/>
          <w:color w:val="000000" w:themeColor="text1"/>
          <w:sz w:val="24"/>
          <w:szCs w:val="24"/>
        </w:rPr>
        <w:t>lower beam energies</w:t>
      </w:r>
      <w:r w:rsidRPr="00606F9A">
        <w:rPr>
          <w:rFonts w:asciiTheme="majorHAnsi" w:eastAsia="Calibri" w:hAnsiTheme="majorHAnsi" w:cstheme="majorHAnsi"/>
          <w:color w:val="000000" w:themeColor="text1"/>
          <w:sz w:val="24"/>
          <w:szCs w:val="24"/>
        </w:rPr>
        <w:t xml:space="preserve">. </w:t>
      </w:r>
      <w:r w:rsidR="007B42E9" w:rsidRPr="00606F9A">
        <w:rPr>
          <w:rFonts w:asciiTheme="majorHAnsi" w:eastAsia="Calibri" w:hAnsiTheme="majorHAnsi" w:cstheme="majorHAnsi"/>
          <w:color w:val="000000" w:themeColor="text1"/>
          <w:sz w:val="24"/>
          <w:szCs w:val="24"/>
        </w:rPr>
        <w:t xml:space="preserve">The </w:t>
      </w:r>
      <w:r w:rsidR="00F879D9" w:rsidRPr="00606F9A">
        <w:rPr>
          <w:rFonts w:asciiTheme="majorHAnsi" w:eastAsia="Calibri" w:hAnsiTheme="majorHAnsi" w:cstheme="majorHAnsi"/>
          <w:color w:val="000000" w:themeColor="text1"/>
          <w:sz w:val="24"/>
          <w:szCs w:val="24"/>
        </w:rPr>
        <w:t xml:space="preserve">nominal beam-target </w:t>
      </w:r>
      <w:r w:rsidR="007B42E9" w:rsidRPr="00606F9A">
        <w:rPr>
          <w:rFonts w:asciiTheme="majorHAnsi" w:eastAsia="Calibri" w:hAnsiTheme="majorHAnsi" w:cstheme="majorHAnsi"/>
          <w:color w:val="000000" w:themeColor="text1"/>
          <w:sz w:val="24"/>
          <w:szCs w:val="24"/>
        </w:rPr>
        <w:t xml:space="preserve">luminosity during data taking will be </w:t>
      </w:r>
      <w:r w:rsidR="00F90F80" w:rsidRPr="00F90F80">
        <w:rPr>
          <w:rFonts w:ascii="Cambria Math" w:hAnsi="Cambria Math" w:cs="Cambria Math"/>
          <w:color w:val="000000"/>
          <w:sz w:val="24"/>
          <w:szCs w:val="24"/>
        </w:rPr>
        <w:t>≲</w:t>
      </w:r>
      <w:r w:rsidR="007B1DDC" w:rsidRPr="00F90F80">
        <w:rPr>
          <w:rFonts w:asciiTheme="majorHAnsi" w:eastAsia="Calibri" w:hAnsiTheme="majorHAnsi" w:cstheme="majorHAnsi"/>
          <w:color w:val="000000" w:themeColor="text1"/>
          <w:sz w:val="24"/>
          <w:szCs w:val="24"/>
        </w:rPr>
        <w:t>6</w:t>
      </w:r>
      <w:r w:rsidR="00F879D9" w:rsidRPr="00F90F80">
        <w:rPr>
          <w:rFonts w:asciiTheme="majorHAnsi" w:eastAsia="Calibri" w:hAnsiTheme="majorHAnsi" w:cstheme="majorHAnsi"/>
          <w:color w:val="000000" w:themeColor="text1"/>
          <w:sz w:val="24"/>
          <w:szCs w:val="24"/>
        </w:rPr>
        <w:t>x</w:t>
      </w:r>
      <w:r w:rsidR="007B42E9" w:rsidRPr="00F90F80">
        <w:rPr>
          <w:rFonts w:asciiTheme="majorHAnsi" w:eastAsia="Calibri" w:hAnsiTheme="majorHAnsi" w:cstheme="majorHAnsi"/>
          <w:color w:val="000000" w:themeColor="text1"/>
          <w:sz w:val="24"/>
          <w:szCs w:val="24"/>
        </w:rPr>
        <w:t>10</w:t>
      </w:r>
      <w:r w:rsidR="007B42E9" w:rsidRPr="00606F9A">
        <w:rPr>
          <w:rFonts w:asciiTheme="majorHAnsi" w:eastAsia="Calibri" w:hAnsiTheme="majorHAnsi" w:cstheme="majorHAnsi"/>
          <w:color w:val="000000" w:themeColor="text1"/>
          <w:sz w:val="24"/>
          <w:szCs w:val="24"/>
          <w:vertAlign w:val="superscript"/>
        </w:rPr>
        <w:t>3</w:t>
      </w:r>
      <w:r w:rsidR="007B1DDC">
        <w:rPr>
          <w:rFonts w:asciiTheme="majorHAnsi" w:eastAsia="Calibri" w:hAnsiTheme="majorHAnsi" w:cstheme="majorHAnsi"/>
          <w:color w:val="000000" w:themeColor="text1"/>
          <w:sz w:val="24"/>
          <w:szCs w:val="24"/>
          <w:vertAlign w:val="superscript"/>
        </w:rPr>
        <w:t>4</w:t>
      </w:r>
      <w:r w:rsidR="007B42E9" w:rsidRPr="00606F9A">
        <w:rPr>
          <w:rFonts w:asciiTheme="majorHAnsi" w:eastAsia="Calibri" w:hAnsiTheme="majorHAnsi" w:cstheme="majorHAnsi"/>
          <w:color w:val="000000" w:themeColor="text1"/>
          <w:sz w:val="24"/>
          <w:szCs w:val="24"/>
        </w:rPr>
        <w:t xml:space="preserve"> cm</w:t>
      </w:r>
      <w:r w:rsidR="007B42E9" w:rsidRPr="00606F9A">
        <w:rPr>
          <w:rFonts w:asciiTheme="majorHAnsi" w:eastAsia="Calibri" w:hAnsiTheme="majorHAnsi" w:cstheme="majorHAnsi"/>
          <w:color w:val="000000" w:themeColor="text1"/>
          <w:sz w:val="24"/>
          <w:szCs w:val="24"/>
          <w:vertAlign w:val="superscript"/>
        </w:rPr>
        <w:t>-2</w:t>
      </w:r>
      <w:r w:rsidR="007B42E9" w:rsidRPr="00606F9A">
        <w:rPr>
          <w:rFonts w:asciiTheme="majorHAnsi" w:eastAsia="Calibri" w:hAnsiTheme="majorHAnsi" w:cstheme="majorHAnsi"/>
          <w:color w:val="000000" w:themeColor="text1"/>
          <w:sz w:val="24"/>
          <w:szCs w:val="24"/>
        </w:rPr>
        <w:t>s</w:t>
      </w:r>
      <w:r w:rsidR="007B42E9" w:rsidRPr="00606F9A">
        <w:rPr>
          <w:rFonts w:asciiTheme="majorHAnsi" w:eastAsia="Calibri" w:hAnsiTheme="majorHAnsi" w:cstheme="majorHAnsi"/>
          <w:color w:val="000000" w:themeColor="text1"/>
          <w:sz w:val="24"/>
          <w:szCs w:val="24"/>
          <w:vertAlign w:val="superscript"/>
        </w:rPr>
        <w:t>-1</w:t>
      </w:r>
      <w:r w:rsidR="007B42E9" w:rsidRPr="00606F9A">
        <w:rPr>
          <w:rFonts w:asciiTheme="majorHAnsi" w:eastAsia="Calibri" w:hAnsiTheme="majorHAnsi" w:cstheme="majorHAnsi"/>
          <w:color w:val="000000" w:themeColor="text1"/>
          <w:sz w:val="24"/>
          <w:szCs w:val="24"/>
        </w:rPr>
        <w:t xml:space="preserve">. For beam tuning and </w:t>
      </w:r>
      <w:proofErr w:type="spellStart"/>
      <w:r w:rsidR="007B42E9" w:rsidRPr="00606F9A">
        <w:rPr>
          <w:rFonts w:asciiTheme="majorHAnsi" w:eastAsia="Calibri" w:hAnsiTheme="majorHAnsi" w:cstheme="majorHAnsi"/>
          <w:color w:val="000000" w:themeColor="text1"/>
          <w:sz w:val="24"/>
          <w:szCs w:val="24"/>
        </w:rPr>
        <w:t>M</w:t>
      </w:r>
      <w:r w:rsidR="00F879D9" w:rsidRPr="00606F9A">
        <w:rPr>
          <w:rFonts w:asciiTheme="majorHAnsi" w:hAnsiTheme="majorHAnsi" w:cstheme="majorHAnsi"/>
          <w:color w:val="000000" w:themeColor="text1"/>
          <w:sz w:val="21"/>
          <w:szCs w:val="21"/>
          <w:shd w:val="clear" w:color="auto" w:fill="FFFFFF"/>
        </w:rPr>
        <w:t>ö</w:t>
      </w:r>
      <w:r w:rsidR="007B42E9" w:rsidRPr="00606F9A">
        <w:rPr>
          <w:rFonts w:asciiTheme="majorHAnsi" w:eastAsia="Calibri" w:hAnsiTheme="majorHAnsi" w:cstheme="majorHAnsi"/>
          <w:color w:val="000000" w:themeColor="text1"/>
          <w:sz w:val="24"/>
          <w:szCs w:val="24"/>
        </w:rPr>
        <w:t>ller</w:t>
      </w:r>
      <w:proofErr w:type="spellEnd"/>
      <w:r w:rsidR="007B42E9" w:rsidRPr="00606F9A">
        <w:rPr>
          <w:rFonts w:asciiTheme="majorHAnsi" w:eastAsia="Calibri" w:hAnsiTheme="majorHAnsi" w:cstheme="majorHAnsi"/>
          <w:color w:val="000000" w:themeColor="text1"/>
          <w:sz w:val="24"/>
          <w:szCs w:val="24"/>
        </w:rPr>
        <w:t xml:space="preserve"> runs, the beam will be directed into the Hall B Tagger dipole magnet yoke as has been standard for operations in Hall B.</w:t>
      </w:r>
      <w:r w:rsidR="00F90F80">
        <w:rPr>
          <w:rFonts w:asciiTheme="majorHAnsi" w:eastAsia="Calibri" w:hAnsiTheme="majorHAnsi" w:cstheme="majorHAnsi"/>
          <w:color w:val="000000" w:themeColor="text1"/>
          <w:sz w:val="24"/>
          <w:szCs w:val="24"/>
        </w:rPr>
        <w:t xml:space="preserve"> The Hall B Faraday cup with beam blocker has been approved for 17 kW operation.</w:t>
      </w:r>
    </w:p>
    <w:p w14:paraId="17A70F24" w14:textId="4C56EFF1" w:rsidR="009A4974" w:rsidRPr="00F90F80" w:rsidRDefault="00A9771B" w:rsidP="001E4E76">
      <w:pPr>
        <w:pStyle w:val="Heading2"/>
        <w:pBdr>
          <w:bottom w:val="single" w:sz="6" w:space="15" w:color="E0E0E0"/>
        </w:pBdr>
        <w:spacing w:before="40" w:after="0" w:line="276" w:lineRule="auto"/>
        <w:ind w:right="360" w:firstLine="360"/>
        <w:jc w:val="both"/>
        <w:rPr>
          <w:rFonts w:ascii="Roboto" w:hAnsi="Roboto"/>
          <w:color w:val="000000"/>
          <w:sz w:val="35"/>
          <w:szCs w:val="35"/>
        </w:rPr>
      </w:pPr>
      <w:r w:rsidRPr="00BE3D3A">
        <w:rPr>
          <w:rFonts w:asciiTheme="majorHAnsi" w:eastAsia="Calibri" w:hAnsiTheme="majorHAnsi" w:cstheme="majorHAnsi"/>
          <w:sz w:val="24"/>
          <w:szCs w:val="24"/>
        </w:rPr>
        <w:t xml:space="preserve">The details of all </w:t>
      </w:r>
      <w:r w:rsidR="00F879D9">
        <w:rPr>
          <w:rFonts w:asciiTheme="majorHAnsi" w:eastAsia="Calibri" w:hAnsiTheme="majorHAnsi" w:cstheme="majorHAnsi"/>
          <w:sz w:val="24"/>
          <w:szCs w:val="24"/>
        </w:rPr>
        <w:t xml:space="preserve">beamline and target </w:t>
      </w:r>
      <w:r w:rsidRPr="00BE3D3A">
        <w:rPr>
          <w:rFonts w:asciiTheme="majorHAnsi" w:eastAsia="Calibri" w:hAnsiTheme="majorHAnsi" w:cstheme="majorHAnsi"/>
          <w:sz w:val="24"/>
          <w:szCs w:val="24"/>
        </w:rPr>
        <w:t>components</w:t>
      </w:r>
      <w:r w:rsidR="00F879D9">
        <w:rPr>
          <w:rFonts w:asciiTheme="majorHAnsi" w:eastAsia="Calibri" w:hAnsiTheme="majorHAnsi" w:cstheme="majorHAnsi"/>
          <w:sz w:val="24"/>
          <w:szCs w:val="24"/>
        </w:rPr>
        <w:t xml:space="preserve"> for </w:t>
      </w:r>
      <w:r w:rsidR="007B1DDC">
        <w:rPr>
          <w:rFonts w:asciiTheme="majorHAnsi" w:eastAsia="Calibri" w:hAnsiTheme="majorHAnsi" w:cstheme="majorHAnsi"/>
          <w:sz w:val="24"/>
          <w:szCs w:val="24"/>
        </w:rPr>
        <w:t>ALERT</w:t>
      </w:r>
      <w:r w:rsidRPr="00BE3D3A">
        <w:rPr>
          <w:rFonts w:asciiTheme="majorHAnsi" w:eastAsia="Calibri" w:hAnsiTheme="majorHAnsi" w:cstheme="majorHAnsi"/>
          <w:sz w:val="24"/>
          <w:szCs w:val="24"/>
        </w:rPr>
        <w:t xml:space="preserve"> are shown on the beamline drawing</w:t>
      </w:r>
      <w:r w:rsidR="00F879D9">
        <w:rPr>
          <w:rFonts w:asciiTheme="majorHAnsi" w:eastAsia="Calibri" w:hAnsiTheme="majorHAnsi" w:cstheme="majorHAnsi"/>
          <w:sz w:val="24"/>
          <w:szCs w:val="24"/>
        </w:rPr>
        <w:t>s at:</w:t>
      </w:r>
      <w:r w:rsidR="007B42E9" w:rsidRPr="00BE3D3A">
        <w:rPr>
          <w:rFonts w:asciiTheme="majorHAnsi" w:eastAsia="Calibri" w:hAnsiTheme="majorHAnsi" w:cstheme="majorHAnsi"/>
          <w:sz w:val="24"/>
          <w:szCs w:val="24"/>
        </w:rPr>
        <w:t xml:space="preserve"> </w:t>
      </w:r>
      <w:hyperlink r:id="rId7" w:history="1">
        <w:r w:rsidR="007B42E9" w:rsidRPr="00F90F80">
          <w:rPr>
            <w:rStyle w:val="Hyperlink"/>
            <w:rFonts w:asciiTheme="majorHAnsi" w:eastAsia="Calibri" w:hAnsiTheme="majorHAnsi" w:cstheme="majorHAnsi"/>
            <w:sz w:val="24"/>
            <w:szCs w:val="24"/>
          </w:rPr>
          <w:t>https://wiki.jlab.org/Hall-B/engineering/hallb_eng_wiki/index.php/Main_Page</w:t>
        </w:r>
      </w:hyperlink>
      <w:r w:rsidR="007B42E9" w:rsidRPr="00F90F80">
        <w:rPr>
          <w:rFonts w:asciiTheme="majorHAnsi" w:eastAsia="Calibri" w:hAnsiTheme="majorHAnsi" w:cstheme="majorHAnsi"/>
          <w:sz w:val="24"/>
          <w:szCs w:val="24"/>
          <w:u w:val="single"/>
        </w:rPr>
        <w:t>.</w:t>
      </w:r>
    </w:p>
    <w:p w14:paraId="4FB8E67B" w14:textId="394186CF" w:rsidR="007568FE" w:rsidRDefault="007568FE" w:rsidP="007568FE">
      <w:pPr>
        <w:pStyle w:val="LO-normal"/>
        <w:numPr>
          <w:ilvl w:val="0"/>
          <w:numId w:val="3"/>
        </w:numPr>
        <w:spacing w:before="240" w:after="240" w:line="240" w:lineRule="auto"/>
        <w:rPr>
          <w:sz w:val="24"/>
          <w:szCs w:val="24"/>
        </w:rPr>
      </w:pPr>
      <w:r>
        <w:rPr>
          <w:rFonts w:ascii="Calibri" w:eastAsia="Calibri" w:hAnsi="Calibri" w:cs="Calibri"/>
          <w:b/>
          <w:sz w:val="24"/>
          <w:szCs w:val="24"/>
        </w:rPr>
        <w:t>Summary and Conclusions</w:t>
      </w:r>
    </w:p>
    <w:p w14:paraId="69EAB98C" w14:textId="4446D055" w:rsidR="007568FE" w:rsidRPr="00BE3D3A" w:rsidRDefault="007568FE" w:rsidP="00BE3D3A">
      <w:pPr>
        <w:pStyle w:val="BodyText"/>
        <w:spacing w:before="52" w:after="0"/>
        <w:ind w:right="360"/>
        <w:jc w:val="both"/>
        <w:rPr>
          <w:rFonts w:asciiTheme="majorHAnsi" w:hAnsiTheme="majorHAnsi" w:cstheme="majorHAnsi"/>
          <w:sz w:val="24"/>
          <w:szCs w:val="24"/>
        </w:rPr>
      </w:pPr>
      <w:r w:rsidRPr="00BE3D3A">
        <w:rPr>
          <w:rFonts w:asciiTheme="majorHAnsi" w:hAnsiTheme="majorHAnsi" w:cstheme="majorHAnsi"/>
          <w:sz w:val="24"/>
          <w:szCs w:val="24"/>
        </w:rPr>
        <w:t>This run period is not expected to produce significant levels of radiation at the site boundary. However, radiation levels will be monitored periodically by the Radiation Control Department (RCD) to ensure that the site boundary goal is not exceeded. The main consideration is the manipulation and/or handling of target(s) or beamline hardware. As specified in Sections 4.2 and 7 below, the manipulation and/or handling of target(s) or beamline hardware (potential radioactive material)</w:t>
      </w:r>
      <w:r w:rsidR="00F879D9">
        <w:rPr>
          <w:rFonts w:asciiTheme="majorHAnsi" w:hAnsiTheme="majorHAnsi" w:cstheme="majorHAnsi"/>
          <w:sz w:val="24"/>
          <w:szCs w:val="24"/>
        </w:rPr>
        <w:t>,</w:t>
      </w:r>
      <w:r w:rsidRPr="00BE3D3A">
        <w:rPr>
          <w:rFonts w:asciiTheme="majorHAnsi" w:hAnsiTheme="majorHAnsi" w:cstheme="majorHAnsi"/>
          <w:sz w:val="24"/>
          <w:szCs w:val="24"/>
        </w:rPr>
        <w:t xml:space="preserve"> the transfer of radioactive material</w:t>
      </w:r>
      <w:r w:rsidR="00F879D9">
        <w:rPr>
          <w:rFonts w:asciiTheme="majorHAnsi" w:hAnsiTheme="majorHAnsi" w:cstheme="majorHAnsi"/>
          <w:sz w:val="24"/>
          <w:szCs w:val="24"/>
        </w:rPr>
        <w:t>,</w:t>
      </w:r>
      <w:r w:rsidRPr="00BE3D3A">
        <w:rPr>
          <w:rFonts w:asciiTheme="majorHAnsi" w:hAnsiTheme="majorHAnsi" w:cstheme="majorHAnsi"/>
          <w:sz w:val="24"/>
          <w:szCs w:val="24"/>
        </w:rPr>
        <w:t xml:space="preserve"> </w:t>
      </w:r>
      <w:r w:rsidR="00076566" w:rsidRPr="00BE3D3A">
        <w:rPr>
          <w:rFonts w:asciiTheme="majorHAnsi" w:hAnsiTheme="majorHAnsi" w:cstheme="majorHAnsi"/>
          <w:sz w:val="24"/>
          <w:szCs w:val="24"/>
        </w:rPr>
        <w:t>or</w:t>
      </w:r>
      <w:r w:rsidRPr="00BE3D3A">
        <w:rPr>
          <w:rFonts w:asciiTheme="majorHAnsi" w:hAnsiTheme="majorHAnsi" w:cstheme="majorHAnsi"/>
          <w:sz w:val="24"/>
          <w:szCs w:val="24"/>
        </w:rPr>
        <w:t xml:space="preserve"> modifications to the beamline after the target assembly </w:t>
      </w:r>
      <w:r w:rsidRPr="00BE3D3A">
        <w:rPr>
          <w:rFonts w:asciiTheme="majorHAnsi" w:hAnsiTheme="majorHAnsi" w:cstheme="majorHAnsi"/>
          <w:i/>
          <w:iCs/>
          <w:sz w:val="24"/>
          <w:szCs w:val="24"/>
        </w:rPr>
        <w:t>must be reviewed and approved by the Radiation Control Department</w:t>
      </w:r>
      <w:r w:rsidRPr="00BE3D3A">
        <w:rPr>
          <w:rFonts w:asciiTheme="majorHAnsi" w:hAnsiTheme="majorHAnsi" w:cstheme="majorHAnsi"/>
          <w:sz w:val="24"/>
          <w:szCs w:val="24"/>
        </w:rPr>
        <w:t>.</w:t>
      </w:r>
    </w:p>
    <w:p w14:paraId="7F270BC7" w14:textId="62AAC204" w:rsidR="007568FE" w:rsidRPr="00BE3D3A" w:rsidRDefault="007568FE" w:rsidP="007568FE">
      <w:pPr>
        <w:pStyle w:val="BodyText"/>
        <w:spacing w:before="52" w:after="0"/>
        <w:ind w:right="360"/>
        <w:jc w:val="both"/>
        <w:rPr>
          <w:rFonts w:asciiTheme="majorHAnsi" w:hAnsiTheme="majorHAnsi" w:cstheme="majorHAnsi"/>
          <w:i/>
          <w:iCs/>
          <w:sz w:val="24"/>
          <w:szCs w:val="24"/>
        </w:rPr>
      </w:pPr>
      <w:r w:rsidRPr="00BE3D3A">
        <w:rPr>
          <w:rFonts w:asciiTheme="majorHAnsi" w:hAnsiTheme="majorHAnsi" w:cstheme="majorHAnsi"/>
          <w:i/>
          <w:iCs/>
          <w:sz w:val="24"/>
          <w:szCs w:val="24"/>
        </w:rPr>
        <w:t>Adherence to this RSAD is vital.</w:t>
      </w:r>
    </w:p>
    <w:p w14:paraId="39BFF539" w14:textId="2D2DFC78" w:rsidR="007568FE" w:rsidRPr="00BE3D3A" w:rsidRDefault="007568FE" w:rsidP="001E4E76">
      <w:pPr>
        <w:pStyle w:val="LO-normal"/>
        <w:numPr>
          <w:ilvl w:val="0"/>
          <w:numId w:val="3"/>
        </w:numPr>
        <w:spacing w:before="240" w:after="240" w:line="240" w:lineRule="auto"/>
        <w:rPr>
          <w:sz w:val="24"/>
          <w:szCs w:val="24"/>
        </w:rPr>
      </w:pPr>
      <w:r>
        <w:rPr>
          <w:rFonts w:ascii="Calibri" w:eastAsia="Calibri" w:hAnsi="Calibri" w:cs="Calibri"/>
          <w:b/>
          <w:sz w:val="24"/>
          <w:szCs w:val="24"/>
        </w:rPr>
        <w:t>Calculations of Radiation Deposited in the Experimental Hall</w:t>
      </w:r>
    </w:p>
    <w:p w14:paraId="583B4ACE" w14:textId="6BB332EE" w:rsidR="00BE3D3A" w:rsidRPr="00BE3D3A" w:rsidRDefault="00BE3D3A" w:rsidP="001E4E76">
      <w:pPr>
        <w:pStyle w:val="LO-normal"/>
        <w:spacing w:before="240" w:after="240" w:line="240" w:lineRule="auto"/>
        <w:ind w:right="360" w:firstLine="360"/>
        <w:jc w:val="both"/>
        <w:rPr>
          <w:rFonts w:asciiTheme="majorHAnsi" w:hAnsiTheme="majorHAnsi" w:cstheme="majorHAnsi"/>
          <w:sz w:val="24"/>
          <w:szCs w:val="24"/>
        </w:rPr>
      </w:pPr>
      <w:r w:rsidRPr="00BE3D3A">
        <w:rPr>
          <w:rFonts w:asciiTheme="majorHAnsi" w:hAnsiTheme="majorHAnsi" w:cstheme="majorHAnsi"/>
          <w:sz w:val="24"/>
          <w:szCs w:val="24"/>
        </w:rPr>
        <w:t>The radiation budget for a given experiment is the amount of radiation that is expected at the site boundary as a result of a given set of experiments. This budget may be specified in terms of mrem at the site boundary or as a percentage of the TJNAF design goal for dose to the public, which is 10 mrem per year. The 10 mrem/</w:t>
      </w:r>
      <w:proofErr w:type="spellStart"/>
      <w:r w:rsidRPr="00BE3D3A">
        <w:rPr>
          <w:rFonts w:asciiTheme="majorHAnsi" w:hAnsiTheme="majorHAnsi" w:cstheme="majorHAnsi"/>
          <w:sz w:val="24"/>
          <w:szCs w:val="24"/>
        </w:rPr>
        <w:t>y</w:t>
      </w:r>
      <w:r w:rsidR="00F879D9">
        <w:rPr>
          <w:rFonts w:asciiTheme="majorHAnsi" w:hAnsiTheme="majorHAnsi" w:cstheme="majorHAnsi"/>
          <w:sz w:val="24"/>
          <w:szCs w:val="24"/>
        </w:rPr>
        <w:t>r</w:t>
      </w:r>
      <w:proofErr w:type="spellEnd"/>
      <w:r w:rsidRPr="00BE3D3A">
        <w:rPr>
          <w:rFonts w:asciiTheme="majorHAnsi" w:hAnsiTheme="majorHAnsi" w:cstheme="majorHAnsi"/>
          <w:sz w:val="24"/>
          <w:szCs w:val="24"/>
        </w:rPr>
        <w:t xml:space="preserve"> design goal is 10% of the DOE annual dose limit to the </w:t>
      </w:r>
      <w:r w:rsidR="00076566" w:rsidRPr="00BE3D3A">
        <w:rPr>
          <w:rFonts w:asciiTheme="majorHAnsi" w:hAnsiTheme="majorHAnsi" w:cstheme="majorHAnsi"/>
          <w:sz w:val="24"/>
          <w:szCs w:val="24"/>
        </w:rPr>
        <w:t>public and</w:t>
      </w:r>
      <w:r w:rsidRPr="00BE3D3A">
        <w:rPr>
          <w:rFonts w:asciiTheme="majorHAnsi" w:hAnsiTheme="majorHAnsi" w:cstheme="majorHAnsi"/>
          <w:sz w:val="24"/>
          <w:szCs w:val="24"/>
        </w:rPr>
        <w:t xml:space="preserve"> cannot be exceeded without prior written consent from the Radiation Control Department Manager, the TJNAF Director, and the Department of Energy.</w:t>
      </w:r>
    </w:p>
    <w:p w14:paraId="4187D013" w14:textId="668ECA1E" w:rsidR="00BE3D3A" w:rsidRPr="00BE3D3A" w:rsidRDefault="00BE3D3A" w:rsidP="001E4E76">
      <w:pPr>
        <w:pStyle w:val="LO-normal"/>
        <w:spacing w:before="240" w:after="240" w:line="240" w:lineRule="auto"/>
        <w:ind w:right="360" w:firstLine="360"/>
        <w:jc w:val="both"/>
        <w:rPr>
          <w:rFonts w:asciiTheme="majorHAnsi" w:hAnsiTheme="majorHAnsi" w:cstheme="majorHAnsi"/>
          <w:sz w:val="24"/>
          <w:szCs w:val="24"/>
        </w:rPr>
      </w:pPr>
      <w:r w:rsidRPr="00BE3D3A">
        <w:rPr>
          <w:rFonts w:asciiTheme="majorHAnsi" w:hAnsiTheme="majorHAnsi" w:cstheme="majorHAnsi"/>
          <w:sz w:val="24"/>
          <w:szCs w:val="24"/>
        </w:rPr>
        <w:t>Calculations of the contribution to TJNAFs annual radiation budget that would result from running under a broad variety of conditions typical of Hall B operations, indicates that this contribution from the experiments will be negligible. With this expectation, we have not carried out calculations for the specific running conditions of this experimental group.</w:t>
      </w:r>
    </w:p>
    <w:p w14:paraId="0EECCEE6" w14:textId="0F61D73B" w:rsidR="00BE3D3A" w:rsidRPr="00BE3D3A" w:rsidRDefault="00BE3D3A" w:rsidP="001E4E76">
      <w:pPr>
        <w:pStyle w:val="LO-normal"/>
        <w:spacing w:before="240" w:after="240" w:line="240" w:lineRule="auto"/>
        <w:ind w:right="360" w:firstLine="360"/>
        <w:jc w:val="both"/>
        <w:rPr>
          <w:rFonts w:asciiTheme="majorHAnsi" w:hAnsiTheme="majorHAnsi" w:cstheme="majorHAnsi"/>
          <w:sz w:val="24"/>
          <w:szCs w:val="24"/>
        </w:rPr>
      </w:pPr>
      <w:r w:rsidRPr="00BE3D3A">
        <w:rPr>
          <w:rFonts w:asciiTheme="majorHAnsi" w:hAnsiTheme="majorHAnsi" w:cstheme="majorHAnsi"/>
          <w:sz w:val="24"/>
          <w:szCs w:val="24"/>
        </w:rPr>
        <w:t xml:space="preserve">This expectation will be verified during the experiment by using the active </w:t>
      </w:r>
      <w:r w:rsidR="00076566" w:rsidRPr="00BE3D3A">
        <w:rPr>
          <w:rFonts w:asciiTheme="majorHAnsi" w:hAnsiTheme="majorHAnsi" w:cstheme="majorHAnsi"/>
          <w:sz w:val="24"/>
          <w:szCs w:val="24"/>
        </w:rPr>
        <w:t>monitors</w:t>
      </w:r>
      <w:r w:rsidRPr="00BE3D3A">
        <w:rPr>
          <w:rFonts w:asciiTheme="majorHAnsi" w:hAnsiTheme="majorHAnsi" w:cstheme="majorHAnsi"/>
          <w:sz w:val="24"/>
          <w:szCs w:val="24"/>
        </w:rPr>
        <w:t xml:space="preserve"> at the Jefferson Lab site boundary to keep up with the dose for the individual setups from Hall B </w:t>
      </w:r>
      <w:r w:rsidRPr="00BE3D3A">
        <w:rPr>
          <w:rFonts w:asciiTheme="majorHAnsi" w:hAnsiTheme="majorHAnsi" w:cstheme="majorHAnsi"/>
          <w:sz w:val="24"/>
          <w:szCs w:val="24"/>
          <w:u w:val="single"/>
        </w:rPr>
        <w:t>and</w:t>
      </w:r>
      <w:r w:rsidRPr="00BE3D3A">
        <w:rPr>
          <w:rFonts w:asciiTheme="majorHAnsi" w:hAnsiTheme="majorHAnsi" w:cstheme="majorHAnsi"/>
          <w:sz w:val="24"/>
          <w:szCs w:val="24"/>
        </w:rPr>
        <w:t xml:space="preserve"> the other Halls. If it appears that the radiation budget will be exceeded, RadCon will call for a meeting with the experimenters and the Head of the Physics Division to determine if the </w:t>
      </w:r>
      <w:r w:rsidRPr="00BE3D3A">
        <w:rPr>
          <w:rFonts w:asciiTheme="majorHAnsi" w:hAnsiTheme="majorHAnsi" w:cstheme="majorHAnsi"/>
          <w:sz w:val="24"/>
          <w:szCs w:val="24"/>
        </w:rPr>
        <w:lastRenderedPageBreak/>
        <w:t>experimental conditions are accurate, and to assess what actions may reduce site boundary dose rates. If the site boundary dose approaches or exceeds 10 mrem during any calendar year, the experimental program will stop until a resolution can be reached.</w:t>
      </w:r>
    </w:p>
    <w:p w14:paraId="142F60E7" w14:textId="5FE580A2" w:rsidR="007568FE" w:rsidRPr="00F9272F" w:rsidRDefault="007568FE" w:rsidP="001E4E76">
      <w:pPr>
        <w:pStyle w:val="LO-normal"/>
        <w:numPr>
          <w:ilvl w:val="0"/>
          <w:numId w:val="3"/>
        </w:numPr>
        <w:spacing w:before="240" w:after="240" w:line="240" w:lineRule="auto"/>
        <w:ind w:right="360"/>
        <w:rPr>
          <w:sz w:val="24"/>
          <w:szCs w:val="24"/>
        </w:rPr>
      </w:pPr>
      <w:r>
        <w:rPr>
          <w:rFonts w:ascii="Calibri" w:eastAsia="Calibri" w:hAnsi="Calibri" w:cs="Calibri"/>
          <w:b/>
          <w:sz w:val="24"/>
          <w:szCs w:val="24"/>
        </w:rPr>
        <w:t>Radiation Hazards</w:t>
      </w:r>
    </w:p>
    <w:p w14:paraId="0284C1E3" w14:textId="45701F8B" w:rsidR="00F9272F" w:rsidRDefault="00F9272F" w:rsidP="001E4E76">
      <w:pPr>
        <w:pStyle w:val="LO-normal"/>
        <w:spacing w:before="240" w:after="240" w:line="240" w:lineRule="auto"/>
        <w:ind w:right="360" w:firstLine="360"/>
        <w:jc w:val="both"/>
        <w:rPr>
          <w:sz w:val="24"/>
          <w:szCs w:val="24"/>
        </w:rPr>
      </w:pPr>
      <w:r>
        <w:rPr>
          <w:sz w:val="24"/>
          <w:szCs w:val="24"/>
        </w:rPr>
        <w:t>The following controls shall be used to:</w:t>
      </w:r>
    </w:p>
    <w:p w14:paraId="7976FCB9" w14:textId="481ED74D" w:rsidR="00F9272F" w:rsidRDefault="00F879D9" w:rsidP="001E4E76">
      <w:pPr>
        <w:pStyle w:val="LO-normal"/>
        <w:numPr>
          <w:ilvl w:val="0"/>
          <w:numId w:val="7"/>
        </w:numPr>
        <w:spacing w:before="240" w:after="240" w:line="240" w:lineRule="auto"/>
        <w:ind w:left="0" w:right="360" w:firstLine="360"/>
        <w:jc w:val="both"/>
        <w:rPr>
          <w:sz w:val="24"/>
          <w:szCs w:val="24"/>
        </w:rPr>
      </w:pPr>
      <w:r>
        <w:rPr>
          <w:sz w:val="24"/>
          <w:szCs w:val="24"/>
        </w:rPr>
        <w:t>p</w:t>
      </w:r>
      <w:r w:rsidR="00F9272F">
        <w:rPr>
          <w:sz w:val="24"/>
          <w:szCs w:val="24"/>
        </w:rPr>
        <w:t>revent unnecessary exposure of personnel</w:t>
      </w:r>
    </w:p>
    <w:p w14:paraId="6A935A90" w14:textId="623680C2" w:rsidR="00F9272F" w:rsidRDefault="00F879D9" w:rsidP="001E4E76">
      <w:pPr>
        <w:pStyle w:val="LO-normal"/>
        <w:numPr>
          <w:ilvl w:val="0"/>
          <w:numId w:val="7"/>
        </w:numPr>
        <w:spacing w:before="240" w:after="240" w:line="240" w:lineRule="auto"/>
        <w:ind w:left="0" w:right="360" w:firstLine="360"/>
        <w:jc w:val="both"/>
        <w:rPr>
          <w:sz w:val="24"/>
          <w:szCs w:val="24"/>
        </w:rPr>
      </w:pPr>
      <w:r>
        <w:rPr>
          <w:sz w:val="24"/>
          <w:szCs w:val="24"/>
        </w:rPr>
        <w:t>c</w:t>
      </w:r>
      <w:r w:rsidR="00F9272F">
        <w:rPr>
          <w:sz w:val="24"/>
          <w:szCs w:val="24"/>
        </w:rPr>
        <w:t>omply with federal, state, and local regulations</w:t>
      </w:r>
    </w:p>
    <w:p w14:paraId="04DECD4A" w14:textId="2AB2E736" w:rsidR="00F9272F" w:rsidRDefault="00F879D9" w:rsidP="001E4E76">
      <w:pPr>
        <w:pStyle w:val="LO-normal"/>
        <w:numPr>
          <w:ilvl w:val="0"/>
          <w:numId w:val="7"/>
        </w:numPr>
        <w:spacing w:before="240" w:after="240" w:line="240" w:lineRule="auto"/>
        <w:ind w:left="0" w:right="360" w:firstLine="360"/>
        <w:jc w:val="both"/>
        <w:rPr>
          <w:sz w:val="24"/>
          <w:szCs w:val="24"/>
        </w:rPr>
      </w:pPr>
      <w:r>
        <w:rPr>
          <w:sz w:val="24"/>
          <w:szCs w:val="24"/>
        </w:rPr>
        <w:t>a</w:t>
      </w:r>
      <w:r w:rsidR="00F9272F">
        <w:rPr>
          <w:sz w:val="24"/>
          <w:szCs w:val="24"/>
        </w:rPr>
        <w:t>dhere to TJNAF procedures and,</w:t>
      </w:r>
    </w:p>
    <w:p w14:paraId="373AFFC0" w14:textId="2A2D661B" w:rsidR="00F9272F" w:rsidRPr="00BE3D3A" w:rsidRDefault="00F879D9" w:rsidP="001E4E76">
      <w:pPr>
        <w:pStyle w:val="LO-normal"/>
        <w:numPr>
          <w:ilvl w:val="0"/>
          <w:numId w:val="7"/>
        </w:numPr>
        <w:spacing w:before="240" w:after="240" w:line="240" w:lineRule="auto"/>
        <w:ind w:left="0" w:right="360" w:firstLine="360"/>
        <w:jc w:val="both"/>
        <w:rPr>
          <w:sz w:val="24"/>
          <w:szCs w:val="24"/>
        </w:rPr>
      </w:pPr>
      <w:r>
        <w:rPr>
          <w:sz w:val="24"/>
          <w:szCs w:val="24"/>
        </w:rPr>
        <w:t>t</w:t>
      </w:r>
      <w:r w:rsidR="00F9272F">
        <w:rPr>
          <w:sz w:val="24"/>
          <w:szCs w:val="24"/>
        </w:rPr>
        <w:t>he Experimenter’s home institution policies.</w:t>
      </w:r>
    </w:p>
    <w:p w14:paraId="7169499C" w14:textId="758B817A" w:rsidR="00BE3D3A" w:rsidRPr="00F9272F" w:rsidRDefault="00BE3D3A" w:rsidP="001E4E76">
      <w:pPr>
        <w:pStyle w:val="LO-normal"/>
        <w:numPr>
          <w:ilvl w:val="1"/>
          <w:numId w:val="10"/>
        </w:numPr>
        <w:spacing w:before="240" w:after="240" w:line="240" w:lineRule="auto"/>
        <w:ind w:left="360" w:right="360"/>
        <w:rPr>
          <w:sz w:val="24"/>
          <w:szCs w:val="24"/>
        </w:rPr>
      </w:pPr>
      <w:r>
        <w:rPr>
          <w:rFonts w:ascii="Calibri" w:eastAsia="Calibri" w:hAnsi="Calibri" w:cs="Calibri"/>
          <w:b/>
          <w:sz w:val="24"/>
          <w:szCs w:val="24"/>
        </w:rPr>
        <w:t>Beam in the Hall</w:t>
      </w:r>
    </w:p>
    <w:p w14:paraId="03F32C7F" w14:textId="779F31D3" w:rsidR="00F9272F" w:rsidRDefault="00F9272F" w:rsidP="001E4E76">
      <w:pPr>
        <w:pStyle w:val="LO-normal"/>
        <w:spacing w:before="240" w:after="240" w:line="240" w:lineRule="auto"/>
        <w:ind w:right="360" w:firstLine="360"/>
        <w:jc w:val="both"/>
        <w:rPr>
          <w:sz w:val="24"/>
          <w:szCs w:val="24"/>
        </w:rPr>
      </w:pPr>
      <w:r>
        <w:rPr>
          <w:sz w:val="24"/>
          <w:szCs w:val="24"/>
        </w:rPr>
        <w:t xml:space="preserve">When the Hall status is </w:t>
      </w:r>
      <w:r w:rsidRPr="00F9272F">
        <w:rPr>
          <w:i/>
          <w:iCs/>
          <w:sz w:val="24"/>
          <w:szCs w:val="24"/>
        </w:rPr>
        <w:t>Beam Permit</w:t>
      </w:r>
      <w:r>
        <w:rPr>
          <w:sz w:val="24"/>
          <w:szCs w:val="24"/>
        </w:rPr>
        <w:t xml:space="preserve">, potentially lethal conditions are present. Prior to going to </w:t>
      </w:r>
      <w:r w:rsidRPr="00F9272F">
        <w:rPr>
          <w:i/>
          <w:iCs/>
          <w:sz w:val="24"/>
          <w:szCs w:val="24"/>
        </w:rPr>
        <w:t>Beam Permit</w:t>
      </w:r>
      <w:r>
        <w:rPr>
          <w:sz w:val="24"/>
          <w:szCs w:val="24"/>
        </w:rPr>
        <w:t>, several actions will occur.</w:t>
      </w:r>
    </w:p>
    <w:p w14:paraId="3147688F" w14:textId="7395F64B" w:rsidR="00F9272F" w:rsidRDefault="00F9272F" w:rsidP="001E4E76">
      <w:pPr>
        <w:pStyle w:val="LO-normal"/>
        <w:numPr>
          <w:ilvl w:val="0"/>
          <w:numId w:val="8"/>
        </w:numPr>
        <w:spacing w:before="240" w:after="240" w:line="240" w:lineRule="auto"/>
        <w:ind w:left="0" w:right="360" w:firstLine="360"/>
        <w:jc w:val="both"/>
        <w:rPr>
          <w:sz w:val="24"/>
          <w:szCs w:val="24"/>
        </w:rPr>
      </w:pPr>
      <w:r>
        <w:rPr>
          <w:sz w:val="24"/>
          <w:szCs w:val="24"/>
        </w:rPr>
        <w:t xml:space="preserve">Announcements will be made over the intercom system notifying personnel of a change in status from </w:t>
      </w:r>
      <w:r w:rsidRPr="00F9272F">
        <w:rPr>
          <w:i/>
          <w:iCs/>
          <w:sz w:val="24"/>
          <w:szCs w:val="24"/>
        </w:rPr>
        <w:t>Restricted Access</w:t>
      </w:r>
      <w:r>
        <w:rPr>
          <w:sz w:val="24"/>
          <w:szCs w:val="24"/>
        </w:rPr>
        <w:t xml:space="preserve"> (free access to the Hall is allowed, with appropriate dosimetry and training) to </w:t>
      </w:r>
      <w:r w:rsidRPr="00F9272F">
        <w:rPr>
          <w:i/>
          <w:iCs/>
          <w:sz w:val="24"/>
          <w:szCs w:val="24"/>
        </w:rPr>
        <w:t>Sweep Mode</w:t>
      </w:r>
      <w:r>
        <w:rPr>
          <w:sz w:val="24"/>
          <w:szCs w:val="24"/>
        </w:rPr>
        <w:t>.</w:t>
      </w:r>
    </w:p>
    <w:p w14:paraId="0292BA7D" w14:textId="1171EA84" w:rsidR="00F9272F" w:rsidRDefault="00F9272F" w:rsidP="001E4E76">
      <w:pPr>
        <w:pStyle w:val="LO-normal"/>
        <w:numPr>
          <w:ilvl w:val="0"/>
          <w:numId w:val="8"/>
        </w:numPr>
        <w:spacing w:before="240" w:after="240" w:line="240" w:lineRule="auto"/>
        <w:ind w:left="0" w:right="360" w:firstLine="360"/>
        <w:jc w:val="both"/>
        <w:rPr>
          <w:sz w:val="24"/>
          <w:szCs w:val="24"/>
        </w:rPr>
      </w:pPr>
      <w:r>
        <w:rPr>
          <w:sz w:val="24"/>
          <w:szCs w:val="24"/>
        </w:rPr>
        <w:t>All magnetic locks on exit doors will be activated.</w:t>
      </w:r>
    </w:p>
    <w:p w14:paraId="5A3E8F43" w14:textId="5645174E" w:rsidR="00F9272F" w:rsidRDefault="00F9272F" w:rsidP="001E4E76">
      <w:pPr>
        <w:pStyle w:val="LO-normal"/>
        <w:numPr>
          <w:ilvl w:val="0"/>
          <w:numId w:val="8"/>
        </w:numPr>
        <w:spacing w:before="240" w:after="240" w:line="240" w:lineRule="auto"/>
        <w:ind w:left="0" w:right="360" w:firstLine="360"/>
        <w:jc w:val="both"/>
        <w:rPr>
          <w:sz w:val="24"/>
          <w:szCs w:val="24"/>
        </w:rPr>
      </w:pPr>
      <w:r>
        <w:rPr>
          <w:sz w:val="24"/>
          <w:szCs w:val="24"/>
        </w:rPr>
        <w:t>Persons trained to sweep the area will entry by keyed access (</w:t>
      </w:r>
      <w:r w:rsidRPr="00F9272F">
        <w:rPr>
          <w:i/>
          <w:iCs/>
          <w:sz w:val="24"/>
          <w:szCs w:val="24"/>
        </w:rPr>
        <w:t>Controlled Access</w:t>
      </w:r>
      <w:r>
        <w:rPr>
          <w:sz w:val="24"/>
          <w:szCs w:val="24"/>
        </w:rPr>
        <w:t>) and search in all areas of the Hall for personnel.</w:t>
      </w:r>
    </w:p>
    <w:p w14:paraId="339BE9BF" w14:textId="659C8A7C" w:rsidR="00F9272F" w:rsidRDefault="00F9272F" w:rsidP="001E4E76">
      <w:pPr>
        <w:pStyle w:val="LO-normal"/>
        <w:spacing w:before="240" w:after="240" w:line="240" w:lineRule="auto"/>
        <w:ind w:right="360" w:firstLine="360"/>
        <w:jc w:val="both"/>
        <w:rPr>
          <w:sz w:val="24"/>
          <w:szCs w:val="24"/>
        </w:rPr>
      </w:pPr>
      <w:r>
        <w:rPr>
          <w:sz w:val="24"/>
          <w:szCs w:val="24"/>
        </w:rPr>
        <w:t xml:space="preserve">After the sweep, another announcement will be made, indicating a change to </w:t>
      </w:r>
      <w:r w:rsidRPr="00F9272F">
        <w:rPr>
          <w:i/>
          <w:iCs/>
          <w:sz w:val="24"/>
          <w:szCs w:val="24"/>
        </w:rPr>
        <w:t>Power Permit</w:t>
      </w:r>
      <w:r>
        <w:rPr>
          <w:sz w:val="24"/>
          <w:szCs w:val="24"/>
        </w:rPr>
        <w:t xml:space="preserve">, followed by </w:t>
      </w:r>
      <w:r w:rsidRPr="00F9272F">
        <w:rPr>
          <w:i/>
          <w:iCs/>
          <w:sz w:val="24"/>
          <w:szCs w:val="24"/>
        </w:rPr>
        <w:t>Beam Permit</w:t>
      </w:r>
      <w:r>
        <w:rPr>
          <w:sz w:val="24"/>
          <w:szCs w:val="24"/>
        </w:rPr>
        <w:t xml:space="preserve">. The lights will </w:t>
      </w:r>
      <w:r w:rsidR="00076566">
        <w:rPr>
          <w:sz w:val="24"/>
          <w:szCs w:val="24"/>
        </w:rPr>
        <w:t>dim and</w:t>
      </w:r>
      <w:r>
        <w:rPr>
          <w:sz w:val="24"/>
          <w:szCs w:val="24"/>
        </w:rPr>
        <w:t xml:space="preserve"> Run-Safe boxes will indicate OPERATIONAL and UNSAFE.</w:t>
      </w:r>
    </w:p>
    <w:p w14:paraId="6AB82FE3" w14:textId="0AC74967" w:rsidR="00F9272F" w:rsidRDefault="00F9272F" w:rsidP="001E4E76">
      <w:pPr>
        <w:pStyle w:val="LO-normal"/>
        <w:spacing w:before="240" w:after="240" w:line="240" w:lineRule="auto"/>
        <w:ind w:right="360" w:firstLine="360"/>
        <w:jc w:val="both"/>
        <w:rPr>
          <w:sz w:val="24"/>
          <w:szCs w:val="24"/>
        </w:rPr>
      </w:pPr>
      <w:r>
        <w:rPr>
          <w:sz w:val="24"/>
          <w:szCs w:val="24"/>
        </w:rPr>
        <w:t>IF YOU ARE IN THE HALL AT ANY TIME THAT THE RUN-SAFE BOXES INDICATE UNSAFE, IMMEDIATELY HIT THE BUTTON ON THE BOX.</w:t>
      </w:r>
    </w:p>
    <w:p w14:paraId="1A57AA12" w14:textId="63634D36" w:rsidR="00F9272F" w:rsidRPr="00BE3D3A" w:rsidRDefault="00F9272F" w:rsidP="001E4E76">
      <w:pPr>
        <w:pStyle w:val="LO-normal"/>
        <w:spacing w:before="240" w:after="240" w:line="240" w:lineRule="auto"/>
        <w:ind w:right="360" w:firstLine="360"/>
        <w:jc w:val="both"/>
        <w:rPr>
          <w:sz w:val="24"/>
          <w:szCs w:val="24"/>
        </w:rPr>
      </w:pPr>
      <w:r>
        <w:rPr>
          <w:sz w:val="24"/>
          <w:szCs w:val="24"/>
        </w:rPr>
        <w:t>Controlled area radiation monitors (CARMS) are located in strategic areas around the Hall and the Counting House to ensure unsafe conditions do not occur in occupiable areas.</w:t>
      </w:r>
    </w:p>
    <w:p w14:paraId="32E4F5FA" w14:textId="5B1687BE" w:rsidR="00BE3D3A" w:rsidRPr="00F9272F" w:rsidRDefault="00BE3D3A" w:rsidP="001E4E76">
      <w:pPr>
        <w:pStyle w:val="LO-normal"/>
        <w:numPr>
          <w:ilvl w:val="1"/>
          <w:numId w:val="3"/>
        </w:numPr>
        <w:spacing w:before="240" w:after="240" w:line="240" w:lineRule="auto"/>
        <w:ind w:left="360" w:right="360"/>
        <w:rPr>
          <w:sz w:val="24"/>
          <w:szCs w:val="24"/>
        </w:rPr>
      </w:pPr>
      <w:r>
        <w:rPr>
          <w:rFonts w:ascii="Calibri" w:eastAsia="Calibri" w:hAnsi="Calibri" w:cs="Calibri"/>
          <w:b/>
          <w:sz w:val="24"/>
          <w:szCs w:val="24"/>
        </w:rPr>
        <w:t>Activation of Target and Beamline Components</w:t>
      </w:r>
    </w:p>
    <w:p w14:paraId="0A625E77" w14:textId="40C09AB6" w:rsidR="00F9272F" w:rsidRDefault="00F9272F" w:rsidP="001E4E76">
      <w:pPr>
        <w:pStyle w:val="LO-normal"/>
        <w:spacing w:before="240" w:after="240" w:line="240" w:lineRule="auto"/>
        <w:ind w:right="360" w:firstLine="360"/>
        <w:jc w:val="both"/>
        <w:rPr>
          <w:sz w:val="24"/>
          <w:szCs w:val="24"/>
        </w:rPr>
      </w:pPr>
      <w:r>
        <w:rPr>
          <w:sz w:val="24"/>
          <w:szCs w:val="24"/>
        </w:rPr>
        <w:t>The Radiation Control Department shall be notified of all radioactive materials brought to Jefferson Lab. These materials include, but are not limited to:</w:t>
      </w:r>
    </w:p>
    <w:p w14:paraId="37FC0A3D" w14:textId="2C5CCE72" w:rsidR="00F9272F" w:rsidRDefault="00F9272F" w:rsidP="001E4E76">
      <w:pPr>
        <w:pStyle w:val="LO-normal"/>
        <w:numPr>
          <w:ilvl w:val="0"/>
          <w:numId w:val="9"/>
        </w:numPr>
        <w:spacing w:before="240" w:after="240" w:line="240" w:lineRule="auto"/>
        <w:ind w:left="0" w:right="360" w:firstLine="360"/>
        <w:jc w:val="both"/>
        <w:rPr>
          <w:sz w:val="24"/>
          <w:szCs w:val="24"/>
        </w:rPr>
      </w:pPr>
      <w:r>
        <w:rPr>
          <w:sz w:val="24"/>
          <w:szCs w:val="24"/>
        </w:rPr>
        <w:t>Radioactive check sources of any activity, exempt or non-exempt</w:t>
      </w:r>
    </w:p>
    <w:p w14:paraId="284D092F" w14:textId="7F68BE5B" w:rsidR="00F9272F" w:rsidRDefault="00F9272F" w:rsidP="001E4E76">
      <w:pPr>
        <w:pStyle w:val="LO-normal"/>
        <w:numPr>
          <w:ilvl w:val="0"/>
          <w:numId w:val="9"/>
        </w:numPr>
        <w:spacing w:before="240" w:after="240" w:line="240" w:lineRule="auto"/>
        <w:ind w:left="0" w:right="360" w:firstLine="360"/>
        <w:jc w:val="both"/>
        <w:rPr>
          <w:sz w:val="24"/>
          <w:szCs w:val="24"/>
        </w:rPr>
      </w:pPr>
      <w:r>
        <w:rPr>
          <w:sz w:val="24"/>
          <w:szCs w:val="24"/>
        </w:rPr>
        <w:lastRenderedPageBreak/>
        <w:t>Previously used targets or radioactive beamline components or,</w:t>
      </w:r>
    </w:p>
    <w:p w14:paraId="1F8A06E4" w14:textId="5FE9BA68" w:rsidR="00F9272F" w:rsidRDefault="00F9272F" w:rsidP="001E4E76">
      <w:pPr>
        <w:pStyle w:val="LO-normal"/>
        <w:numPr>
          <w:ilvl w:val="0"/>
          <w:numId w:val="9"/>
        </w:numPr>
        <w:spacing w:before="240" w:after="240" w:line="240" w:lineRule="auto"/>
        <w:ind w:left="0" w:right="360" w:firstLine="360"/>
        <w:jc w:val="both"/>
        <w:rPr>
          <w:sz w:val="24"/>
          <w:szCs w:val="24"/>
        </w:rPr>
      </w:pPr>
      <w:r>
        <w:rPr>
          <w:sz w:val="24"/>
          <w:szCs w:val="24"/>
        </w:rPr>
        <w:t>Previously used shielding or collimators.</w:t>
      </w:r>
    </w:p>
    <w:p w14:paraId="24A10AD7" w14:textId="07A5C706" w:rsidR="00F9272F" w:rsidRDefault="00F9272F" w:rsidP="001E4E76">
      <w:pPr>
        <w:pStyle w:val="LO-normal"/>
        <w:spacing w:before="240" w:after="240" w:line="240" w:lineRule="auto"/>
        <w:ind w:right="360" w:firstLine="360"/>
        <w:jc w:val="both"/>
        <w:rPr>
          <w:sz w:val="24"/>
          <w:szCs w:val="24"/>
        </w:rPr>
      </w:pPr>
      <w:r>
        <w:rPr>
          <w:sz w:val="24"/>
          <w:szCs w:val="24"/>
        </w:rPr>
        <w:t>The RCD inventories and tracks all radioactive materials onsite. If radioactive materials are incorporated into an experimental setup, surveys may be conducted on the setup before experiments begin.</w:t>
      </w:r>
    </w:p>
    <w:p w14:paraId="7DD0E7CD" w14:textId="705BAC2E" w:rsidR="00F9272F" w:rsidRDefault="00F9272F" w:rsidP="001E4E76">
      <w:pPr>
        <w:pStyle w:val="LO-normal"/>
        <w:spacing w:before="240" w:after="240" w:line="240" w:lineRule="auto"/>
        <w:ind w:right="360" w:firstLine="360"/>
        <w:jc w:val="both"/>
        <w:rPr>
          <w:sz w:val="24"/>
          <w:szCs w:val="24"/>
        </w:rPr>
      </w:pPr>
      <w:r>
        <w:rPr>
          <w:sz w:val="24"/>
          <w:szCs w:val="24"/>
        </w:rPr>
        <w:t>RadCon staff will coordinate movement of all used targets, collimators, and shields. The</w:t>
      </w:r>
      <w:r w:rsidR="00F879D9">
        <w:rPr>
          <w:sz w:val="24"/>
          <w:szCs w:val="24"/>
        </w:rPr>
        <w:t>y</w:t>
      </w:r>
      <w:r>
        <w:rPr>
          <w:sz w:val="24"/>
          <w:szCs w:val="24"/>
        </w:rPr>
        <w:t xml:space="preserve"> will further assess the radiation exposure conditions and implement controls, as necessary, based on the radiological hazards.</w:t>
      </w:r>
    </w:p>
    <w:p w14:paraId="55874BD0" w14:textId="4810FE20" w:rsidR="00F9272F" w:rsidRDefault="00F9272F" w:rsidP="001E4E76">
      <w:pPr>
        <w:pStyle w:val="LO-normal"/>
        <w:spacing w:before="240" w:after="240" w:line="240" w:lineRule="auto"/>
        <w:ind w:right="360" w:firstLine="360"/>
        <w:jc w:val="both"/>
        <w:rPr>
          <w:sz w:val="24"/>
          <w:szCs w:val="24"/>
        </w:rPr>
      </w:pPr>
      <w:r w:rsidRPr="00F9272F">
        <w:rPr>
          <w:i/>
          <w:iCs/>
          <w:sz w:val="24"/>
          <w:szCs w:val="24"/>
        </w:rPr>
        <w:t>There shall be no local movement of activated target configurations without direct supervision by the RCD.</w:t>
      </w:r>
      <w:r>
        <w:rPr>
          <w:sz w:val="24"/>
          <w:szCs w:val="24"/>
        </w:rPr>
        <w:t xml:space="preserve"> Remote movement of target configurations shall be permitted, providing the method of movement has been reviewed and approved by the RCD.</w:t>
      </w:r>
    </w:p>
    <w:p w14:paraId="4EF1EA90" w14:textId="54CB4126" w:rsidR="00F9272F" w:rsidRPr="00F9272F" w:rsidRDefault="00F9272F" w:rsidP="001E4E76">
      <w:pPr>
        <w:pStyle w:val="LO-normal"/>
        <w:spacing w:before="240" w:after="240" w:line="240" w:lineRule="auto"/>
        <w:ind w:right="360" w:firstLine="360"/>
        <w:jc w:val="both"/>
        <w:rPr>
          <w:sz w:val="24"/>
          <w:szCs w:val="24"/>
        </w:rPr>
      </w:pPr>
      <w:r>
        <w:rPr>
          <w:sz w:val="24"/>
          <w:szCs w:val="24"/>
        </w:rPr>
        <w:t>No work (</w:t>
      </w:r>
      <w:r w:rsidR="00076566" w:rsidRPr="00F879D9">
        <w:rPr>
          <w:i/>
          <w:iCs/>
          <w:sz w:val="24"/>
          <w:szCs w:val="24"/>
        </w:rPr>
        <w:t>e.g.</w:t>
      </w:r>
      <w:r w:rsidR="00076566">
        <w:rPr>
          <w:sz w:val="24"/>
          <w:szCs w:val="24"/>
        </w:rPr>
        <w:t>,</w:t>
      </w:r>
      <w:r>
        <w:rPr>
          <w:sz w:val="24"/>
          <w:szCs w:val="24"/>
        </w:rPr>
        <w:t xml:space="preserve"> drilling, cutting, or welding) that could result in dispersal of radioactive material is to be performed on beamline components. Such activities must be</w:t>
      </w:r>
      <w:r w:rsidR="006A5056">
        <w:rPr>
          <w:sz w:val="24"/>
          <w:szCs w:val="24"/>
        </w:rPr>
        <w:t xml:space="preserve"> conducted only with specific permission and control by the Radiation Control Department.</w:t>
      </w:r>
    </w:p>
    <w:p w14:paraId="577C2EF9" w14:textId="0EAAE511" w:rsidR="007568FE" w:rsidRPr="006A5056" w:rsidRDefault="007568FE" w:rsidP="001E4E76">
      <w:pPr>
        <w:pStyle w:val="LO-normal"/>
        <w:numPr>
          <w:ilvl w:val="0"/>
          <w:numId w:val="3"/>
        </w:numPr>
        <w:spacing w:before="240" w:after="240" w:line="240" w:lineRule="auto"/>
        <w:ind w:right="360"/>
        <w:rPr>
          <w:sz w:val="24"/>
          <w:szCs w:val="24"/>
        </w:rPr>
      </w:pPr>
      <w:r>
        <w:rPr>
          <w:rFonts w:ascii="Calibri" w:eastAsia="Calibri" w:hAnsi="Calibri" w:cs="Calibri"/>
          <w:b/>
          <w:sz w:val="24"/>
          <w:szCs w:val="24"/>
        </w:rPr>
        <w:t>Incremental Shielding or Other Measures to Reduce Radiation Hazards</w:t>
      </w:r>
    </w:p>
    <w:p w14:paraId="4D227585" w14:textId="6B71E087" w:rsidR="006A5056" w:rsidRPr="006A5056" w:rsidRDefault="006A5056" w:rsidP="001E4E76">
      <w:pPr>
        <w:pStyle w:val="LO-normal"/>
        <w:spacing w:before="240" w:after="240" w:line="240" w:lineRule="auto"/>
        <w:ind w:right="360" w:firstLine="360"/>
        <w:jc w:val="both"/>
        <w:rPr>
          <w:i/>
          <w:iCs/>
          <w:sz w:val="24"/>
          <w:szCs w:val="24"/>
        </w:rPr>
      </w:pPr>
      <w:r w:rsidRPr="006A5056">
        <w:rPr>
          <w:i/>
          <w:iCs/>
          <w:sz w:val="24"/>
          <w:szCs w:val="24"/>
        </w:rPr>
        <w:t>None.</w:t>
      </w:r>
    </w:p>
    <w:p w14:paraId="00AA0D4F" w14:textId="0ABF8299" w:rsidR="007568FE" w:rsidRPr="006A5056" w:rsidRDefault="007568FE" w:rsidP="001E4E76">
      <w:pPr>
        <w:pStyle w:val="LO-normal"/>
        <w:numPr>
          <w:ilvl w:val="0"/>
          <w:numId w:val="3"/>
        </w:numPr>
        <w:spacing w:before="240" w:after="240" w:line="240" w:lineRule="auto"/>
        <w:ind w:right="360"/>
        <w:rPr>
          <w:sz w:val="24"/>
          <w:szCs w:val="24"/>
        </w:rPr>
      </w:pPr>
      <w:r>
        <w:rPr>
          <w:rFonts w:ascii="Calibri" w:eastAsia="Calibri" w:hAnsi="Calibri" w:cs="Calibri"/>
          <w:b/>
          <w:sz w:val="24"/>
          <w:szCs w:val="24"/>
        </w:rPr>
        <w:t>Operations Procedures</w:t>
      </w:r>
    </w:p>
    <w:p w14:paraId="7001DC41" w14:textId="5F8229D2" w:rsidR="006A5056" w:rsidRDefault="006A5056" w:rsidP="001E4E76">
      <w:pPr>
        <w:pStyle w:val="LO-normal"/>
        <w:spacing w:before="240" w:after="240" w:line="240" w:lineRule="auto"/>
        <w:ind w:right="360" w:firstLine="360"/>
        <w:jc w:val="both"/>
        <w:rPr>
          <w:sz w:val="24"/>
          <w:szCs w:val="24"/>
        </w:rPr>
      </w:pPr>
      <w:r>
        <w:rPr>
          <w:sz w:val="24"/>
          <w:szCs w:val="24"/>
        </w:rPr>
        <w:t xml:space="preserve">All experimenters must comply with experiment-specific administrative controls that begin with the measures outlined in the experiment’s Conduct of Operations document. These controls may include radiological work permits (RWPs), </w:t>
      </w:r>
      <w:proofErr w:type="spellStart"/>
      <w:r w:rsidR="0084759A">
        <w:rPr>
          <w:sz w:val="24"/>
          <w:szCs w:val="24"/>
        </w:rPr>
        <w:t>ePAS</w:t>
      </w:r>
      <w:proofErr w:type="spellEnd"/>
      <w:r w:rsidR="0084759A">
        <w:rPr>
          <w:sz w:val="24"/>
          <w:szCs w:val="24"/>
        </w:rPr>
        <w:t xml:space="preserve"> permits, </w:t>
      </w:r>
      <w:r>
        <w:rPr>
          <w:sz w:val="24"/>
          <w:szCs w:val="24"/>
        </w:rPr>
        <w:t xml:space="preserve">and/or verbal instructions from RadCon. A General Access RWP (GARWP) that governs access to Hall B and the accelerator enclosure is in place and may be found at </w:t>
      </w:r>
      <w:hyperlink r:id="rId8" w:history="1">
        <w:r w:rsidRPr="00D903D4">
          <w:rPr>
            <w:rStyle w:val="Hyperlink"/>
            <w:sz w:val="24"/>
            <w:szCs w:val="24"/>
          </w:rPr>
          <w:t>https://misportal.jlab.org/railsForms/rad_work_permits/144648/briefing</w:t>
        </w:r>
      </w:hyperlink>
      <w:r>
        <w:rPr>
          <w:sz w:val="24"/>
          <w:szCs w:val="24"/>
        </w:rPr>
        <w:t xml:space="preserve">. All those who participate in the </w:t>
      </w:r>
      <w:r w:rsidR="007B1DDC">
        <w:rPr>
          <w:sz w:val="24"/>
          <w:szCs w:val="24"/>
        </w:rPr>
        <w:t>ALERT</w:t>
      </w:r>
      <w:r>
        <w:rPr>
          <w:sz w:val="24"/>
          <w:szCs w:val="24"/>
        </w:rPr>
        <w:t xml:space="preserve"> experiments must read and electronically sign the GARWP signifying that they understand and will abide by the permit. Any individual with a need to handle radioactive material at Jefferson Lab shall first successfully complete Radiation Worker Level 1 (RW-1) training.</w:t>
      </w:r>
    </w:p>
    <w:p w14:paraId="353B014E" w14:textId="25435511" w:rsidR="006A5056" w:rsidRDefault="006A5056" w:rsidP="001E4E76">
      <w:pPr>
        <w:pStyle w:val="LO-normal"/>
        <w:spacing w:before="240" w:after="240" w:line="240" w:lineRule="auto"/>
        <w:ind w:right="360" w:firstLine="360"/>
        <w:jc w:val="both"/>
        <w:rPr>
          <w:sz w:val="24"/>
          <w:szCs w:val="24"/>
        </w:rPr>
      </w:pPr>
      <w:r>
        <w:rPr>
          <w:sz w:val="24"/>
          <w:szCs w:val="24"/>
        </w:rPr>
        <w:t>There shall be adequate communication between the experimenter(s) and the Accelerator Crew Chief and/or Program Deputy to ensure that all restrictions on the target are well known. Exceeding these power restrictions may lead to excessive and unnecessary contamination, activation, and personnel exposure.</w:t>
      </w:r>
    </w:p>
    <w:p w14:paraId="232332F0" w14:textId="34F1FCD8" w:rsidR="006A5056" w:rsidRPr="007568FE" w:rsidRDefault="006A5056" w:rsidP="001E4E76">
      <w:pPr>
        <w:pStyle w:val="LO-normal"/>
        <w:spacing w:before="240" w:after="240" w:line="240" w:lineRule="auto"/>
        <w:ind w:right="360" w:firstLine="360"/>
        <w:jc w:val="both"/>
        <w:rPr>
          <w:sz w:val="24"/>
          <w:szCs w:val="24"/>
        </w:rPr>
      </w:pPr>
      <w:r>
        <w:rPr>
          <w:sz w:val="24"/>
          <w:szCs w:val="24"/>
        </w:rPr>
        <w:t xml:space="preserve">No scattering chamber or downstream component may be altered outside the scope of this RSAD without formal Radiation Control Department review and approval. Alteration of these components (including the exit beamline itself) may result in </w:t>
      </w:r>
      <w:r>
        <w:rPr>
          <w:sz w:val="24"/>
          <w:szCs w:val="24"/>
        </w:rPr>
        <w:lastRenderedPageBreak/>
        <w:t>increased radiation production from the Hall and a resultant increase in dose at the site boundary.</w:t>
      </w:r>
    </w:p>
    <w:p w14:paraId="2A3EA2FD" w14:textId="427DC19C" w:rsidR="007568FE" w:rsidRPr="006A5056" w:rsidRDefault="007568FE" w:rsidP="001E4E76">
      <w:pPr>
        <w:pStyle w:val="LO-normal"/>
        <w:numPr>
          <w:ilvl w:val="0"/>
          <w:numId w:val="3"/>
        </w:numPr>
        <w:spacing w:before="240" w:after="240" w:line="240" w:lineRule="auto"/>
        <w:ind w:right="360"/>
        <w:rPr>
          <w:sz w:val="24"/>
          <w:szCs w:val="24"/>
        </w:rPr>
      </w:pPr>
      <w:r>
        <w:rPr>
          <w:rFonts w:ascii="Calibri" w:eastAsia="Calibri" w:hAnsi="Calibri" w:cs="Calibri"/>
          <w:b/>
          <w:sz w:val="24"/>
          <w:szCs w:val="24"/>
        </w:rPr>
        <w:t>Decommissioning and Decontamination of Radioactive Components</w:t>
      </w:r>
    </w:p>
    <w:p w14:paraId="6D796106" w14:textId="634FA153" w:rsidR="006A5056" w:rsidRDefault="006A5056" w:rsidP="001E4E76">
      <w:pPr>
        <w:pStyle w:val="LO-normal"/>
        <w:spacing w:before="240" w:after="240" w:line="240" w:lineRule="auto"/>
        <w:ind w:right="360" w:firstLine="360"/>
        <w:jc w:val="both"/>
        <w:rPr>
          <w:sz w:val="24"/>
          <w:szCs w:val="24"/>
        </w:rPr>
      </w:pPr>
      <w:r>
        <w:rPr>
          <w:sz w:val="24"/>
          <w:szCs w:val="24"/>
        </w:rPr>
        <w:t xml:space="preserve">Experimenters shall retain all targets and experimental equipment brought to Jefferson Lab for temporary use during the experiments. After sufficient </w:t>
      </w:r>
      <w:r w:rsidR="00F879D9">
        <w:rPr>
          <w:sz w:val="24"/>
          <w:szCs w:val="24"/>
        </w:rPr>
        <w:t xml:space="preserve">radioactive </w:t>
      </w:r>
      <w:r>
        <w:rPr>
          <w:sz w:val="24"/>
          <w:szCs w:val="24"/>
        </w:rPr>
        <w:t xml:space="preserve">decay </w:t>
      </w:r>
      <w:r w:rsidR="00F879D9">
        <w:rPr>
          <w:sz w:val="24"/>
          <w:szCs w:val="24"/>
        </w:rPr>
        <w:t xml:space="preserve">time </w:t>
      </w:r>
      <w:r>
        <w:rPr>
          <w:sz w:val="24"/>
          <w:szCs w:val="24"/>
        </w:rPr>
        <w:t xml:space="preserve">of </w:t>
      </w:r>
      <w:r w:rsidR="00F879D9">
        <w:rPr>
          <w:sz w:val="24"/>
          <w:szCs w:val="24"/>
        </w:rPr>
        <w:t>these materials</w:t>
      </w:r>
      <w:r>
        <w:rPr>
          <w:sz w:val="24"/>
          <w:szCs w:val="24"/>
        </w:rPr>
        <w:t>, they shall be delivered to the experimenter’s home institution for final disposal. All transportation shall be done in accordance with United States Department of Transportation (Title 49, Code of Federal Regulations)</w:t>
      </w:r>
      <w:r w:rsidR="00076566">
        <w:rPr>
          <w:sz w:val="24"/>
          <w:szCs w:val="24"/>
        </w:rPr>
        <w:t xml:space="preserve"> regulations. In the event that the experimenter’s home institution cannot accept the radioactive material due to licensing requirements, the experimenter shall arrange for appropriate funds transfers for disposal of the material.</w:t>
      </w:r>
    </w:p>
    <w:p w14:paraId="20BDB653" w14:textId="79A858D6" w:rsidR="00076566" w:rsidRDefault="00076566" w:rsidP="001E4E76">
      <w:pPr>
        <w:pStyle w:val="LO-normal"/>
        <w:spacing w:before="240" w:after="240" w:line="240" w:lineRule="auto"/>
        <w:ind w:right="360" w:firstLine="360"/>
        <w:jc w:val="both"/>
        <w:rPr>
          <w:i/>
          <w:iCs/>
          <w:sz w:val="24"/>
          <w:szCs w:val="24"/>
        </w:rPr>
      </w:pPr>
      <w:r w:rsidRPr="00076566">
        <w:rPr>
          <w:i/>
          <w:iCs/>
          <w:sz w:val="24"/>
          <w:szCs w:val="24"/>
        </w:rPr>
        <w:t>TJNAF cannot store indefinitely any radioactive targets or experimental equipment.</w:t>
      </w:r>
    </w:p>
    <w:p w14:paraId="4BE20AAA" w14:textId="7DBA596F" w:rsidR="007568FE" w:rsidRPr="00076566" w:rsidRDefault="00076566" w:rsidP="001E4E76">
      <w:pPr>
        <w:pStyle w:val="LO-normal"/>
        <w:spacing w:before="240" w:after="240" w:line="240" w:lineRule="auto"/>
        <w:ind w:right="360" w:firstLine="360"/>
        <w:jc w:val="both"/>
        <w:rPr>
          <w:b/>
          <w:bCs/>
          <w:i/>
          <w:iCs/>
          <w:sz w:val="24"/>
          <w:szCs w:val="24"/>
        </w:rPr>
      </w:pPr>
      <w:r w:rsidRPr="00076566">
        <w:rPr>
          <w:b/>
          <w:bCs/>
          <w:i/>
          <w:iCs/>
          <w:sz w:val="24"/>
          <w:szCs w:val="24"/>
        </w:rPr>
        <w:t>The Radiation Control Department may be reached at any time through the Accelerator Crew Chief (757-269-7050).</w:t>
      </w:r>
    </w:p>
    <w:sectPr w:rsidR="007568FE" w:rsidRPr="00076566">
      <w:pgSz w:w="12240" w:h="15840"/>
      <w:pgMar w:top="1440" w:right="1440" w:bottom="1440" w:left="1440" w:header="0" w:footer="0" w:gutter="0"/>
      <w:pgNumType w:start="1"/>
      <w:cols w:space="720"/>
      <w:formProt w:val="0"/>
      <w:docGrid w:linePitch="2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18EF0" w14:textId="77777777" w:rsidR="00F479E3" w:rsidRDefault="00F479E3">
      <w:pPr>
        <w:spacing w:line="240" w:lineRule="auto"/>
      </w:pPr>
      <w:r>
        <w:separator/>
      </w:r>
    </w:p>
  </w:endnote>
  <w:endnote w:type="continuationSeparator" w:id="0">
    <w:p w14:paraId="13AD5076" w14:textId="77777777" w:rsidR="00F479E3" w:rsidRDefault="00F479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Source Han Sans CN">
    <w:panose1 w:val="020B0604020202020204"/>
    <w:charset w:val="00"/>
    <w:family w:val="roman"/>
    <w:notTrueType/>
    <w:pitch w:val="default"/>
  </w:font>
  <w:font w:name="Droid Sans Devanagari">
    <w:altName w:val="Segoe UI"/>
    <w:panose1 w:val="020B0604020202020204"/>
    <w:charset w:val="00"/>
    <w:family w:val="roman"/>
    <w:notTrueType/>
    <w:pitch w:val="default"/>
  </w:font>
  <w:font w:name="Cutive">
    <w:altName w:val="Cambria"/>
    <w:panose1 w:val="020B0604020202020204"/>
    <w:charset w:val="01"/>
    <w:family w:val="roman"/>
    <w:pitch w:val="variable"/>
  </w:font>
  <w:font w:name="Cambria Math">
    <w:panose1 w:val="02040503050406030204"/>
    <w:charset w:val="00"/>
    <w:family w:val="roman"/>
    <w:pitch w:val="variable"/>
    <w:sig w:usb0="E00006FF" w:usb1="420024FF" w:usb2="02000000" w:usb3="00000000" w:csb0="0000019F" w:csb1="00000000"/>
  </w:font>
  <w:font w:name="Roboto">
    <w:altName w:val="Times New Roman"/>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4EEA1" w14:textId="77777777" w:rsidR="00F479E3" w:rsidRDefault="00F479E3">
      <w:pPr>
        <w:pStyle w:val="LO-normal"/>
      </w:pPr>
    </w:p>
  </w:footnote>
  <w:footnote w:type="continuationSeparator" w:id="0">
    <w:p w14:paraId="46BC6E49" w14:textId="77777777" w:rsidR="00F479E3" w:rsidRDefault="00F479E3">
      <w:pPr>
        <w:pStyle w:val="LO-normal"/>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14A0"/>
    <w:multiLevelType w:val="multilevel"/>
    <w:tmpl w:val="F2900190"/>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CFC5243"/>
    <w:multiLevelType w:val="hybridMultilevel"/>
    <w:tmpl w:val="4AD644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F10B68"/>
    <w:multiLevelType w:val="multilevel"/>
    <w:tmpl w:val="BA1E8E7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BEB0671"/>
    <w:multiLevelType w:val="multilevel"/>
    <w:tmpl w:val="31804C88"/>
    <w:lvl w:ilvl="0">
      <w:start w:val="1"/>
      <w:numFmt w:val="none"/>
      <w:lvlText w:val="4."/>
      <w:lvlJc w:val="left"/>
      <w:pPr>
        <w:ind w:left="360" w:hanging="360"/>
      </w:pPr>
      <w:rPr>
        <w:rFonts w:hint="default"/>
      </w:rPr>
    </w:lvl>
    <w:lvl w:ilvl="1">
      <w:start w:val="1"/>
      <w:numFmt w:val="none"/>
      <w:lvlText w:val="4.1"/>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05342EC"/>
    <w:multiLevelType w:val="hybridMultilevel"/>
    <w:tmpl w:val="53AE9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745EB2"/>
    <w:multiLevelType w:val="multilevel"/>
    <w:tmpl w:val="56EAB2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7015720"/>
    <w:multiLevelType w:val="multilevel"/>
    <w:tmpl w:val="BE2AD3C0"/>
    <w:lvl w:ilvl="0">
      <w:start w:val="1"/>
      <w:numFmt w:val="decimal"/>
      <w:lvlText w:val="%1"/>
      <w:lvlJc w:val="left"/>
      <w:pPr>
        <w:ind w:left="432" w:hanging="432"/>
      </w:pPr>
    </w:lvl>
    <w:lvl w:ilvl="1">
      <w:start w:val="4"/>
      <w:numFmt w:val="decimal"/>
      <w:lvlText w:val="%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5691263"/>
    <w:multiLevelType w:val="multilevel"/>
    <w:tmpl w:val="634AA0B6"/>
    <w:lvl w:ilvl="0">
      <w:start w:val="2"/>
      <w:numFmt w:val="decimal"/>
      <w:lvlText w:val="%1."/>
      <w:lvlJc w:val="left"/>
      <w:pPr>
        <w:ind w:left="360" w:hanging="360"/>
      </w:pPr>
      <w:rPr>
        <w:rFonts w:hint="default"/>
      </w:rPr>
    </w:lvl>
    <w:lvl w:ilvl="1">
      <w:start w:val="1"/>
      <w:numFmt w:val="none"/>
      <w:lvlText w:val="4.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76C07E43"/>
    <w:multiLevelType w:val="multilevel"/>
    <w:tmpl w:val="B8C6F342"/>
    <w:styleLink w:val="Style1"/>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7B35E0E"/>
    <w:multiLevelType w:val="hybridMultilevel"/>
    <w:tmpl w:val="35B4B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65314600">
    <w:abstractNumId w:val="0"/>
  </w:num>
  <w:num w:numId="2" w16cid:durableId="2074697918">
    <w:abstractNumId w:val="5"/>
  </w:num>
  <w:num w:numId="3" w16cid:durableId="1910336813">
    <w:abstractNumId w:val="7"/>
  </w:num>
  <w:num w:numId="4" w16cid:durableId="965310832">
    <w:abstractNumId w:val="6"/>
  </w:num>
  <w:num w:numId="5" w16cid:durableId="1954944981">
    <w:abstractNumId w:val="2"/>
  </w:num>
  <w:num w:numId="6" w16cid:durableId="2097897927">
    <w:abstractNumId w:val="8"/>
  </w:num>
  <w:num w:numId="7" w16cid:durableId="959725592">
    <w:abstractNumId w:val="4"/>
  </w:num>
  <w:num w:numId="8" w16cid:durableId="1563640818">
    <w:abstractNumId w:val="9"/>
  </w:num>
  <w:num w:numId="9" w16cid:durableId="1539202013">
    <w:abstractNumId w:val="1"/>
  </w:num>
  <w:num w:numId="10" w16cid:durableId="20321027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974"/>
    <w:rsid w:val="00076566"/>
    <w:rsid w:val="000F55E1"/>
    <w:rsid w:val="00114E3F"/>
    <w:rsid w:val="001E4E76"/>
    <w:rsid w:val="00291F7D"/>
    <w:rsid w:val="0035364E"/>
    <w:rsid w:val="003650E6"/>
    <w:rsid w:val="00422731"/>
    <w:rsid w:val="00442141"/>
    <w:rsid w:val="00563FA9"/>
    <w:rsid w:val="00573F2A"/>
    <w:rsid w:val="00606F9A"/>
    <w:rsid w:val="006A5056"/>
    <w:rsid w:val="006F5ED9"/>
    <w:rsid w:val="007568FE"/>
    <w:rsid w:val="007B1DDC"/>
    <w:rsid w:val="007B42E9"/>
    <w:rsid w:val="0084759A"/>
    <w:rsid w:val="0089290D"/>
    <w:rsid w:val="008B19F6"/>
    <w:rsid w:val="008E6A35"/>
    <w:rsid w:val="009957FD"/>
    <w:rsid w:val="009A4974"/>
    <w:rsid w:val="009E34AE"/>
    <w:rsid w:val="00A9771B"/>
    <w:rsid w:val="00B663A3"/>
    <w:rsid w:val="00BE3D3A"/>
    <w:rsid w:val="00C47A46"/>
    <w:rsid w:val="00C675FB"/>
    <w:rsid w:val="00CE0DF7"/>
    <w:rsid w:val="00CF0816"/>
    <w:rsid w:val="00D12FF3"/>
    <w:rsid w:val="00F03107"/>
    <w:rsid w:val="00F33E84"/>
    <w:rsid w:val="00F479E3"/>
    <w:rsid w:val="00F879D9"/>
    <w:rsid w:val="00F90F80"/>
    <w:rsid w:val="00F9272F"/>
    <w:rsid w:val="00F95E3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58F92"/>
  <w15:docId w15:val="{B65827AD-CEF8-9444-8535-9F9316D4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Cs w:val="22"/>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76" w:lineRule="auto"/>
    </w:pPr>
    <w:rPr>
      <w:color w:val="00000A"/>
      <w:sz w:val="22"/>
    </w:rPr>
  </w:style>
  <w:style w:type="paragraph" w:styleId="Heading1">
    <w:name w:val="heading 1"/>
    <w:basedOn w:val="Heading"/>
    <w:uiPriority w:val="9"/>
    <w:qFormat/>
    <w:pPr>
      <w:keepLines/>
      <w:widowControl w:val="0"/>
      <w:spacing w:before="400" w:line="240" w:lineRule="auto"/>
      <w:outlineLvl w:val="0"/>
    </w:pPr>
    <w:rPr>
      <w:rFonts w:ascii="Arial" w:eastAsia="Arial" w:hAnsi="Arial" w:cs="Arial"/>
      <w:sz w:val="40"/>
      <w:szCs w:val="40"/>
    </w:rPr>
  </w:style>
  <w:style w:type="paragraph" w:styleId="Heading2">
    <w:name w:val="heading 2"/>
    <w:basedOn w:val="Heading"/>
    <w:uiPriority w:val="9"/>
    <w:unhideWhenUsed/>
    <w:qFormat/>
    <w:pPr>
      <w:keepLines/>
      <w:widowControl w:val="0"/>
      <w:spacing w:before="360" w:line="240" w:lineRule="auto"/>
      <w:outlineLvl w:val="1"/>
    </w:pPr>
    <w:rPr>
      <w:rFonts w:ascii="Arial" w:eastAsia="Arial" w:hAnsi="Arial" w:cs="Arial"/>
      <w:sz w:val="32"/>
      <w:szCs w:val="32"/>
    </w:rPr>
  </w:style>
  <w:style w:type="paragraph" w:styleId="Heading3">
    <w:name w:val="heading 3"/>
    <w:basedOn w:val="Heading"/>
    <w:uiPriority w:val="9"/>
    <w:semiHidden/>
    <w:unhideWhenUsed/>
    <w:qFormat/>
    <w:pPr>
      <w:keepLines/>
      <w:widowControl w:val="0"/>
      <w:spacing w:before="320" w:after="80" w:line="240" w:lineRule="auto"/>
      <w:outlineLvl w:val="2"/>
    </w:pPr>
    <w:rPr>
      <w:rFonts w:ascii="Arial" w:eastAsia="Arial" w:hAnsi="Arial" w:cs="Arial"/>
      <w:color w:val="434343"/>
    </w:rPr>
  </w:style>
  <w:style w:type="paragraph" w:styleId="Heading4">
    <w:name w:val="heading 4"/>
    <w:basedOn w:val="Heading"/>
    <w:uiPriority w:val="9"/>
    <w:semiHidden/>
    <w:unhideWhenUsed/>
    <w:qFormat/>
    <w:pPr>
      <w:keepLines/>
      <w:widowControl w:val="0"/>
      <w:spacing w:before="280" w:after="80" w:line="240" w:lineRule="auto"/>
      <w:outlineLvl w:val="3"/>
    </w:pPr>
    <w:rPr>
      <w:rFonts w:ascii="Arial" w:eastAsia="Arial" w:hAnsi="Arial" w:cs="Arial"/>
      <w:color w:val="666666"/>
      <w:sz w:val="24"/>
      <w:szCs w:val="24"/>
    </w:rPr>
  </w:style>
  <w:style w:type="paragraph" w:styleId="Heading5">
    <w:name w:val="heading 5"/>
    <w:basedOn w:val="Heading"/>
    <w:uiPriority w:val="9"/>
    <w:semiHidden/>
    <w:unhideWhenUsed/>
    <w:qFormat/>
    <w:pPr>
      <w:keepLines/>
      <w:widowControl w:val="0"/>
      <w:spacing w:after="80" w:line="240" w:lineRule="auto"/>
      <w:outlineLvl w:val="4"/>
    </w:pPr>
    <w:rPr>
      <w:rFonts w:ascii="Arial" w:eastAsia="Arial" w:hAnsi="Arial" w:cs="Arial"/>
      <w:color w:val="666666"/>
      <w:sz w:val="22"/>
      <w:szCs w:val="22"/>
    </w:rPr>
  </w:style>
  <w:style w:type="paragraph" w:styleId="Heading6">
    <w:name w:val="heading 6"/>
    <w:basedOn w:val="Heading"/>
    <w:uiPriority w:val="9"/>
    <w:semiHidden/>
    <w:unhideWhenUsed/>
    <w:qFormat/>
    <w:pPr>
      <w:keepLines/>
      <w:widowControl w:val="0"/>
      <w:spacing w:after="80" w:line="240" w:lineRule="auto"/>
      <w:outlineLvl w:val="5"/>
    </w:pPr>
    <w:rPr>
      <w:rFonts w:ascii="Arial" w:eastAsia="Arial" w:hAnsi="Arial" w:cs="Arial"/>
      <w:i/>
      <w:color w:val="666666"/>
      <w:sz w:val="22"/>
      <w:szCs w:val="22"/>
    </w:rPr>
  </w:style>
  <w:style w:type="paragraph" w:styleId="Heading7">
    <w:name w:val="heading 7"/>
    <w:basedOn w:val="Normal"/>
    <w:next w:val="Normal"/>
    <w:link w:val="Heading7Char"/>
    <w:uiPriority w:val="9"/>
    <w:semiHidden/>
    <w:unhideWhenUsed/>
    <w:qFormat/>
    <w:rsid w:val="007568FE"/>
    <w:pPr>
      <w:keepNext/>
      <w:keepLines/>
      <w:spacing w:before="40"/>
      <w:outlineLvl w:val="6"/>
    </w:pPr>
    <w:rPr>
      <w:rFonts w:asciiTheme="majorHAnsi" w:eastAsiaTheme="majorEastAsia" w:hAnsiTheme="majorHAnsi" w:cs="Mangal"/>
      <w:i/>
      <w:iCs/>
      <w:color w:val="243F60" w:themeColor="accent1" w:themeShade="7F"/>
      <w:szCs w:val="20"/>
    </w:rPr>
  </w:style>
  <w:style w:type="paragraph" w:styleId="Heading8">
    <w:name w:val="heading 8"/>
    <w:basedOn w:val="Normal"/>
    <w:next w:val="Normal"/>
    <w:link w:val="Heading8Char"/>
    <w:uiPriority w:val="9"/>
    <w:semiHidden/>
    <w:unhideWhenUsed/>
    <w:qFormat/>
    <w:rsid w:val="007568FE"/>
    <w:pPr>
      <w:keepNext/>
      <w:keepLines/>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7568FE"/>
    <w:pPr>
      <w:keepNext/>
      <w:keepLines/>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
    <w:name w:val="ListLabel 1"/>
    <w:qFormat/>
    <w:rPr>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paragraph" w:customStyle="1" w:styleId="Heading">
    <w:name w:val="Heading"/>
    <w:basedOn w:val="Normal"/>
    <w:next w:val="BodyText"/>
    <w:qFormat/>
    <w:pPr>
      <w:keepNext/>
      <w:spacing w:before="240" w:after="120"/>
    </w:pPr>
    <w:rPr>
      <w:rFonts w:ascii="Liberation Sans" w:eastAsia="Source Han Sans CN"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customStyle="1" w:styleId="LO-normal">
    <w:name w:val="LO-normal"/>
    <w:qFormat/>
    <w:pPr>
      <w:spacing w:line="276" w:lineRule="auto"/>
    </w:pPr>
    <w:rPr>
      <w:color w:val="00000A"/>
      <w:sz w:val="22"/>
    </w:rPr>
  </w:style>
  <w:style w:type="paragraph" w:styleId="Title">
    <w:name w:val="Title"/>
    <w:basedOn w:val="LO-normal"/>
    <w:uiPriority w:val="10"/>
    <w:qFormat/>
    <w:pPr>
      <w:keepNext/>
      <w:keepLines/>
      <w:spacing w:after="60" w:line="240" w:lineRule="auto"/>
    </w:pPr>
    <w:rPr>
      <w:sz w:val="52"/>
      <w:szCs w:val="52"/>
    </w:rPr>
  </w:style>
  <w:style w:type="paragraph" w:styleId="Subtitle">
    <w:name w:val="Subtitle"/>
    <w:basedOn w:val="LO-normal"/>
    <w:uiPriority w:val="11"/>
    <w:qFormat/>
    <w:pPr>
      <w:keepNext/>
      <w:keepLines/>
      <w:spacing w:after="320" w:line="240" w:lineRule="auto"/>
    </w:pPr>
    <w:rPr>
      <w:color w:val="666666"/>
      <w:sz w:val="30"/>
      <w:szCs w:val="30"/>
    </w:rPr>
  </w:style>
  <w:style w:type="paragraph" w:customStyle="1" w:styleId="FrameContents">
    <w:name w:val="Frame Contents"/>
    <w:basedOn w:val="Normal"/>
    <w:qFormat/>
  </w:style>
  <w:style w:type="paragraph" w:customStyle="1" w:styleId="TableParagraph">
    <w:name w:val="Table Paragraph"/>
    <w:basedOn w:val="Normal"/>
    <w:qFormat/>
    <w:pPr>
      <w:spacing w:before="77"/>
      <w:jc w:val="center"/>
    </w:pPr>
    <w:rPr>
      <w:rFonts w:ascii="Calibri" w:eastAsia="Calibri" w:hAnsi="Calibri" w:cs="Calibri"/>
      <w:lang w:eastAsia="en-US" w:bidi="ar-SA"/>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FootnoteText">
    <w:name w:val="footnote text"/>
    <w:basedOn w:val="Normal"/>
  </w:style>
  <w:style w:type="character" w:styleId="Hyperlink">
    <w:name w:val="Hyperlink"/>
    <w:basedOn w:val="DefaultParagraphFont"/>
    <w:uiPriority w:val="99"/>
    <w:unhideWhenUsed/>
    <w:rsid w:val="007B42E9"/>
    <w:rPr>
      <w:color w:val="0000FF" w:themeColor="hyperlink"/>
      <w:u w:val="single"/>
    </w:rPr>
  </w:style>
  <w:style w:type="character" w:customStyle="1" w:styleId="UnresolvedMention1">
    <w:name w:val="Unresolved Mention1"/>
    <w:basedOn w:val="DefaultParagraphFont"/>
    <w:uiPriority w:val="99"/>
    <w:semiHidden/>
    <w:unhideWhenUsed/>
    <w:rsid w:val="007B42E9"/>
    <w:rPr>
      <w:color w:val="605E5C"/>
      <w:shd w:val="clear" w:color="auto" w:fill="E1DFDD"/>
    </w:rPr>
  </w:style>
  <w:style w:type="character" w:customStyle="1" w:styleId="Heading7Char">
    <w:name w:val="Heading 7 Char"/>
    <w:basedOn w:val="DefaultParagraphFont"/>
    <w:link w:val="Heading7"/>
    <w:uiPriority w:val="9"/>
    <w:semiHidden/>
    <w:rsid w:val="007568FE"/>
    <w:rPr>
      <w:rFonts w:asciiTheme="majorHAnsi" w:eastAsiaTheme="majorEastAsia" w:hAnsiTheme="majorHAnsi" w:cs="Mangal"/>
      <w:i/>
      <w:iCs/>
      <w:color w:val="243F60" w:themeColor="accent1" w:themeShade="7F"/>
      <w:sz w:val="22"/>
      <w:szCs w:val="20"/>
    </w:rPr>
  </w:style>
  <w:style w:type="character" w:customStyle="1" w:styleId="Heading8Char">
    <w:name w:val="Heading 8 Char"/>
    <w:basedOn w:val="DefaultParagraphFont"/>
    <w:link w:val="Heading8"/>
    <w:uiPriority w:val="9"/>
    <w:semiHidden/>
    <w:rsid w:val="007568FE"/>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7568FE"/>
    <w:rPr>
      <w:rFonts w:asciiTheme="majorHAnsi" w:eastAsiaTheme="majorEastAsia" w:hAnsiTheme="majorHAnsi" w:cs="Mangal"/>
      <w:i/>
      <w:iCs/>
      <w:color w:val="272727" w:themeColor="text1" w:themeTint="D8"/>
      <w:sz w:val="21"/>
      <w:szCs w:val="19"/>
    </w:rPr>
  </w:style>
  <w:style w:type="numbering" w:customStyle="1" w:styleId="Style1">
    <w:name w:val="Style1"/>
    <w:uiPriority w:val="99"/>
    <w:rsid w:val="00BE3D3A"/>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8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sportal.jlab.org/railsForms/rad_work_permits/144648/briefing" TargetMode="External"/><Relationship Id="rId3" Type="http://schemas.openxmlformats.org/officeDocument/2006/relationships/settings" Target="settings.xml"/><Relationship Id="rId7" Type="http://schemas.openxmlformats.org/officeDocument/2006/relationships/hyperlink" Target="https://wiki.jlab.org/Hall-B/engineering/hallb_eng_wiki/index.php/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1583</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Carman</dc:creator>
  <dc:description/>
  <cp:lastModifiedBy>Daniel Carman</cp:lastModifiedBy>
  <cp:revision>7</cp:revision>
  <cp:lastPrinted>2024-08-06T13:01:00Z</cp:lastPrinted>
  <dcterms:created xsi:type="dcterms:W3CDTF">2024-08-06T13:01:00Z</dcterms:created>
  <dcterms:modified xsi:type="dcterms:W3CDTF">2024-10-01T11:56:00Z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