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AlexNet-2012 ImageNet Classification with Deep Convolutional Neural Networks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此篇文章学习按文章顺序：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"https://blog.csdn.net/hongbin_xu/article/details/80271291"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https://blog.csdn.net/hongbin_xu/article/details/80271291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Introduction：</w:t>
      </w:r>
    </w:p>
    <w:p>
      <w:pPr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提到了CNN的优劣势，提出了解决的办法。</w:t>
      </w:r>
      <w:r>
        <w:rPr>
          <w:rFonts w:hint="eastAsia"/>
          <w:shd w:val="clear" w:color="FFFFFF" w:fill="D9D9D9"/>
          <w:lang w:val="en-US" w:eastAsia="zh-CN"/>
        </w:rPr>
        <w:t>Luckily,</w:t>
      </w:r>
      <w:r>
        <w:rPr>
          <w:rFonts w:hint="eastAsia"/>
          <w:color w:val="auto"/>
          <w:shd w:val="clear" w:color="FFFFFF" w:fill="D9D9D9"/>
          <w:lang w:val="en-US" w:eastAsia="zh-CN"/>
        </w:rPr>
        <w:t>current GPUs, paired with a highly-optimized implementation of 2D convolution, are powerful enough to facilitate the training of interestingly-large CNNs, and recent datasets such as ImageNet contain enough labeled examples to train such models without severe overfitting.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提到了文章贡献：1.训练了迄今为止最大的卷积神经网络2.编写了2D卷积的GPU实现3.采用几个方法对应过拟合问题</w:t>
      </w:r>
    </w:p>
    <w:p/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DataSet：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ImageNet介绍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Architecture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5个卷积层+3个全连接层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ReLU Nonlinearity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在这个网络框架中最重要的一点：用ReLU对传统激活函数tanhx或sigmod替换，原因在于它的训练速度，文章给出实例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2830" cy="1798955"/>
            <wp:effectExtent l="0" t="0" r="127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/>
          <w:iCs/>
          <w:caps w:val="0"/>
          <w:color w:val="4F4F4F"/>
          <w:spacing w:val="0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82550</wp:posOffset>
                </wp:positionV>
                <wp:extent cx="488315" cy="208280"/>
                <wp:effectExtent l="17145" t="8255" r="27940" b="12065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4490" y="996950"/>
                          <a:ext cx="488315" cy="2082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38.7pt;margin-top:6.5pt;height:16.4pt;width:38.45pt;z-index:251658240;v-text-anchor:middle;mso-width-relative:page;mso-height-relative:page;" fillcolor="#5B9BD5 [3204]" filled="t" stroked="t" coordsize="21600,21600" o:gfxdata="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eAVoM1wAAAAkBAAAPAAAA&#10;AAAAAAEAIAAAACIAAABkcnMvZG93bnJldi54bWxQSwECFAAUAAAACACHTuJAKjNdQYgCAADeBAAA&#10;DgAAAAAAAAABACAAAAAmAQAAZHJzL2Uyb0RvYy54bWxQSwUGAAAAAAYABgBZAQAAIA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i/>
          <w:iCs/>
          <w:caps w:val="0"/>
          <w:color w:val="4F4F4F"/>
          <w:spacing w:val="0"/>
          <w:sz w:val="30"/>
          <w:szCs w:val="30"/>
          <w:shd w:val="clear" w:fill="FFFFFF"/>
        </w:rPr>
        <w:t>Local Response Normalization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接下去看整体结构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卷积层的输入为224×224×3的图像，对其使用96个大小为11×11×3、步长为4（步长表示内核映射中相邻神经元感受野中心之间的距离）的内核来处理输入图像。第二个卷积层将第一个卷积层的输出（响应归一化以及池化）作为输入，并使用256个内核处理图像，每个内核大小为5×5×48。第三个、第四个和第五个卷积层彼此连接而中间没有任何池化或归一化层。第三个卷积层有384个内核，每个的大小为3×3×256，其输入为第二个卷积层的输出。第四个卷积层有384个内核，每个内核大小为3×3×192。第五个卷积层有256个内核，每个内核大小为3×3×192。全连接层各有4096个神经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739900"/>
            <wp:effectExtent l="0" t="0" r="10795" b="12700"/>
            <wp:docPr id="3" name="图片 3" descr="GS7}TBH(261QU(6VPA]A5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S7}TBH(261QU(6VPA]A5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</w:rPr>
        <w:t>Reducing Overfittin</w:t>
      </w:r>
      <w:r>
        <w:rPr>
          <w:rFonts w:hint="eastAsia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解决过拟合的两个方法：</w:t>
      </w:r>
    </w:p>
    <w:p>
      <w:pPr>
        <w:rPr>
          <w:rFonts w:hint="eastAsia" w:ascii="NimbusRomNo9L-Medi" w:hAnsi="NimbusRomNo9L-Medi" w:eastAsia="宋体"/>
          <w:sz w:val="20"/>
          <w:lang w:eastAsia="zh-CN"/>
        </w:rPr>
      </w:pPr>
      <w:r>
        <w:rPr>
          <w:rFonts w:hint="default" w:ascii="NimbusRomNo9L-Medi" w:hAnsi="NimbusRomNo9L-Medi" w:eastAsia="NimbusRomNo9L-Medi"/>
          <w:sz w:val="20"/>
        </w:rPr>
        <w:t>Data Augmentation</w:t>
      </w:r>
      <w:r>
        <w:rPr>
          <w:rFonts w:hint="eastAsia" w:ascii="NimbusRomNo9L-Medi" w:hAnsi="NimbusRomNo9L-Medi" w:eastAsia="宋体"/>
          <w:sz w:val="20"/>
          <w:lang w:eastAsia="zh-CN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The first form of data augmentation consists of generating image translations and horizontal reflections</w:t>
      </w:r>
    </w:p>
    <w:p>
      <w:pPr>
        <w:bidi w:val="0"/>
        <w:rPr>
          <w:rFonts w:hint="default"/>
        </w:rPr>
      </w:pPr>
      <w:r>
        <w:rPr>
          <w:rFonts w:hint="default"/>
        </w:rPr>
        <w:t>The second form of data augmentation consists of altering the intensities of the RGB channels in</w:t>
      </w:r>
    </w:p>
    <w:p>
      <w:pPr>
        <w:bidi w:val="0"/>
        <w:rPr>
          <w:rFonts w:hint="default"/>
        </w:rPr>
      </w:pPr>
      <w:r>
        <w:rPr>
          <w:rFonts w:hint="default"/>
        </w:rPr>
        <w:t>training images. Specifically, we perform PCA on the set of RGB pixel values throughout the</w:t>
      </w:r>
    </w:p>
    <w:p>
      <w:pPr>
        <w:bidi w:val="0"/>
        <w:rPr>
          <w:rFonts w:hint="default"/>
        </w:rPr>
      </w:pPr>
      <w:r>
        <w:rPr>
          <w:rFonts w:hint="default"/>
        </w:rPr>
        <w:t>ImageNet training set. To each training image, we add multiples of the found principal components,</w:t>
      </w:r>
    </w:p>
    <w:p>
      <w:pPr>
        <w:rPr>
          <w:rFonts w:hint="eastAsia" w:ascii="NimbusRomNo9L-Medi" w:hAnsi="NimbusRomNo9L-Medi" w:eastAsia="宋体"/>
          <w:sz w:val="20"/>
          <w:lang w:eastAsia="zh-CN"/>
        </w:rPr>
      </w:pPr>
      <w:r>
        <w:rPr>
          <w:rFonts w:hint="default" w:ascii="NimbusRomNo9L-Medi" w:hAnsi="NimbusRomNo9L-Medi" w:eastAsia="NimbusRomNo9L-Medi"/>
          <w:sz w:val="20"/>
        </w:rPr>
        <w:t>Dropout</w:t>
      </w:r>
      <w:r>
        <w:rPr>
          <w:rFonts w:hint="eastAsia" w:ascii="NimbusRomNo9L-Medi" w:hAnsi="NimbusRomNo9L-Medi" w:eastAsia="宋体"/>
          <w:sz w:val="20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recently-introduced technique, called dropout, consists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setting to zero the output of each hidden neuron with probability 0.5.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阅读完论文理解AlexNet取得较好效果的原因：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ReLU(Rectified Linear Units) f(x)=max(0,x) 更快的收敛性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Dropout 在保持输入层输出层个数不变的情况下，随机忽略一部分神经元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提出了LRN层，对局部神经元的活动创建竞争机制，使得其中响应比较大的值变得相对更大，并抑制其他反馈较小的</w:t>
      </w:r>
      <w:bookmarkStart w:id="0" w:name="_GoBack"/>
      <w:bookmarkEnd w:id="0"/>
      <w:r>
        <w:rPr>
          <w:rFonts w:hint="default"/>
          <w:lang w:val="en-US" w:eastAsia="zh-CN"/>
        </w:rPr>
        <w:t>神经元，增强了模型的泛化能力。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CD31"/>
    <w:multiLevelType w:val="singleLevel"/>
    <w:tmpl w:val="12F1C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960A5B"/>
    <w:rsid w:val="1C390662"/>
    <w:rsid w:val="2F423721"/>
    <w:rsid w:val="39482B86"/>
    <w:rsid w:val="4ADF7068"/>
    <w:rsid w:val="52D2316A"/>
    <w:rsid w:val="63EC69C6"/>
    <w:rsid w:val="6E6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Demon</cp:lastModifiedBy>
  <dcterms:modified xsi:type="dcterms:W3CDTF">2019-10-31T01:54:35Z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