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62C4F" w14:textId="02E46355" w:rsidR="005E4F6C" w:rsidRDefault="00614608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t>Uniform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是一种从CPU中的应用向GPU中的着色器发送数据的方式，但uniform和顶点属性有些不同。首先，uniform是</w:t>
      </w:r>
      <w:r>
        <w:t>全局的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(Global)。全局意味着uniform变量必须在每个着色</w:t>
      </w:r>
      <w:proofErr w:type="gram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器程序</w:t>
      </w:r>
      <w:proofErr w:type="gram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对象中都是独一无二的，而且它可以被着色</w:t>
      </w:r>
      <w:proofErr w:type="gram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器程序</w:t>
      </w:r>
      <w:proofErr w:type="gram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的任意着色器在任意阶段访问。第二，无论你把uniform值设置成什么，uniform会一直保存它们的数据，直到它们被重置或更新。</w:t>
      </w:r>
    </w:p>
    <w:p w14:paraId="0EC36496" w14:textId="78F68484" w:rsidR="00614608" w:rsidRDefault="00614608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2446AB60" w14:textId="5CA878D4" w:rsidR="00614608" w:rsidRDefault="00A1712A">
      <w:r w:rsidRPr="00A1712A">
        <w:rPr>
          <w:noProof/>
        </w:rPr>
        <w:drawing>
          <wp:inline distT="0" distB="0" distL="0" distR="0" wp14:anchorId="28F773CB" wp14:editId="6C000C79">
            <wp:extent cx="5951037" cy="3320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36" cy="332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32E2" w14:textId="421CE816" w:rsidR="00A1712A" w:rsidRDefault="00A1712A"/>
    <w:p w14:paraId="6A00619E" w14:textId="2905D958" w:rsidR="00A1712A" w:rsidRDefault="00A1712A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这个图片可能不是你所期望的那种，因为我们只提供了3个颜色，而不是我们现在看到的大调色板。这是在片段着色器中进行的所谓</w:t>
      </w:r>
      <w:r>
        <w:t>片段插值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(Fragment Interpolation)的结果。当渲染一个三角形时，光栅化(Rasterization)阶段通常会造成比原指定顶点更多的片段。光栅会根据每个片段在三角形形状上所处相对位置决</w:t>
      </w:r>
      <w:proofErr w:type="gram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定这些</w:t>
      </w:r>
      <w:proofErr w:type="gram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片段的位置。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基于这些位置，它会</w:t>
      </w:r>
      <w:r>
        <w:t>插值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(Interpolate)所有片段着色器的输入变量。比如说，我们有一个线段，上面的端点是绿色的，下面的端点是蓝色的。如果一个片段着色器在线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lastRenderedPageBreak/>
        <w:t>段的70%的位置运行，它的颜色输入属性就会是一个绿色和蓝色的线性结合；更精确地说就是30%蓝 + 70%绿。</w:t>
      </w:r>
    </w:p>
    <w:p w14:paraId="606FC8C7" w14:textId="3B7662E5" w:rsidR="005F75B1" w:rsidRDefault="005F75B1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47BCB48C" w14:textId="4E37D812" w:rsidR="005F75B1" w:rsidRDefault="005F75B1">
      <w:r w:rsidRPr="005F75B1">
        <w:rPr>
          <w:noProof/>
        </w:rPr>
        <w:drawing>
          <wp:inline distT="0" distB="0" distL="0" distR="0" wp14:anchorId="235EBDFF" wp14:editId="3DC039F0">
            <wp:extent cx="5274310" cy="2797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FD1C" w14:textId="18357AA4" w:rsidR="00E14E6F" w:rsidRDefault="00E14E6F">
      <w:r>
        <w:rPr>
          <w:rFonts w:hint="eastAsia"/>
        </w:rPr>
        <w:t>、</w:t>
      </w:r>
    </w:p>
    <w:p w14:paraId="56AEB5D3" w14:textId="77777777" w:rsidR="00E14E6F" w:rsidRDefault="00E14E6F">
      <w:pPr>
        <w:rPr>
          <w:rFonts w:hint="eastAsia"/>
        </w:rPr>
      </w:pPr>
    </w:p>
    <w:sectPr w:rsidR="00E14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F9"/>
    <w:rsid w:val="00025DA9"/>
    <w:rsid w:val="002B0E76"/>
    <w:rsid w:val="004E26F9"/>
    <w:rsid w:val="005F75B1"/>
    <w:rsid w:val="00614608"/>
    <w:rsid w:val="00861585"/>
    <w:rsid w:val="00A1712A"/>
    <w:rsid w:val="00DF5E40"/>
    <w:rsid w:val="00E1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40D8"/>
  <w15:chartTrackingRefBased/>
  <w15:docId w15:val="{2CEA0DCD-C616-44E8-8493-1B8A24C8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ycai0039@student.monash.edu</dc:creator>
  <cp:keywords/>
  <dc:description/>
  <cp:lastModifiedBy>ycai0039@student.monash.edu</cp:lastModifiedBy>
  <cp:revision>4</cp:revision>
  <dcterms:created xsi:type="dcterms:W3CDTF">2020-11-30T11:44:00Z</dcterms:created>
  <dcterms:modified xsi:type="dcterms:W3CDTF">2020-12-02T08:42:00Z</dcterms:modified>
</cp:coreProperties>
</file>