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0ECDB" w14:textId="08AA8C84" w:rsidR="00D3240E" w:rsidRDefault="00D3240E">
      <w:pPr>
        <w:rPr>
          <w:rFonts w:ascii="Times New Roman" w:hAnsi="Times New Roman" w:cs="Times New Roman"/>
          <w:noProof/>
        </w:rPr>
      </w:pPr>
      <w:r>
        <w:rPr>
          <w:rFonts w:ascii="Times New Roman" w:hAnsi="Times New Roman" w:cs="Times New Roman" w:hint="eastAsia"/>
          <w:noProof/>
        </w:rPr>
        <w:t xml:space="preserve">Figure </w:t>
      </w:r>
      <w:r w:rsidR="00873780">
        <w:rPr>
          <w:rFonts w:ascii="Times New Roman" w:hAnsi="Times New Roman" w:cs="Times New Roman" w:hint="eastAsia"/>
          <w:noProof/>
        </w:rPr>
        <w:t>1</w:t>
      </w:r>
      <w:r>
        <w:rPr>
          <w:rFonts w:ascii="Times New Roman" w:hAnsi="Times New Roman" w:cs="Times New Roman" w:hint="eastAsia"/>
          <w:noProof/>
        </w:rPr>
        <w:t>.</w:t>
      </w:r>
    </w:p>
    <w:p w14:paraId="76112320" w14:textId="11826296" w:rsidR="00D3240E" w:rsidRDefault="00D3240E">
      <w:pPr>
        <w:rPr>
          <w:rFonts w:ascii="Times New Roman" w:hAnsi="Times New Roman" w:cs="Times New Roman"/>
          <w:noProof/>
        </w:rPr>
      </w:pPr>
      <w:r>
        <w:rPr>
          <w:rFonts w:ascii="Times New Roman" w:hAnsi="Times New Roman" w:cs="Times New Roman" w:hint="eastAsia"/>
          <w:noProof/>
        </w:rPr>
        <w:t>Timeline of China</w:t>
      </w:r>
      <w:r>
        <w:rPr>
          <w:rFonts w:ascii="Times New Roman" w:hAnsi="Times New Roman" w:cs="Times New Roman"/>
          <w:noProof/>
        </w:rPr>
        <w:t>’</w:t>
      </w:r>
      <w:r>
        <w:rPr>
          <w:rFonts w:ascii="Times New Roman" w:hAnsi="Times New Roman" w:cs="Times New Roman" w:hint="eastAsia"/>
          <w:noProof/>
        </w:rPr>
        <w:t>s Retaliatory Tariffs</w:t>
      </w:r>
    </w:p>
    <w:p w14:paraId="511812FA" w14:textId="415ADABE" w:rsidR="00D3240E" w:rsidRDefault="00D33747">
      <w:pPr>
        <w:rPr>
          <w:rFonts w:ascii="Times New Roman" w:hAnsi="Times New Roman" w:cs="Times New Roman"/>
          <w:noProof/>
        </w:rPr>
      </w:pPr>
      <w:r>
        <w:rPr>
          <w:noProof/>
        </w:rPr>
        <w:drawing>
          <wp:inline distT="0" distB="0" distL="0" distR="0" wp14:anchorId="5586926C" wp14:editId="7B899340">
            <wp:extent cx="5274310" cy="2136617"/>
            <wp:effectExtent l="19050" t="0" r="40640" b="0"/>
            <wp:docPr id="585389119" name="Diagram 1">
              <a:extLst xmlns:a="http://schemas.openxmlformats.org/drawingml/2006/main">
                <a:ext uri="{FF2B5EF4-FFF2-40B4-BE49-F238E27FC236}">
                  <a16:creationId xmlns:a16="http://schemas.microsoft.com/office/drawing/2014/main" id="{23583191-2BD1-86C7-628E-54AF87A8C7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14:paraId="56AAD277" w14:textId="638396A7" w:rsidR="00D3240E" w:rsidRDefault="00D3240E">
      <w:pPr>
        <w:rPr>
          <w:rFonts w:ascii="Times New Roman" w:hAnsi="Times New Roman" w:cs="Times New Roman"/>
          <w:noProof/>
        </w:rPr>
      </w:pPr>
      <w:r>
        <w:rPr>
          <w:rFonts w:ascii="Times New Roman" w:hAnsi="Times New Roman" w:cs="Times New Roman" w:hint="eastAsia"/>
          <w:noProof/>
        </w:rPr>
        <w:t xml:space="preserve">Source: Department of Commerce of United States of America; </w:t>
      </w:r>
      <w:r>
        <w:rPr>
          <w:rFonts w:ascii="Times New Roman" w:hAnsi="Times New Roman" w:cs="Times New Roman" w:hint="eastAsia"/>
          <w:noProof/>
        </w:rPr>
        <w:t>Ministry of Finance of the People</w:t>
      </w:r>
      <w:r>
        <w:rPr>
          <w:rFonts w:ascii="Times New Roman" w:hAnsi="Times New Roman" w:cs="Times New Roman"/>
          <w:noProof/>
        </w:rPr>
        <w:t>’</w:t>
      </w:r>
      <w:r>
        <w:rPr>
          <w:rFonts w:ascii="Times New Roman" w:hAnsi="Times New Roman" w:cs="Times New Roman" w:hint="eastAsia"/>
          <w:noProof/>
        </w:rPr>
        <w:t>s Republic of China</w:t>
      </w:r>
      <w:r w:rsidR="00D33747">
        <w:rPr>
          <w:rFonts w:ascii="Times New Roman" w:hAnsi="Times New Roman" w:cs="Times New Roman" w:hint="eastAsia"/>
          <w:noProof/>
        </w:rPr>
        <w:t xml:space="preserve">; </w:t>
      </w:r>
      <w:r w:rsidR="00D33747">
        <w:rPr>
          <w:rFonts w:ascii="Times New Roman" w:hAnsi="Times New Roman" w:cs="Times New Roman" w:hint="eastAsia"/>
          <w:noProof/>
        </w:rPr>
        <w:t>World Trade Organization (WTO)</w:t>
      </w:r>
      <w:r>
        <w:rPr>
          <w:rFonts w:ascii="Times New Roman" w:hAnsi="Times New Roman" w:cs="Times New Roman" w:hint="eastAsia"/>
          <w:noProof/>
        </w:rPr>
        <w:t>.</w:t>
      </w:r>
    </w:p>
    <w:p w14:paraId="201363FD" w14:textId="77777777" w:rsidR="00873780" w:rsidRPr="00873780" w:rsidRDefault="00D3240E" w:rsidP="00873780">
      <w:pPr>
        <w:rPr>
          <w:rFonts w:ascii="Times New Roman" w:hAnsi="Times New Roman" w:cs="Times New Roman"/>
          <w:noProof/>
        </w:rPr>
      </w:pPr>
      <w:r>
        <w:rPr>
          <w:rFonts w:ascii="Times New Roman" w:hAnsi="Times New Roman" w:cs="Times New Roman" w:hint="eastAsia"/>
          <w:noProof/>
        </w:rPr>
        <w:t xml:space="preserve">Note: </w:t>
      </w:r>
      <w:r w:rsidR="00873780">
        <w:rPr>
          <w:rFonts w:ascii="Times New Roman" w:hAnsi="Times New Roman" w:cs="Times New Roman" w:hint="eastAsia"/>
          <w:noProof/>
        </w:rPr>
        <w:t>Timeline of China</w:t>
      </w:r>
      <w:r w:rsidR="00873780">
        <w:rPr>
          <w:rFonts w:ascii="Times New Roman" w:hAnsi="Times New Roman" w:cs="Times New Roman"/>
          <w:noProof/>
        </w:rPr>
        <w:t>’</w:t>
      </w:r>
      <w:r w:rsidR="00873780">
        <w:rPr>
          <w:rFonts w:ascii="Times New Roman" w:hAnsi="Times New Roman" w:cs="Times New Roman" w:hint="eastAsia"/>
          <w:noProof/>
        </w:rPr>
        <w:t xml:space="preserve">s Retaliatory tariffs on products from the U.S. to China. </w:t>
      </w:r>
      <w:r w:rsidR="00873780" w:rsidRPr="00873780">
        <w:rPr>
          <w:rFonts w:ascii="Times New Roman" w:hAnsi="Times New Roman" w:cs="Times New Roman"/>
          <w:noProof/>
        </w:rPr>
        <w:t>The initial wave was signaled by China's notification to the WTO, indicating the imposition of additional tariffs on various U.S. products. The percentages listed next to each product category represent the respective additional tariff rates.</w:t>
      </w:r>
    </w:p>
    <w:p w14:paraId="22EFA911" w14:textId="77777777" w:rsidR="00873780" w:rsidRPr="00873780" w:rsidRDefault="00873780" w:rsidP="00873780">
      <w:pPr>
        <w:rPr>
          <w:rFonts w:ascii="Times New Roman" w:hAnsi="Times New Roman" w:cs="Times New Roman"/>
          <w:noProof/>
        </w:rPr>
      </w:pPr>
    </w:p>
    <w:p w14:paraId="5F35C7F1" w14:textId="77777777" w:rsidR="00873780" w:rsidRPr="00873780" w:rsidRDefault="00873780" w:rsidP="00873780">
      <w:pPr>
        <w:rPr>
          <w:rFonts w:ascii="Times New Roman" w:hAnsi="Times New Roman" w:cs="Times New Roman"/>
          <w:noProof/>
        </w:rPr>
      </w:pPr>
    </w:p>
    <w:p w14:paraId="2D444F6E" w14:textId="77777777" w:rsidR="00873780" w:rsidRPr="00873780" w:rsidRDefault="00873780" w:rsidP="00873780">
      <w:pPr>
        <w:rPr>
          <w:rFonts w:ascii="Times New Roman" w:hAnsi="Times New Roman" w:cs="Times New Roman"/>
          <w:noProof/>
        </w:rPr>
      </w:pPr>
    </w:p>
    <w:p w14:paraId="30A7F180" w14:textId="77777777" w:rsidR="00873780" w:rsidRPr="00873780" w:rsidRDefault="00873780" w:rsidP="00873780">
      <w:pPr>
        <w:rPr>
          <w:rFonts w:ascii="Times New Roman" w:hAnsi="Times New Roman" w:cs="Times New Roman"/>
          <w:noProof/>
        </w:rPr>
      </w:pPr>
    </w:p>
    <w:p w14:paraId="35E87A5E" w14:textId="77777777" w:rsidR="00873780" w:rsidRPr="00873780" w:rsidRDefault="00873780" w:rsidP="00873780">
      <w:pPr>
        <w:rPr>
          <w:rFonts w:ascii="Times New Roman" w:hAnsi="Times New Roman" w:cs="Times New Roman"/>
          <w:noProof/>
        </w:rPr>
      </w:pPr>
    </w:p>
    <w:p w14:paraId="318D4C8B" w14:textId="32AB2AD6" w:rsidR="00D3240E" w:rsidRDefault="00D3240E" w:rsidP="00873780">
      <w:pPr>
        <w:rPr>
          <w:rFonts w:ascii="Times New Roman" w:hAnsi="Times New Roman" w:cs="Times New Roman"/>
          <w:noProof/>
        </w:rPr>
      </w:pPr>
      <w:r>
        <w:rPr>
          <w:rFonts w:ascii="Times New Roman" w:hAnsi="Times New Roman" w:cs="Times New Roman"/>
          <w:noProof/>
        </w:rPr>
        <w:br w:type="page"/>
      </w:r>
    </w:p>
    <w:p w14:paraId="17A7C692" w14:textId="210FFE11" w:rsidR="001A0ACA" w:rsidRDefault="001A0ACA">
      <w:pPr>
        <w:rPr>
          <w:rFonts w:ascii="Times New Roman" w:hAnsi="Times New Roman" w:cs="Times New Roman"/>
          <w:noProof/>
        </w:rPr>
      </w:pPr>
      <w:r>
        <w:rPr>
          <w:rFonts w:ascii="Times New Roman" w:hAnsi="Times New Roman" w:cs="Times New Roman" w:hint="eastAsia"/>
          <w:noProof/>
        </w:rPr>
        <w:lastRenderedPageBreak/>
        <w:t xml:space="preserve">Figure </w:t>
      </w:r>
      <w:r w:rsidR="00D3240E">
        <w:rPr>
          <w:rFonts w:ascii="Times New Roman" w:hAnsi="Times New Roman" w:cs="Times New Roman" w:hint="eastAsia"/>
          <w:noProof/>
        </w:rPr>
        <w:t>2</w:t>
      </w:r>
      <w:r>
        <w:rPr>
          <w:rFonts w:ascii="Times New Roman" w:hAnsi="Times New Roman" w:cs="Times New Roman" w:hint="eastAsia"/>
          <w:noProof/>
        </w:rPr>
        <w:t xml:space="preserve">. </w:t>
      </w:r>
    </w:p>
    <w:p w14:paraId="62E5CB37" w14:textId="6695E36E" w:rsidR="001A0ACA" w:rsidRDefault="001A0ACA">
      <w:pPr>
        <w:rPr>
          <w:rFonts w:ascii="Times New Roman" w:hAnsi="Times New Roman" w:cs="Times New Roman" w:hint="eastAsia"/>
          <w:noProof/>
        </w:rPr>
      </w:pPr>
      <w:r w:rsidRPr="001A0ACA">
        <w:rPr>
          <w:rFonts w:ascii="Times New Roman" w:hAnsi="Times New Roman" w:cs="Times New Roman"/>
          <w:noProof/>
        </w:rPr>
        <w:t xml:space="preserve">Proportional Change in </w:t>
      </w:r>
      <w:r w:rsidR="00E41544">
        <w:rPr>
          <w:rFonts w:ascii="Times New Roman" w:hAnsi="Times New Roman" w:cs="Times New Roman" w:hint="eastAsia"/>
          <w:noProof/>
        </w:rPr>
        <w:t xml:space="preserve">Average </w:t>
      </w:r>
      <w:r w:rsidRPr="001A0ACA">
        <w:rPr>
          <w:rFonts w:ascii="Times New Roman" w:hAnsi="Times New Roman" w:cs="Times New Roman"/>
          <w:noProof/>
        </w:rPr>
        <w:t>Import Prices by Tariff Wave</w:t>
      </w:r>
      <w:r>
        <w:rPr>
          <w:rFonts w:ascii="Times New Roman" w:hAnsi="Times New Roman" w:cs="Times New Roman" w:hint="eastAsia"/>
          <w:noProof/>
        </w:rPr>
        <w:t xml:space="preserve"> from 2015 to 2021</w:t>
      </w:r>
    </w:p>
    <w:p w14:paraId="173A0AC7" w14:textId="4747964C" w:rsidR="001A0ACA" w:rsidRDefault="00E41544">
      <w:pPr>
        <w:rPr>
          <w:rFonts w:ascii="Times New Roman" w:hAnsi="Times New Roman" w:cs="Times New Roman"/>
          <w:noProof/>
        </w:rPr>
      </w:pPr>
      <w:r>
        <w:rPr>
          <w:noProof/>
        </w:rPr>
        <w:drawing>
          <wp:inline distT="0" distB="0" distL="0" distR="0" wp14:anchorId="205DC92A" wp14:editId="701F911C">
            <wp:extent cx="5274310" cy="3772535"/>
            <wp:effectExtent l="0" t="0" r="2540" b="0"/>
            <wp:docPr id="89904911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9111" name="Picture 1" descr="A graph with lines and numbers&#10;&#10;Description automatically generated"/>
                    <pic:cNvPicPr/>
                  </pic:nvPicPr>
                  <pic:blipFill>
                    <a:blip r:embed="rId9"/>
                    <a:stretch>
                      <a:fillRect/>
                    </a:stretch>
                  </pic:blipFill>
                  <pic:spPr>
                    <a:xfrm>
                      <a:off x="0" y="0"/>
                      <a:ext cx="5274310" cy="3772535"/>
                    </a:xfrm>
                    <a:prstGeom prst="rect">
                      <a:avLst/>
                    </a:prstGeom>
                  </pic:spPr>
                </pic:pic>
              </a:graphicData>
            </a:graphic>
          </wp:inline>
        </w:drawing>
      </w:r>
    </w:p>
    <w:p w14:paraId="340E561B" w14:textId="6F02838E" w:rsidR="001A0ACA" w:rsidRDefault="001A0ACA">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r w:rsidR="00D3240E">
        <w:rPr>
          <w:rFonts w:ascii="Times New Roman" w:hAnsi="Times New Roman" w:cs="Times New Roman" w:hint="eastAsia"/>
          <w:noProof/>
        </w:rPr>
        <w:t>.</w:t>
      </w:r>
    </w:p>
    <w:p w14:paraId="6A6E4DAD" w14:textId="7CFA9044" w:rsidR="001A0ACA" w:rsidRDefault="001A0ACA">
      <w:pPr>
        <w:rPr>
          <w:rFonts w:ascii="Times New Roman" w:hAnsi="Times New Roman" w:cs="Times New Roman"/>
          <w:noProof/>
        </w:rPr>
      </w:pPr>
      <w:r>
        <w:rPr>
          <w:rFonts w:ascii="Times New Roman" w:hAnsi="Times New Roman" w:cs="Times New Roman" w:hint="eastAsia"/>
          <w:noProof/>
        </w:rPr>
        <w:t xml:space="preserve">Note: </w:t>
      </w:r>
      <w:r w:rsidR="00885913">
        <w:rPr>
          <w:rFonts w:ascii="Times New Roman" w:hAnsi="Times New Roman" w:cs="Times New Roman" w:hint="eastAsia"/>
          <w:noProof/>
        </w:rPr>
        <w:t xml:space="preserve">Relative proportional change in average import prices (import values divided by import quantities) of products from the U.S. to China  </w:t>
      </w:r>
      <w:r w:rsidR="00E41544">
        <w:rPr>
          <w:rFonts w:ascii="Times New Roman" w:hAnsi="Times New Roman" w:cs="Times New Roman" w:hint="eastAsia"/>
          <w:noProof/>
        </w:rPr>
        <w:t>from</w:t>
      </w:r>
      <w:r w:rsidR="00885913">
        <w:rPr>
          <w:rFonts w:ascii="Times New Roman" w:hAnsi="Times New Roman" w:cs="Times New Roman" w:hint="eastAsia"/>
          <w:noProof/>
        </w:rPr>
        <w:t xml:space="preserve"> 2015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2021 for products included in each retaliatory tariff wave and products not included in the waves. Products with </w:t>
      </w:r>
      <w:r w:rsidR="0030367E">
        <w:rPr>
          <w:rFonts w:ascii="Times New Roman" w:hAnsi="Times New Roman" w:cs="Times New Roman" w:hint="eastAsia"/>
          <w:noProof/>
        </w:rPr>
        <w:t>in</w:t>
      </w:r>
      <w:r w:rsidR="00885913">
        <w:rPr>
          <w:rFonts w:ascii="Times New Roman" w:hAnsi="Times New Roman" w:cs="Times New Roman" w:hint="eastAsia"/>
          <w:noProof/>
        </w:rPr>
        <w:t xml:space="preserve">complete data between 2015 and 2021 are excluded. Import prices of each product are normalized according to the exchange rate of USD </w:t>
      </w:r>
      <w:r w:rsidR="00E41544">
        <w:rPr>
          <w:rFonts w:ascii="Times New Roman" w:hAnsi="Times New Roman" w:cs="Times New Roman" w:hint="eastAsia"/>
          <w:noProof/>
        </w:rPr>
        <w:t>to</w:t>
      </w:r>
      <w:r w:rsidR="00885913">
        <w:rPr>
          <w:rFonts w:ascii="Times New Roman" w:hAnsi="Times New Roman" w:cs="Times New Roman" w:hint="eastAsia"/>
          <w:noProof/>
        </w:rPr>
        <w:t xml:space="preserve"> CNY each year. Extreme import prices (lowest 5% and highest 5% ) are excluded when calculating the average. Proportional changes are normalized to equal zero in 2017, the year before the trade war began. </w:t>
      </w:r>
    </w:p>
    <w:p w14:paraId="3512727E" w14:textId="72D98AE8" w:rsidR="00E41544" w:rsidRDefault="00E41544">
      <w:pPr>
        <w:widowControl/>
        <w:jc w:val="left"/>
        <w:rPr>
          <w:rFonts w:ascii="Times New Roman" w:hAnsi="Times New Roman" w:cs="Times New Roman"/>
          <w:noProof/>
        </w:rPr>
      </w:pPr>
      <w:r>
        <w:rPr>
          <w:rFonts w:ascii="Times New Roman" w:hAnsi="Times New Roman" w:cs="Times New Roman"/>
          <w:noProof/>
        </w:rPr>
        <w:br w:type="page"/>
      </w:r>
    </w:p>
    <w:p w14:paraId="1EB2CF1C" w14:textId="715C208E" w:rsidR="00E41544" w:rsidRDefault="00E41544">
      <w:pPr>
        <w:rPr>
          <w:rFonts w:ascii="Times New Roman" w:hAnsi="Times New Roman" w:cs="Times New Roman"/>
          <w:noProof/>
        </w:rPr>
      </w:pPr>
      <w:r>
        <w:rPr>
          <w:rFonts w:ascii="Times New Roman" w:hAnsi="Times New Roman" w:cs="Times New Roman" w:hint="eastAsia"/>
          <w:noProof/>
        </w:rPr>
        <w:lastRenderedPageBreak/>
        <w:t xml:space="preserve">Figure </w:t>
      </w:r>
      <w:r w:rsidR="00873780">
        <w:rPr>
          <w:rFonts w:ascii="Times New Roman" w:hAnsi="Times New Roman" w:cs="Times New Roman" w:hint="eastAsia"/>
          <w:noProof/>
        </w:rPr>
        <w:t>3</w:t>
      </w:r>
      <w:r>
        <w:rPr>
          <w:rFonts w:ascii="Times New Roman" w:hAnsi="Times New Roman" w:cs="Times New Roman" w:hint="eastAsia"/>
          <w:noProof/>
        </w:rPr>
        <w:t>.</w:t>
      </w:r>
    </w:p>
    <w:p w14:paraId="4BA291D5" w14:textId="54C7D6AF" w:rsidR="0030367E" w:rsidRDefault="0030367E">
      <w:pPr>
        <w:rPr>
          <w:rFonts w:ascii="Times New Roman" w:hAnsi="Times New Roman" w:cs="Times New Roman"/>
          <w:noProof/>
        </w:rPr>
      </w:pPr>
      <w:r w:rsidRPr="001A0ACA">
        <w:rPr>
          <w:rFonts w:ascii="Times New Roman" w:hAnsi="Times New Roman" w:cs="Times New Roman"/>
          <w:noProof/>
        </w:rPr>
        <w:t xml:space="preserve">Proportional Change in </w:t>
      </w:r>
      <w:r>
        <w:rPr>
          <w:rFonts w:ascii="Times New Roman" w:hAnsi="Times New Roman" w:cs="Times New Roman" w:hint="eastAsia"/>
          <w:noProof/>
        </w:rPr>
        <w:t>Total</w:t>
      </w:r>
      <w:r>
        <w:rPr>
          <w:rFonts w:ascii="Times New Roman" w:hAnsi="Times New Roman" w:cs="Times New Roman" w:hint="eastAsia"/>
          <w:noProof/>
        </w:rPr>
        <w:t xml:space="preserve"> </w:t>
      </w:r>
      <w:r w:rsidRPr="001A0ACA">
        <w:rPr>
          <w:rFonts w:ascii="Times New Roman" w:hAnsi="Times New Roman" w:cs="Times New Roman"/>
          <w:noProof/>
        </w:rPr>
        <w:t xml:space="preserve">Import </w:t>
      </w:r>
      <w:r>
        <w:rPr>
          <w:rFonts w:ascii="Times New Roman" w:hAnsi="Times New Roman" w:cs="Times New Roman" w:hint="eastAsia"/>
          <w:noProof/>
        </w:rPr>
        <w:t>Values</w:t>
      </w:r>
      <w:r w:rsidRPr="001A0ACA">
        <w:rPr>
          <w:rFonts w:ascii="Times New Roman" w:hAnsi="Times New Roman" w:cs="Times New Roman"/>
          <w:noProof/>
        </w:rPr>
        <w:t xml:space="preserve"> by Tariff Wave</w:t>
      </w:r>
      <w:r>
        <w:rPr>
          <w:rFonts w:ascii="Times New Roman" w:hAnsi="Times New Roman" w:cs="Times New Roman" w:hint="eastAsia"/>
          <w:noProof/>
        </w:rPr>
        <w:t xml:space="preserve"> from 2015 to 2021</w:t>
      </w:r>
    </w:p>
    <w:p w14:paraId="1B28C17F" w14:textId="200AA949" w:rsidR="00E41544" w:rsidRDefault="0030367E">
      <w:pPr>
        <w:rPr>
          <w:rFonts w:ascii="Times New Roman" w:hAnsi="Times New Roman" w:cs="Times New Roman"/>
          <w:noProof/>
        </w:rPr>
      </w:pPr>
      <w:r>
        <w:rPr>
          <w:noProof/>
        </w:rPr>
        <w:drawing>
          <wp:inline distT="0" distB="0" distL="0" distR="0" wp14:anchorId="540D247E" wp14:editId="058C004F">
            <wp:extent cx="5274310" cy="3728720"/>
            <wp:effectExtent l="0" t="0" r="2540" b="5080"/>
            <wp:docPr id="18236843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8439" name="Picture 1" descr="A graph with different colored lines&#10;&#10;Description automatically generated"/>
                    <pic:cNvPicPr/>
                  </pic:nvPicPr>
                  <pic:blipFill>
                    <a:blip r:embed="rId10"/>
                    <a:stretch>
                      <a:fillRect/>
                    </a:stretch>
                  </pic:blipFill>
                  <pic:spPr>
                    <a:xfrm>
                      <a:off x="0" y="0"/>
                      <a:ext cx="5274310" cy="3728720"/>
                    </a:xfrm>
                    <a:prstGeom prst="rect">
                      <a:avLst/>
                    </a:prstGeom>
                  </pic:spPr>
                </pic:pic>
              </a:graphicData>
            </a:graphic>
          </wp:inline>
        </w:drawing>
      </w:r>
    </w:p>
    <w:p w14:paraId="04ED8BA5" w14:textId="77777777" w:rsidR="0030367E" w:rsidRDefault="0030367E" w:rsidP="0030367E">
      <w:pPr>
        <w:rPr>
          <w:rFonts w:ascii="Times New Roman" w:hAnsi="Times New Roman" w:cs="Times New Roman"/>
          <w:noProof/>
        </w:rPr>
      </w:pPr>
      <w:r>
        <w:rPr>
          <w:rFonts w:ascii="Times New Roman" w:hAnsi="Times New Roman" w:cs="Times New Roman" w:hint="eastAsia"/>
          <w:noProof/>
        </w:rPr>
        <w:t xml:space="preserve">Source: </w:t>
      </w:r>
      <w:r w:rsidRPr="001A0ACA">
        <w:rPr>
          <w:rFonts w:ascii="Times New Roman" w:hAnsi="Times New Roman" w:cs="Times New Roman"/>
          <w:noProof/>
        </w:rPr>
        <w:t>General Administration of Customs of the People's Republic of China</w:t>
      </w:r>
      <w:r>
        <w:rPr>
          <w:rFonts w:ascii="Times New Roman" w:hAnsi="Times New Roman" w:cs="Times New Roman" w:hint="eastAsia"/>
          <w:noProof/>
        </w:rPr>
        <w:t>; Ministry of Finance of the People</w:t>
      </w:r>
      <w:r>
        <w:rPr>
          <w:rFonts w:ascii="Times New Roman" w:hAnsi="Times New Roman" w:cs="Times New Roman"/>
          <w:noProof/>
        </w:rPr>
        <w:t>’</w:t>
      </w:r>
      <w:r>
        <w:rPr>
          <w:rFonts w:ascii="Times New Roman" w:hAnsi="Times New Roman" w:cs="Times New Roman" w:hint="eastAsia"/>
          <w:noProof/>
        </w:rPr>
        <w:t>s Republic of China; World Trade Organization (WTO); author</w:t>
      </w:r>
      <w:r>
        <w:rPr>
          <w:rFonts w:ascii="Times New Roman" w:hAnsi="Times New Roman" w:cs="Times New Roman"/>
          <w:noProof/>
        </w:rPr>
        <w:t>’</w:t>
      </w:r>
      <w:r>
        <w:rPr>
          <w:rFonts w:ascii="Times New Roman" w:hAnsi="Times New Roman" w:cs="Times New Roman" w:hint="eastAsia"/>
          <w:noProof/>
        </w:rPr>
        <w:t>s calculations.</w:t>
      </w:r>
    </w:p>
    <w:p w14:paraId="0B1F2900" w14:textId="2BF874B7" w:rsidR="0030367E" w:rsidRDefault="0030367E" w:rsidP="0030367E">
      <w:pPr>
        <w:rPr>
          <w:rFonts w:ascii="Times New Roman" w:hAnsi="Times New Roman" w:cs="Times New Roman"/>
          <w:noProof/>
        </w:rPr>
      </w:pPr>
      <w:r>
        <w:rPr>
          <w:rFonts w:ascii="Times New Roman" w:hAnsi="Times New Roman" w:cs="Times New Roman" w:hint="eastAsia"/>
          <w:noProof/>
        </w:rPr>
        <w:t xml:space="preserve">Note: Relative proportional change in </w:t>
      </w:r>
      <w:r>
        <w:rPr>
          <w:rFonts w:ascii="Times New Roman" w:hAnsi="Times New Roman" w:cs="Times New Roman" w:hint="eastAsia"/>
          <w:noProof/>
        </w:rPr>
        <w:t>total</w:t>
      </w:r>
      <w:r>
        <w:rPr>
          <w:rFonts w:ascii="Times New Roman" w:hAnsi="Times New Roman" w:cs="Times New Roman" w:hint="eastAsia"/>
          <w:noProof/>
        </w:rPr>
        <w:t xml:space="preserve"> import </w:t>
      </w:r>
      <w:r>
        <w:rPr>
          <w:rFonts w:ascii="Times New Roman" w:hAnsi="Times New Roman" w:cs="Times New Roman" w:hint="eastAsia"/>
          <w:noProof/>
        </w:rPr>
        <w:t>values</w:t>
      </w:r>
      <w:r>
        <w:rPr>
          <w:rFonts w:ascii="Times New Roman" w:hAnsi="Times New Roman" w:cs="Times New Roman" w:hint="eastAsia"/>
          <w:noProof/>
        </w:rPr>
        <w:t xml:space="preserve"> of products from the U.S. to China  from 2015 to 2021 for products included in each retaliatory tariff wave and products not included in the waves. Products with </w:t>
      </w:r>
      <w:r>
        <w:rPr>
          <w:rFonts w:ascii="Times New Roman" w:hAnsi="Times New Roman" w:cs="Times New Roman" w:hint="eastAsia"/>
          <w:noProof/>
        </w:rPr>
        <w:t>in</w:t>
      </w:r>
      <w:r>
        <w:rPr>
          <w:rFonts w:ascii="Times New Roman" w:hAnsi="Times New Roman" w:cs="Times New Roman" w:hint="eastAsia"/>
          <w:noProof/>
        </w:rPr>
        <w:t>complete data between 2015 and 2021 are excluded. Import prices of each product are normalized according to the exchange rate of USD to CNY each year. Proportional changes are normalized to equal zero in 2017, the year before the trade war began.</w:t>
      </w:r>
    </w:p>
    <w:p w14:paraId="0055F158" w14:textId="7C1865CD" w:rsidR="005A51E9" w:rsidRDefault="005A51E9">
      <w:pPr>
        <w:widowControl/>
        <w:jc w:val="left"/>
        <w:rPr>
          <w:rFonts w:ascii="Times New Roman" w:hAnsi="Times New Roman" w:cs="Times New Roman"/>
          <w:noProof/>
        </w:rPr>
      </w:pPr>
      <w:r>
        <w:rPr>
          <w:rFonts w:ascii="Times New Roman" w:hAnsi="Times New Roman" w:cs="Times New Roman"/>
          <w:noProof/>
        </w:rPr>
        <w:br w:type="page"/>
      </w:r>
    </w:p>
    <w:p w14:paraId="4F066973" w14:textId="1D686A20" w:rsidR="005A51E9" w:rsidRPr="005A51E9" w:rsidRDefault="005A51E9">
      <w:pPr>
        <w:rPr>
          <w:rFonts w:ascii="Times New Roman" w:hAnsi="Times New Roman" w:cs="Times New Roman"/>
          <w:noProof/>
        </w:rPr>
      </w:pPr>
      <w:r w:rsidRPr="005A51E9">
        <w:rPr>
          <w:rFonts w:ascii="Times New Roman" w:hAnsi="Times New Roman" w:cs="Times New Roman" w:hint="eastAsia"/>
          <w:noProof/>
        </w:rPr>
        <w:lastRenderedPageBreak/>
        <w:t>Code and Data Availability</w:t>
      </w:r>
    </w:p>
    <w:p w14:paraId="4E40A012" w14:textId="77777777" w:rsidR="005A51E9" w:rsidRPr="001A0ACA" w:rsidRDefault="005A51E9">
      <w:pPr>
        <w:rPr>
          <w:rFonts w:ascii="Times New Roman" w:hAnsi="Times New Roman" w:cs="Times New Roman" w:hint="eastAsia"/>
          <w:noProof/>
        </w:rPr>
      </w:pPr>
    </w:p>
    <w:p w14:paraId="488CF833" w14:textId="01E69E56" w:rsidR="00FA5033" w:rsidRDefault="00FA5033"/>
    <w:p w14:paraId="397E65C6" w14:textId="77777777" w:rsidR="001A0ACA" w:rsidRDefault="001A0ACA"/>
    <w:sectPr w:rsidR="001A0ACA" w:rsidSect="001A0ACA">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CA"/>
    <w:rsid w:val="001A0ACA"/>
    <w:rsid w:val="0030367E"/>
    <w:rsid w:val="00342C1F"/>
    <w:rsid w:val="005A51E9"/>
    <w:rsid w:val="00873780"/>
    <w:rsid w:val="00885913"/>
    <w:rsid w:val="00D3240E"/>
    <w:rsid w:val="00D33747"/>
    <w:rsid w:val="00E41544"/>
    <w:rsid w:val="00EB2073"/>
    <w:rsid w:val="00FA50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7A7E7"/>
  <w15:chartTrackingRefBased/>
  <w15:docId w15:val="{0173A760-A37E-4683-AD63-AA9392DC6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3" Type="http://schemas.openxmlformats.org/officeDocument/2006/relationships/webSettings" Target="webSettings.xml"/><Relationship Id="rId7" Type="http://schemas.openxmlformats.org/officeDocument/2006/relationships/diagramColors" Target="diagrams/colors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fontTable" Target="fontTable.xml"/><Relationship Id="rId5" Type="http://schemas.openxmlformats.org/officeDocument/2006/relationships/diagramLayout" Target="diagrams/layout1.xml"/><Relationship Id="rId10" Type="http://schemas.openxmlformats.org/officeDocument/2006/relationships/image" Target="media/image2.png"/><Relationship Id="rId4" Type="http://schemas.openxmlformats.org/officeDocument/2006/relationships/diagramData" Target="diagrams/data1.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4FAA8-A472-4D87-B827-C5A107DF2DA5}" type="doc">
      <dgm:prSet loTypeId="urn:microsoft.com/office/officeart/2005/8/layout/process1" loCatId="process" qsTypeId="urn:microsoft.com/office/officeart/2005/8/quickstyle/simple1" qsCatId="simple" csTypeId="urn:microsoft.com/office/officeart/2005/8/colors/accent1_2" csCatId="accent1" phldr="1"/>
      <dgm:spPr/>
    </dgm:pt>
    <dgm:pt modelId="{92625CA0-6EB6-45BA-BAAE-789669DF1E52}">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pPr algn="ctr"/>
          <a:r>
            <a:rPr lang="en-US" sz="900" b="1"/>
            <a:t>Wave 1</a:t>
          </a:r>
        </a:p>
        <a:p>
          <a:pPr algn="ctr"/>
          <a:r>
            <a:rPr lang="en-US" sz="700" b="1"/>
            <a:t>March 23, 2018</a:t>
          </a:r>
        </a:p>
        <a:p>
          <a:pPr algn="ctr"/>
          <a:r>
            <a:rPr lang="en-US" sz="700" b="0" i="0" u="none"/>
            <a:t>Meat (25%)</a:t>
          </a:r>
        </a:p>
        <a:p>
          <a:pPr algn="ctr"/>
          <a:r>
            <a:rPr lang="en-US" sz="700" b="0" i="0" u="none"/>
            <a:t>Agricultural products, Metals, Chemicals (15%)</a:t>
          </a:r>
          <a:endParaRPr lang="en-US" sz="700"/>
        </a:p>
      </dgm:t>
    </dgm:pt>
    <dgm:pt modelId="{F18BA08D-F227-4777-BC3F-CCA5F8DBD4E9}" type="parTrans" cxnId="{31B93EA9-8FA1-462B-8E08-5F29DC05B0A1}">
      <dgm:prSet/>
      <dgm:spPr/>
      <dgm:t>
        <a:bodyPr/>
        <a:lstStyle/>
        <a:p>
          <a:endParaRPr lang="en-US"/>
        </a:p>
      </dgm:t>
    </dgm:pt>
    <dgm:pt modelId="{7D63F0BB-0EF8-42D9-BD69-830BEF260C7B}" type="sibTrans" cxnId="{31B93EA9-8FA1-462B-8E08-5F29DC05B0A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7681F982-1BEB-4B11-9A2D-E7458CC4B6E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2</a:t>
          </a:r>
        </a:p>
        <a:p>
          <a:r>
            <a:rPr lang="en-US" sz="700" b="1"/>
            <a:t>July 6, 2018</a:t>
          </a:r>
        </a:p>
        <a:p>
          <a:r>
            <a:rPr lang="en-US" sz="700" b="0" i="0" u="none"/>
            <a:t>Agricultural products, Automobiles, Chemicals, Medical Equipment, Energy Products (25%)</a:t>
          </a:r>
          <a:endParaRPr lang="en-US" sz="700"/>
        </a:p>
      </dgm:t>
    </dgm:pt>
    <dgm:pt modelId="{3A1265A9-3695-4EC5-9BC4-8FDC3851D5EE}" type="parTrans" cxnId="{B64105A0-8E80-48B9-981F-1B39F7821A59}">
      <dgm:prSet/>
      <dgm:spPr/>
      <dgm:t>
        <a:bodyPr/>
        <a:lstStyle/>
        <a:p>
          <a:endParaRPr lang="en-US"/>
        </a:p>
      </dgm:t>
    </dgm:pt>
    <dgm:pt modelId="{D4E564DC-4D1C-4A38-AEE4-E4913533E1D1}" type="sibTrans" cxnId="{B64105A0-8E80-48B9-981F-1B39F7821A59}">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67336553-0940-4F40-9016-96DFF135955E}">
      <dgm:prSet phldrT="[Tex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4</a:t>
          </a:r>
        </a:p>
        <a:p>
          <a:r>
            <a:rPr lang="en-US" sz="700" b="1"/>
            <a:t>June 1, 2019</a:t>
          </a:r>
        </a:p>
        <a:p>
          <a:r>
            <a:rPr lang="en-US" sz="700" b="0" i="0" u="none"/>
            <a:t>Metals, Machinery (25%)</a:t>
          </a:r>
        </a:p>
        <a:p>
          <a:r>
            <a:rPr lang="en-US" sz="700" b="0" i="0" u="none"/>
            <a:t>Electronic Components, Machinery (20%)</a:t>
          </a:r>
        </a:p>
        <a:p>
          <a:r>
            <a:rPr lang="en-US" sz="700" b="0" i="0" u="none"/>
            <a:t>Automobiles, Medical Equipment(10%)</a:t>
          </a:r>
        </a:p>
        <a:p>
          <a:r>
            <a:rPr lang="en-US" sz="700" b="0" i="0" u="none"/>
            <a:t>Textiles and Apparel, Footwear (5%)</a:t>
          </a:r>
          <a:endParaRPr lang="en-US" sz="700"/>
        </a:p>
      </dgm:t>
    </dgm:pt>
    <dgm:pt modelId="{871A6D14-732F-4EA6-8CAE-85DD1EF8505D}" type="parTrans" cxnId="{5E56AAAB-D954-4965-8116-D8A40455B5BD}">
      <dgm:prSet/>
      <dgm:spPr/>
      <dgm:t>
        <a:bodyPr/>
        <a:lstStyle/>
        <a:p>
          <a:endParaRPr lang="en-US"/>
        </a:p>
      </dgm:t>
    </dgm:pt>
    <dgm:pt modelId="{5A224D77-8D21-4838-B628-A73B2DC1FB71}" type="sibTrans" cxnId="{5E56AAAB-D954-4965-8116-D8A40455B5BD}">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A9F36783-4B9A-4A5E-94FE-4D1CDCADA572}">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3</a:t>
          </a:r>
        </a:p>
        <a:p>
          <a:r>
            <a:rPr lang="en-US" sz="700" b="1"/>
            <a:t>August 23 2018</a:t>
          </a:r>
        </a:p>
        <a:p>
          <a:r>
            <a:rPr lang="en-US" sz="700" b="0" i="0" u="none"/>
            <a:t>Agricultural products, Automobiles, Chemicals, Metals (25%)</a:t>
          </a:r>
          <a:endParaRPr lang="en-US" sz="700"/>
        </a:p>
        <a:p>
          <a:endParaRPr lang="en-US" sz="300"/>
        </a:p>
      </dgm:t>
    </dgm:pt>
    <dgm:pt modelId="{F32EF3B5-A3DE-48BA-AB4A-301FC660D1C0}" type="parTrans" cxnId="{E17DA033-8B4F-421D-8184-A7A6C1E036CB}">
      <dgm:prSet/>
      <dgm:spPr/>
      <dgm:t>
        <a:bodyPr/>
        <a:lstStyle/>
        <a:p>
          <a:endParaRPr lang="en-US"/>
        </a:p>
      </dgm:t>
    </dgm:pt>
    <dgm:pt modelId="{71B1D55A-F09A-48EF-9F4E-886A77DC4F4B}" type="sibTrans" cxnId="{E17DA033-8B4F-421D-8184-A7A6C1E036CB}">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US"/>
        </a:p>
      </dgm:t>
    </dgm:pt>
    <dgm:pt modelId="{00528F7A-789D-49BB-897F-232DF8D2283E}">
      <dgm:prSet custT="1">
        <dgm:style>
          <a:lnRef idx="2">
            <a:schemeClr val="dk1">
              <a:shade val="15000"/>
            </a:schemeClr>
          </a:lnRef>
          <a:fillRef idx="1">
            <a:schemeClr val="dk1"/>
          </a:fillRef>
          <a:effectRef idx="0">
            <a:schemeClr val="dk1"/>
          </a:effectRef>
          <a:fontRef idx="minor">
            <a:schemeClr val="lt1"/>
          </a:fontRef>
        </dgm:style>
      </dgm:prSet>
      <dgm:spPr/>
      <dgm:t>
        <a:bodyPr/>
        <a:lstStyle/>
        <a:p>
          <a:r>
            <a:rPr lang="en-US" sz="900" b="1"/>
            <a:t>Wave 5</a:t>
          </a:r>
        </a:p>
        <a:p>
          <a:r>
            <a:rPr lang="en-US" sz="700" b="1"/>
            <a:t>Feburary 15, 2020</a:t>
          </a:r>
        </a:p>
        <a:p>
          <a:r>
            <a:rPr lang="en-US" sz="700" b="0" i="0" u="none"/>
            <a:t>Agricultural products, Textiles and Apparel, Metals, Automobiles, Tools and Cutlery (10%)</a:t>
          </a:r>
        </a:p>
        <a:p>
          <a:r>
            <a:rPr lang="en-US" sz="700" b="0" i="0" u="none"/>
            <a:t>Chemicals, Seeds, Furniture (5%)</a:t>
          </a:r>
          <a:endParaRPr lang="en-US" sz="700"/>
        </a:p>
      </dgm:t>
    </dgm:pt>
    <dgm:pt modelId="{F98CB160-28FA-4EEF-875F-89170F0A0B86}" type="parTrans" cxnId="{C5B48D71-DB93-4334-B989-5B041666BA03}">
      <dgm:prSet/>
      <dgm:spPr/>
      <dgm:t>
        <a:bodyPr/>
        <a:lstStyle/>
        <a:p>
          <a:endParaRPr lang="en-US"/>
        </a:p>
      </dgm:t>
    </dgm:pt>
    <dgm:pt modelId="{6687B86E-C27E-466F-BBCA-ADBCD53BBD2A}" type="sibTrans" cxnId="{C5B48D71-DB93-4334-B989-5B041666BA03}">
      <dgm:prSet/>
      <dgm:spPr/>
      <dgm:t>
        <a:bodyPr/>
        <a:lstStyle/>
        <a:p>
          <a:endParaRPr lang="en-US"/>
        </a:p>
      </dgm:t>
    </dgm:pt>
    <dgm:pt modelId="{626F10A2-2A45-4181-8195-D7E0D15E87E9}" type="pres">
      <dgm:prSet presAssocID="{76F4FAA8-A472-4D87-B827-C5A107DF2DA5}" presName="Name0" presStyleCnt="0">
        <dgm:presLayoutVars>
          <dgm:dir/>
          <dgm:resizeHandles val="exact"/>
        </dgm:presLayoutVars>
      </dgm:prSet>
      <dgm:spPr/>
    </dgm:pt>
    <dgm:pt modelId="{F2EC29C7-1326-4D62-AE48-6706C5A57AC9}" type="pres">
      <dgm:prSet presAssocID="{92625CA0-6EB6-45BA-BAAE-789669DF1E52}" presName="node" presStyleLbl="node1" presStyleIdx="0" presStyleCnt="5">
        <dgm:presLayoutVars>
          <dgm:bulletEnabled val="1"/>
        </dgm:presLayoutVars>
      </dgm:prSet>
      <dgm:spPr/>
    </dgm:pt>
    <dgm:pt modelId="{744E0249-CEE0-4C3F-B816-D5785CEACD00}" type="pres">
      <dgm:prSet presAssocID="{7D63F0BB-0EF8-42D9-BD69-830BEF260C7B}" presName="sibTrans" presStyleLbl="sibTrans2D1" presStyleIdx="0" presStyleCnt="4"/>
      <dgm:spPr/>
    </dgm:pt>
    <dgm:pt modelId="{5E53D423-5A56-4673-9F89-A527BAEDD6FE}" type="pres">
      <dgm:prSet presAssocID="{7D63F0BB-0EF8-42D9-BD69-830BEF260C7B}" presName="connectorText" presStyleLbl="sibTrans2D1" presStyleIdx="0" presStyleCnt="4"/>
      <dgm:spPr/>
    </dgm:pt>
    <dgm:pt modelId="{8D5EEAA4-9278-4856-A166-34903ACC75A4}" type="pres">
      <dgm:prSet presAssocID="{7681F982-1BEB-4B11-9A2D-E7458CC4B6EE}" presName="node" presStyleLbl="node1" presStyleIdx="1" presStyleCnt="5">
        <dgm:presLayoutVars>
          <dgm:bulletEnabled val="1"/>
        </dgm:presLayoutVars>
      </dgm:prSet>
      <dgm:spPr/>
    </dgm:pt>
    <dgm:pt modelId="{347BAECB-170D-4E64-B485-9B55F054D033}" type="pres">
      <dgm:prSet presAssocID="{D4E564DC-4D1C-4A38-AEE4-E4913533E1D1}" presName="sibTrans" presStyleLbl="sibTrans2D1" presStyleIdx="1" presStyleCnt="4"/>
      <dgm:spPr/>
    </dgm:pt>
    <dgm:pt modelId="{A84B7C4F-B482-4128-A8C9-20D5F98485EA}" type="pres">
      <dgm:prSet presAssocID="{D4E564DC-4D1C-4A38-AEE4-E4913533E1D1}" presName="connectorText" presStyleLbl="sibTrans2D1" presStyleIdx="1" presStyleCnt="4"/>
      <dgm:spPr/>
    </dgm:pt>
    <dgm:pt modelId="{64C2B7F9-C91D-42BD-A49E-7F205C685B0E}" type="pres">
      <dgm:prSet presAssocID="{A9F36783-4B9A-4A5E-94FE-4D1CDCADA572}" presName="node" presStyleLbl="node1" presStyleIdx="2" presStyleCnt="5">
        <dgm:presLayoutVars>
          <dgm:bulletEnabled val="1"/>
        </dgm:presLayoutVars>
      </dgm:prSet>
      <dgm:spPr/>
    </dgm:pt>
    <dgm:pt modelId="{8315F854-33DE-4B6A-A628-857649B5897A}" type="pres">
      <dgm:prSet presAssocID="{71B1D55A-F09A-48EF-9F4E-886A77DC4F4B}" presName="sibTrans" presStyleLbl="sibTrans2D1" presStyleIdx="2" presStyleCnt="4"/>
      <dgm:spPr/>
    </dgm:pt>
    <dgm:pt modelId="{F1F7C7A0-64E2-4516-8588-F7652A0C6D95}" type="pres">
      <dgm:prSet presAssocID="{71B1D55A-F09A-48EF-9F4E-886A77DC4F4B}" presName="connectorText" presStyleLbl="sibTrans2D1" presStyleIdx="2" presStyleCnt="4"/>
      <dgm:spPr/>
    </dgm:pt>
    <dgm:pt modelId="{ED5A7201-631E-4EF9-9640-AC9ECE77A144}" type="pres">
      <dgm:prSet presAssocID="{67336553-0940-4F40-9016-96DFF135955E}" presName="node" presStyleLbl="node1" presStyleIdx="3" presStyleCnt="5">
        <dgm:presLayoutVars>
          <dgm:bulletEnabled val="1"/>
        </dgm:presLayoutVars>
      </dgm:prSet>
      <dgm:spPr/>
    </dgm:pt>
    <dgm:pt modelId="{4664129C-39CE-4885-9EE4-4FC5BD2E40AB}" type="pres">
      <dgm:prSet presAssocID="{5A224D77-8D21-4838-B628-A73B2DC1FB71}" presName="sibTrans" presStyleLbl="sibTrans2D1" presStyleIdx="3" presStyleCnt="4"/>
      <dgm:spPr/>
    </dgm:pt>
    <dgm:pt modelId="{341E9745-6B45-4525-8790-883946DBDED9}" type="pres">
      <dgm:prSet presAssocID="{5A224D77-8D21-4838-B628-A73B2DC1FB71}" presName="connectorText" presStyleLbl="sibTrans2D1" presStyleIdx="3" presStyleCnt="4"/>
      <dgm:spPr/>
    </dgm:pt>
    <dgm:pt modelId="{EDDEA990-5947-4301-86D9-9F925974B470}" type="pres">
      <dgm:prSet presAssocID="{00528F7A-789D-49BB-897F-232DF8D2283E}" presName="node" presStyleLbl="node1" presStyleIdx="4" presStyleCnt="5">
        <dgm:presLayoutVars>
          <dgm:bulletEnabled val="1"/>
        </dgm:presLayoutVars>
      </dgm:prSet>
      <dgm:spPr/>
    </dgm:pt>
  </dgm:ptLst>
  <dgm:cxnLst>
    <dgm:cxn modelId="{13CB0614-8523-4059-8445-32E5D50805BC}" type="presOf" srcId="{D4E564DC-4D1C-4A38-AEE4-E4913533E1D1}" destId="{A84B7C4F-B482-4128-A8C9-20D5F98485EA}" srcOrd="1" destOrd="0" presId="urn:microsoft.com/office/officeart/2005/8/layout/process1"/>
    <dgm:cxn modelId="{AE698619-DF68-4537-8C26-503EA62A72E1}" type="presOf" srcId="{71B1D55A-F09A-48EF-9F4E-886A77DC4F4B}" destId="{F1F7C7A0-64E2-4516-8588-F7652A0C6D95}" srcOrd="1" destOrd="0" presId="urn:microsoft.com/office/officeart/2005/8/layout/process1"/>
    <dgm:cxn modelId="{E17DA033-8B4F-421D-8184-A7A6C1E036CB}" srcId="{76F4FAA8-A472-4D87-B827-C5A107DF2DA5}" destId="{A9F36783-4B9A-4A5E-94FE-4D1CDCADA572}" srcOrd="2" destOrd="0" parTransId="{F32EF3B5-A3DE-48BA-AB4A-301FC660D1C0}" sibTransId="{71B1D55A-F09A-48EF-9F4E-886A77DC4F4B}"/>
    <dgm:cxn modelId="{0203323B-56AF-4218-8253-9720675852EE}" type="presOf" srcId="{7D63F0BB-0EF8-42D9-BD69-830BEF260C7B}" destId="{5E53D423-5A56-4673-9F89-A527BAEDD6FE}" srcOrd="1" destOrd="0" presId="urn:microsoft.com/office/officeart/2005/8/layout/process1"/>
    <dgm:cxn modelId="{10FA794F-DD93-4992-BB70-B71E83889B79}" type="presOf" srcId="{D4E564DC-4D1C-4A38-AEE4-E4913533E1D1}" destId="{347BAECB-170D-4E64-B485-9B55F054D033}" srcOrd="0" destOrd="0" presId="urn:microsoft.com/office/officeart/2005/8/layout/process1"/>
    <dgm:cxn modelId="{C5B48D71-DB93-4334-B989-5B041666BA03}" srcId="{76F4FAA8-A472-4D87-B827-C5A107DF2DA5}" destId="{00528F7A-789D-49BB-897F-232DF8D2283E}" srcOrd="4" destOrd="0" parTransId="{F98CB160-28FA-4EEF-875F-89170F0A0B86}" sibTransId="{6687B86E-C27E-466F-BBCA-ADBCD53BBD2A}"/>
    <dgm:cxn modelId="{1D40868A-903C-4D12-8508-D7A4E62DDCF5}" type="presOf" srcId="{5A224D77-8D21-4838-B628-A73B2DC1FB71}" destId="{341E9745-6B45-4525-8790-883946DBDED9}" srcOrd="1" destOrd="0" presId="urn:microsoft.com/office/officeart/2005/8/layout/process1"/>
    <dgm:cxn modelId="{B64105A0-8E80-48B9-981F-1B39F7821A59}" srcId="{76F4FAA8-A472-4D87-B827-C5A107DF2DA5}" destId="{7681F982-1BEB-4B11-9A2D-E7458CC4B6EE}" srcOrd="1" destOrd="0" parTransId="{3A1265A9-3695-4EC5-9BC4-8FDC3851D5EE}" sibTransId="{D4E564DC-4D1C-4A38-AEE4-E4913533E1D1}"/>
    <dgm:cxn modelId="{2AF189A0-6592-4A04-ACA9-361E58091E7B}" type="presOf" srcId="{71B1D55A-F09A-48EF-9F4E-886A77DC4F4B}" destId="{8315F854-33DE-4B6A-A628-857649B5897A}" srcOrd="0" destOrd="0" presId="urn:microsoft.com/office/officeart/2005/8/layout/process1"/>
    <dgm:cxn modelId="{31B93EA9-8FA1-462B-8E08-5F29DC05B0A1}" srcId="{76F4FAA8-A472-4D87-B827-C5A107DF2DA5}" destId="{92625CA0-6EB6-45BA-BAAE-789669DF1E52}" srcOrd="0" destOrd="0" parTransId="{F18BA08D-F227-4777-BC3F-CCA5F8DBD4E9}" sibTransId="{7D63F0BB-0EF8-42D9-BD69-830BEF260C7B}"/>
    <dgm:cxn modelId="{5E56AAAB-D954-4965-8116-D8A40455B5BD}" srcId="{76F4FAA8-A472-4D87-B827-C5A107DF2DA5}" destId="{67336553-0940-4F40-9016-96DFF135955E}" srcOrd="3" destOrd="0" parTransId="{871A6D14-732F-4EA6-8CAE-85DD1EF8505D}" sibTransId="{5A224D77-8D21-4838-B628-A73B2DC1FB71}"/>
    <dgm:cxn modelId="{930828B0-D036-4568-8530-840A16FDBD07}" type="presOf" srcId="{5A224D77-8D21-4838-B628-A73B2DC1FB71}" destId="{4664129C-39CE-4885-9EE4-4FC5BD2E40AB}" srcOrd="0" destOrd="0" presId="urn:microsoft.com/office/officeart/2005/8/layout/process1"/>
    <dgm:cxn modelId="{C00A6CB4-AFDE-468C-B14E-57B4256048A6}" type="presOf" srcId="{A9F36783-4B9A-4A5E-94FE-4D1CDCADA572}" destId="{64C2B7F9-C91D-42BD-A49E-7F205C685B0E}" srcOrd="0" destOrd="0" presId="urn:microsoft.com/office/officeart/2005/8/layout/process1"/>
    <dgm:cxn modelId="{67265DBF-E7A9-49B8-AAF6-0C3286DB1826}" type="presOf" srcId="{76F4FAA8-A472-4D87-B827-C5A107DF2DA5}" destId="{626F10A2-2A45-4181-8195-D7E0D15E87E9}" srcOrd="0" destOrd="0" presId="urn:microsoft.com/office/officeart/2005/8/layout/process1"/>
    <dgm:cxn modelId="{C52E2AC0-58EC-4D7C-95DA-AF10AB9C468C}" type="presOf" srcId="{92625CA0-6EB6-45BA-BAAE-789669DF1E52}" destId="{F2EC29C7-1326-4D62-AE48-6706C5A57AC9}" srcOrd="0" destOrd="0" presId="urn:microsoft.com/office/officeart/2005/8/layout/process1"/>
    <dgm:cxn modelId="{25B013DF-E09E-481D-A61D-FDE71E874075}" type="presOf" srcId="{7D63F0BB-0EF8-42D9-BD69-830BEF260C7B}" destId="{744E0249-CEE0-4C3F-B816-D5785CEACD00}" srcOrd="0" destOrd="0" presId="urn:microsoft.com/office/officeart/2005/8/layout/process1"/>
    <dgm:cxn modelId="{56D8FCE2-4E18-4D4A-85E0-FF28B9D19FB2}" type="presOf" srcId="{67336553-0940-4F40-9016-96DFF135955E}" destId="{ED5A7201-631E-4EF9-9640-AC9ECE77A144}" srcOrd="0" destOrd="0" presId="urn:microsoft.com/office/officeart/2005/8/layout/process1"/>
    <dgm:cxn modelId="{FA3385F0-A4E0-40EC-A02C-24D2C0B14FE3}" type="presOf" srcId="{7681F982-1BEB-4B11-9A2D-E7458CC4B6EE}" destId="{8D5EEAA4-9278-4856-A166-34903ACC75A4}" srcOrd="0" destOrd="0" presId="urn:microsoft.com/office/officeart/2005/8/layout/process1"/>
    <dgm:cxn modelId="{DFC9A9F2-9FA2-44DB-84F0-3848FEA4DE0D}" type="presOf" srcId="{00528F7A-789D-49BB-897F-232DF8D2283E}" destId="{EDDEA990-5947-4301-86D9-9F925974B470}" srcOrd="0" destOrd="0" presId="urn:microsoft.com/office/officeart/2005/8/layout/process1"/>
    <dgm:cxn modelId="{293FA215-377C-47EB-A363-8B85B3D35B1D}" type="presParOf" srcId="{626F10A2-2A45-4181-8195-D7E0D15E87E9}" destId="{F2EC29C7-1326-4D62-AE48-6706C5A57AC9}" srcOrd="0" destOrd="0" presId="urn:microsoft.com/office/officeart/2005/8/layout/process1"/>
    <dgm:cxn modelId="{4AF65FC8-801F-4E73-938D-7F9B8F8BA89A}" type="presParOf" srcId="{626F10A2-2A45-4181-8195-D7E0D15E87E9}" destId="{744E0249-CEE0-4C3F-B816-D5785CEACD00}" srcOrd="1" destOrd="0" presId="urn:microsoft.com/office/officeart/2005/8/layout/process1"/>
    <dgm:cxn modelId="{3002193D-0DB7-441B-BB1B-4D870EF96E62}" type="presParOf" srcId="{744E0249-CEE0-4C3F-B816-D5785CEACD00}" destId="{5E53D423-5A56-4673-9F89-A527BAEDD6FE}" srcOrd="0" destOrd="0" presId="urn:microsoft.com/office/officeart/2005/8/layout/process1"/>
    <dgm:cxn modelId="{61DC9DE9-F005-4AB7-84CB-8B52F3B7B9F3}" type="presParOf" srcId="{626F10A2-2A45-4181-8195-D7E0D15E87E9}" destId="{8D5EEAA4-9278-4856-A166-34903ACC75A4}" srcOrd="2" destOrd="0" presId="urn:microsoft.com/office/officeart/2005/8/layout/process1"/>
    <dgm:cxn modelId="{07F236A3-22CB-4FD7-852A-8DD627C21D71}" type="presParOf" srcId="{626F10A2-2A45-4181-8195-D7E0D15E87E9}" destId="{347BAECB-170D-4E64-B485-9B55F054D033}" srcOrd="3" destOrd="0" presId="urn:microsoft.com/office/officeart/2005/8/layout/process1"/>
    <dgm:cxn modelId="{3F35B915-DC25-4E86-B82E-71C67F481690}" type="presParOf" srcId="{347BAECB-170D-4E64-B485-9B55F054D033}" destId="{A84B7C4F-B482-4128-A8C9-20D5F98485EA}" srcOrd="0" destOrd="0" presId="urn:microsoft.com/office/officeart/2005/8/layout/process1"/>
    <dgm:cxn modelId="{F752AC29-3A34-4E49-A0C7-5B8A9F919AF3}" type="presParOf" srcId="{626F10A2-2A45-4181-8195-D7E0D15E87E9}" destId="{64C2B7F9-C91D-42BD-A49E-7F205C685B0E}" srcOrd="4" destOrd="0" presId="urn:microsoft.com/office/officeart/2005/8/layout/process1"/>
    <dgm:cxn modelId="{5262A1F9-2D69-46F9-BC14-F1EEFB80646D}" type="presParOf" srcId="{626F10A2-2A45-4181-8195-D7E0D15E87E9}" destId="{8315F854-33DE-4B6A-A628-857649B5897A}" srcOrd="5" destOrd="0" presId="urn:microsoft.com/office/officeart/2005/8/layout/process1"/>
    <dgm:cxn modelId="{C4036664-0CB8-4006-996F-72137E1FF267}" type="presParOf" srcId="{8315F854-33DE-4B6A-A628-857649B5897A}" destId="{F1F7C7A0-64E2-4516-8588-F7652A0C6D95}" srcOrd="0" destOrd="0" presId="urn:microsoft.com/office/officeart/2005/8/layout/process1"/>
    <dgm:cxn modelId="{9AF0A7F3-0FDB-4B16-96C3-5BED0F4E77D1}" type="presParOf" srcId="{626F10A2-2A45-4181-8195-D7E0D15E87E9}" destId="{ED5A7201-631E-4EF9-9640-AC9ECE77A144}" srcOrd="6" destOrd="0" presId="urn:microsoft.com/office/officeart/2005/8/layout/process1"/>
    <dgm:cxn modelId="{1D8F86E7-C59F-4509-A8E7-C04B841EE2FA}" type="presParOf" srcId="{626F10A2-2A45-4181-8195-D7E0D15E87E9}" destId="{4664129C-39CE-4885-9EE4-4FC5BD2E40AB}" srcOrd="7" destOrd="0" presId="urn:microsoft.com/office/officeart/2005/8/layout/process1"/>
    <dgm:cxn modelId="{1636B5C9-EBAE-467C-A327-AE8356B55AE9}" type="presParOf" srcId="{4664129C-39CE-4885-9EE4-4FC5BD2E40AB}" destId="{341E9745-6B45-4525-8790-883946DBDED9}" srcOrd="0" destOrd="0" presId="urn:microsoft.com/office/officeart/2005/8/layout/process1"/>
    <dgm:cxn modelId="{CE032672-764A-45EF-87E8-CE61A355A2F7}" type="presParOf" srcId="{626F10A2-2A45-4181-8195-D7E0D15E87E9}" destId="{EDDEA990-5947-4301-86D9-9F925974B470}" srcOrd="8" destOrd="0" presId="urn:microsoft.com/office/officeart/2005/8/layout/process1"/>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EC29C7-1326-4D62-AE48-6706C5A57AC9}">
      <dsp:nvSpPr>
        <dsp:cNvPr id="0" name=""/>
        <dsp:cNvSpPr/>
      </dsp:nvSpPr>
      <dsp:spPr>
        <a:xfrm>
          <a:off x="25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1</a:t>
          </a:r>
        </a:p>
        <a:p>
          <a:pPr marL="0" lvl="0" indent="0" algn="ctr" defTabSz="400050">
            <a:lnSpc>
              <a:spcPct val="90000"/>
            </a:lnSpc>
            <a:spcBef>
              <a:spcPct val="0"/>
            </a:spcBef>
            <a:spcAft>
              <a:spcPct val="35000"/>
            </a:spcAft>
            <a:buNone/>
          </a:pPr>
          <a:r>
            <a:rPr lang="en-US" sz="700" b="1" kern="1200"/>
            <a:t>March 23, 2018</a:t>
          </a:r>
        </a:p>
        <a:p>
          <a:pPr marL="0" lvl="0" indent="0" algn="ctr" defTabSz="400050">
            <a:lnSpc>
              <a:spcPct val="90000"/>
            </a:lnSpc>
            <a:spcBef>
              <a:spcPct val="0"/>
            </a:spcBef>
            <a:spcAft>
              <a:spcPct val="35000"/>
            </a:spcAft>
            <a:buNone/>
          </a:pPr>
          <a:r>
            <a:rPr lang="en-US" sz="700" b="0" i="0" u="none" kern="1200"/>
            <a:t>Meat (25%)</a:t>
          </a:r>
        </a:p>
        <a:p>
          <a:pPr marL="0" lvl="0" indent="0" algn="ctr" defTabSz="400050">
            <a:lnSpc>
              <a:spcPct val="90000"/>
            </a:lnSpc>
            <a:spcBef>
              <a:spcPct val="0"/>
            </a:spcBef>
            <a:spcAft>
              <a:spcPct val="35000"/>
            </a:spcAft>
            <a:buNone/>
          </a:pPr>
          <a:r>
            <a:rPr lang="en-US" sz="700" b="0" i="0" u="none" kern="1200"/>
            <a:t>Agricultural products, Metals, Chemicals (15%)</a:t>
          </a:r>
          <a:endParaRPr lang="en-US" sz="700" kern="1200"/>
        </a:p>
      </dsp:txBody>
      <dsp:txXfrm>
        <a:off x="25958" y="196709"/>
        <a:ext cx="751591" cy="1743198"/>
      </dsp:txXfrm>
    </dsp:sp>
    <dsp:sp modelId="{744E0249-CEE0-4C3F-B816-D5785CEACD00}">
      <dsp:nvSpPr>
        <dsp:cNvPr id="0" name=""/>
        <dsp:cNvSpPr/>
      </dsp:nvSpPr>
      <dsp:spPr>
        <a:xfrm>
          <a:off x="880768"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768" y="1008910"/>
        <a:ext cx="118476" cy="118796"/>
      </dsp:txXfrm>
    </dsp:sp>
    <dsp:sp modelId="{8D5EEAA4-9278-4856-A166-34903ACC75A4}">
      <dsp:nvSpPr>
        <dsp:cNvPr id="0" name=""/>
        <dsp:cNvSpPr/>
      </dsp:nvSpPr>
      <dsp:spPr>
        <a:xfrm>
          <a:off x="1120275"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2</a:t>
          </a:r>
        </a:p>
        <a:p>
          <a:pPr marL="0" lvl="0" indent="0" algn="ctr" defTabSz="400050">
            <a:lnSpc>
              <a:spcPct val="90000"/>
            </a:lnSpc>
            <a:spcBef>
              <a:spcPct val="0"/>
            </a:spcBef>
            <a:spcAft>
              <a:spcPct val="35000"/>
            </a:spcAft>
            <a:buNone/>
          </a:pPr>
          <a:r>
            <a:rPr lang="en-US" sz="700" b="1" kern="1200"/>
            <a:t>July 6, 2018</a:t>
          </a:r>
        </a:p>
        <a:p>
          <a:pPr marL="0" lvl="0" indent="0" algn="ctr" defTabSz="400050">
            <a:lnSpc>
              <a:spcPct val="90000"/>
            </a:lnSpc>
            <a:spcBef>
              <a:spcPct val="0"/>
            </a:spcBef>
            <a:spcAft>
              <a:spcPct val="35000"/>
            </a:spcAft>
            <a:buNone/>
          </a:pPr>
          <a:r>
            <a:rPr lang="en-US" sz="700" b="0" i="0" u="none" kern="1200"/>
            <a:t>Agricultural products, Automobiles, Chemicals, Medical Equipment, Energy Products (25%)</a:t>
          </a:r>
          <a:endParaRPr lang="en-US" sz="700" kern="1200"/>
        </a:p>
      </dsp:txBody>
      <dsp:txXfrm>
        <a:off x="1143658" y="196709"/>
        <a:ext cx="751591" cy="1743198"/>
      </dsp:txXfrm>
    </dsp:sp>
    <dsp:sp modelId="{347BAECB-170D-4E64-B485-9B55F054D033}">
      <dsp:nvSpPr>
        <dsp:cNvPr id="0" name=""/>
        <dsp:cNvSpPr/>
      </dsp:nvSpPr>
      <dsp:spPr>
        <a:xfrm>
          <a:off x="19984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469" y="1008910"/>
        <a:ext cx="118476" cy="118796"/>
      </dsp:txXfrm>
    </dsp:sp>
    <dsp:sp modelId="{64C2B7F9-C91D-42BD-A49E-7F205C685B0E}">
      <dsp:nvSpPr>
        <dsp:cNvPr id="0" name=""/>
        <dsp:cNvSpPr/>
      </dsp:nvSpPr>
      <dsp:spPr>
        <a:xfrm>
          <a:off x="22379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3</a:t>
          </a:r>
        </a:p>
        <a:p>
          <a:pPr marL="0" lvl="0" indent="0" algn="ctr" defTabSz="400050">
            <a:lnSpc>
              <a:spcPct val="90000"/>
            </a:lnSpc>
            <a:spcBef>
              <a:spcPct val="0"/>
            </a:spcBef>
            <a:spcAft>
              <a:spcPct val="35000"/>
            </a:spcAft>
            <a:buNone/>
          </a:pPr>
          <a:r>
            <a:rPr lang="en-US" sz="700" b="1" kern="1200"/>
            <a:t>August 23 2018</a:t>
          </a:r>
        </a:p>
        <a:p>
          <a:pPr marL="0" lvl="0" indent="0" algn="ctr" defTabSz="400050">
            <a:lnSpc>
              <a:spcPct val="90000"/>
            </a:lnSpc>
            <a:spcBef>
              <a:spcPct val="0"/>
            </a:spcBef>
            <a:spcAft>
              <a:spcPct val="35000"/>
            </a:spcAft>
            <a:buNone/>
          </a:pPr>
          <a:r>
            <a:rPr lang="en-US" sz="700" b="0" i="0" u="none" kern="1200"/>
            <a:t>Agricultural products, Automobiles, Chemicals, Metals (25%)</a:t>
          </a:r>
          <a:endParaRPr lang="en-US" sz="700" kern="1200"/>
        </a:p>
        <a:p>
          <a:pPr marL="0" lvl="0" indent="0" algn="ctr" defTabSz="400050">
            <a:lnSpc>
              <a:spcPct val="90000"/>
            </a:lnSpc>
            <a:spcBef>
              <a:spcPct val="0"/>
            </a:spcBef>
            <a:spcAft>
              <a:spcPct val="35000"/>
            </a:spcAft>
            <a:buNone/>
          </a:pPr>
          <a:endParaRPr lang="en-US" sz="300" kern="1200"/>
        </a:p>
      </dsp:txBody>
      <dsp:txXfrm>
        <a:off x="2261359" y="196709"/>
        <a:ext cx="751591" cy="1743198"/>
      </dsp:txXfrm>
    </dsp:sp>
    <dsp:sp modelId="{8315F854-33DE-4B6A-A628-857649B5897A}">
      <dsp:nvSpPr>
        <dsp:cNvPr id="0" name=""/>
        <dsp:cNvSpPr/>
      </dsp:nvSpPr>
      <dsp:spPr>
        <a:xfrm>
          <a:off x="31161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169" y="1008910"/>
        <a:ext cx="118476" cy="118796"/>
      </dsp:txXfrm>
    </dsp:sp>
    <dsp:sp modelId="{ED5A7201-631E-4EF9-9640-AC9ECE77A144}">
      <dsp:nvSpPr>
        <dsp:cNvPr id="0" name=""/>
        <dsp:cNvSpPr/>
      </dsp:nvSpPr>
      <dsp:spPr>
        <a:xfrm>
          <a:off x="3355676"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4</a:t>
          </a:r>
        </a:p>
        <a:p>
          <a:pPr marL="0" lvl="0" indent="0" algn="ctr" defTabSz="400050">
            <a:lnSpc>
              <a:spcPct val="90000"/>
            </a:lnSpc>
            <a:spcBef>
              <a:spcPct val="0"/>
            </a:spcBef>
            <a:spcAft>
              <a:spcPct val="35000"/>
            </a:spcAft>
            <a:buNone/>
          </a:pPr>
          <a:r>
            <a:rPr lang="en-US" sz="700" b="1" kern="1200"/>
            <a:t>June 1, 2019</a:t>
          </a:r>
        </a:p>
        <a:p>
          <a:pPr marL="0" lvl="0" indent="0" algn="ctr" defTabSz="400050">
            <a:lnSpc>
              <a:spcPct val="90000"/>
            </a:lnSpc>
            <a:spcBef>
              <a:spcPct val="0"/>
            </a:spcBef>
            <a:spcAft>
              <a:spcPct val="35000"/>
            </a:spcAft>
            <a:buNone/>
          </a:pPr>
          <a:r>
            <a:rPr lang="en-US" sz="700" b="0" i="0" u="none" kern="1200"/>
            <a:t>Metals, Machinery (25%)</a:t>
          </a:r>
        </a:p>
        <a:p>
          <a:pPr marL="0" lvl="0" indent="0" algn="ctr" defTabSz="400050">
            <a:lnSpc>
              <a:spcPct val="90000"/>
            </a:lnSpc>
            <a:spcBef>
              <a:spcPct val="0"/>
            </a:spcBef>
            <a:spcAft>
              <a:spcPct val="35000"/>
            </a:spcAft>
            <a:buNone/>
          </a:pPr>
          <a:r>
            <a:rPr lang="en-US" sz="700" b="0" i="0" u="none" kern="1200"/>
            <a:t>Electronic Components, Machinery (20%)</a:t>
          </a:r>
        </a:p>
        <a:p>
          <a:pPr marL="0" lvl="0" indent="0" algn="ctr" defTabSz="400050">
            <a:lnSpc>
              <a:spcPct val="90000"/>
            </a:lnSpc>
            <a:spcBef>
              <a:spcPct val="0"/>
            </a:spcBef>
            <a:spcAft>
              <a:spcPct val="35000"/>
            </a:spcAft>
            <a:buNone/>
          </a:pPr>
          <a:r>
            <a:rPr lang="en-US" sz="700" b="0" i="0" u="none" kern="1200"/>
            <a:t>Automobiles, Medical Equipment(10%)</a:t>
          </a:r>
        </a:p>
        <a:p>
          <a:pPr marL="0" lvl="0" indent="0" algn="ctr" defTabSz="400050">
            <a:lnSpc>
              <a:spcPct val="90000"/>
            </a:lnSpc>
            <a:spcBef>
              <a:spcPct val="0"/>
            </a:spcBef>
            <a:spcAft>
              <a:spcPct val="35000"/>
            </a:spcAft>
            <a:buNone/>
          </a:pPr>
          <a:r>
            <a:rPr lang="en-US" sz="700" b="0" i="0" u="none" kern="1200"/>
            <a:t>Textiles and Apparel, Footwear (5%)</a:t>
          </a:r>
          <a:endParaRPr lang="en-US" sz="700" kern="1200"/>
        </a:p>
      </dsp:txBody>
      <dsp:txXfrm>
        <a:off x="3379059" y="196709"/>
        <a:ext cx="751591" cy="1743198"/>
      </dsp:txXfrm>
    </dsp:sp>
    <dsp:sp modelId="{4664129C-39CE-4885-9EE4-4FC5BD2E40AB}">
      <dsp:nvSpPr>
        <dsp:cNvPr id="0" name=""/>
        <dsp:cNvSpPr/>
      </dsp:nvSpPr>
      <dsp:spPr>
        <a:xfrm>
          <a:off x="4233869" y="969312"/>
          <a:ext cx="169251" cy="197992"/>
        </a:xfrm>
        <a:prstGeom prst="rightArrow">
          <a:avLst>
            <a:gd name="adj1" fmla="val 60000"/>
            <a:gd name="adj2" fmla="val 5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3869" y="1008910"/>
        <a:ext cx="118476" cy="118796"/>
      </dsp:txXfrm>
    </dsp:sp>
    <dsp:sp modelId="{EDDEA990-5947-4301-86D9-9F925974B470}">
      <dsp:nvSpPr>
        <dsp:cNvPr id="0" name=""/>
        <dsp:cNvSpPr/>
      </dsp:nvSpPr>
      <dsp:spPr>
        <a:xfrm>
          <a:off x="4473377" y="173326"/>
          <a:ext cx="798357" cy="1789964"/>
        </a:xfrm>
        <a:prstGeom prst="roundRect">
          <a:avLst>
            <a:gd name="adj" fmla="val 10000"/>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Wave 5</a:t>
          </a:r>
        </a:p>
        <a:p>
          <a:pPr marL="0" lvl="0" indent="0" algn="ctr" defTabSz="400050">
            <a:lnSpc>
              <a:spcPct val="90000"/>
            </a:lnSpc>
            <a:spcBef>
              <a:spcPct val="0"/>
            </a:spcBef>
            <a:spcAft>
              <a:spcPct val="35000"/>
            </a:spcAft>
            <a:buNone/>
          </a:pPr>
          <a:r>
            <a:rPr lang="en-US" sz="700" b="1" kern="1200"/>
            <a:t>Feburary 15, 2020</a:t>
          </a:r>
        </a:p>
        <a:p>
          <a:pPr marL="0" lvl="0" indent="0" algn="ctr" defTabSz="400050">
            <a:lnSpc>
              <a:spcPct val="90000"/>
            </a:lnSpc>
            <a:spcBef>
              <a:spcPct val="0"/>
            </a:spcBef>
            <a:spcAft>
              <a:spcPct val="35000"/>
            </a:spcAft>
            <a:buNone/>
          </a:pPr>
          <a:r>
            <a:rPr lang="en-US" sz="700" b="0" i="0" u="none" kern="1200"/>
            <a:t>Agricultural products, Textiles and Apparel, Metals, Automobiles, Tools and Cutlery (10%)</a:t>
          </a:r>
        </a:p>
        <a:p>
          <a:pPr marL="0" lvl="0" indent="0" algn="ctr" defTabSz="400050">
            <a:lnSpc>
              <a:spcPct val="90000"/>
            </a:lnSpc>
            <a:spcBef>
              <a:spcPct val="0"/>
            </a:spcBef>
            <a:spcAft>
              <a:spcPct val="35000"/>
            </a:spcAft>
            <a:buNone/>
          </a:pPr>
          <a:r>
            <a:rPr lang="en-US" sz="700" b="0" i="0" u="none" kern="1200"/>
            <a:t>Chemicals, Seeds, Furniture (5%)</a:t>
          </a:r>
          <a:endParaRPr lang="en-US" sz="700" kern="1200"/>
        </a:p>
      </dsp:txBody>
      <dsp:txXfrm>
        <a:off x="4496760" y="196709"/>
        <a:ext cx="751591" cy="17431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4</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Jeffery</dc:creator>
  <cp:keywords/>
  <dc:description/>
  <cp:lastModifiedBy>Cui, Jeffery</cp:lastModifiedBy>
  <cp:revision>2</cp:revision>
  <dcterms:created xsi:type="dcterms:W3CDTF">2024-05-04T00:48:00Z</dcterms:created>
  <dcterms:modified xsi:type="dcterms:W3CDTF">2024-05-04T03:39:00Z</dcterms:modified>
</cp:coreProperties>
</file>