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E9E47" w14:textId="77777777" w:rsidR="00000000" w:rsidRDefault="00CE3E77">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E4AC150"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第一编·第一章·审计概述</w:t>
      </w:r>
    </w:p>
    <w:p w14:paraId="44E70AC1" w14:textId="77777777" w:rsidR="00000000" w:rsidRDefault="00CE3E77">
      <w:pPr>
        <w:pStyle w:val="a9"/>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E946F25"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4F78C0E6"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668D051A"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第三节　审计目标</w:t>
      </w:r>
    </w:p>
    <w:p w14:paraId="4B09B693"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一、审计的总体目标</w:t>
      </w:r>
    </w:p>
    <w:p w14:paraId="4EADF01B"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二、认定和具体审计目标</w:t>
      </w:r>
      <w:r>
        <w:rPr>
          <w:rFonts w:cs="Calibri" w:hint="eastAsia"/>
          <w:b/>
          <w:bCs/>
          <w:color w:val="FF0000"/>
          <w:sz w:val="21"/>
          <w:szCs w:val="21"/>
        </w:rPr>
        <w:t>（※※※）</w:t>
      </w:r>
    </w:p>
    <w:p w14:paraId="01E11953" w14:textId="77777777" w:rsidR="00000000" w:rsidRDefault="00CE3E7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一、审计的总体目标</w:t>
      </w:r>
    </w:p>
    <w:p w14:paraId="33952CA4"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总体目标的定义</w:t>
      </w:r>
    </w:p>
    <w:p w14:paraId="7CDE5EDA"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审计目标分为审计的总体目标和具体审计目标。审计的总体目标是指注册会计师为完成整体审计工作而达到的预期目的。</w:t>
      </w:r>
    </w:p>
    <w:p w14:paraId="79E9C8C7"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财务报表审计</w:t>
      </w:r>
      <w:r>
        <w:rPr>
          <w:rFonts w:cs="Calibri" w:hint="eastAsia"/>
          <w:color w:val="3F3F3F"/>
          <w:sz w:val="21"/>
          <w:szCs w:val="21"/>
        </w:rPr>
        <w:t>的两点总体目标</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234"/>
        <w:gridCol w:w="7271"/>
      </w:tblGrid>
      <w:tr w:rsidR="00000000" w14:paraId="4722DB25" w14:textId="77777777">
        <w:trPr>
          <w:trHeight w:val="119"/>
          <w:jc w:val="center"/>
        </w:trPr>
        <w:tc>
          <w:tcPr>
            <w:tcW w:w="1234"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vAlign w:val="center"/>
          </w:tcPr>
          <w:p w14:paraId="18C8769A"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w:t>
            </w:r>
          </w:p>
        </w:tc>
        <w:tc>
          <w:tcPr>
            <w:tcW w:w="7271" w:type="dxa"/>
            <w:tcBorders>
              <w:top w:val="single" w:sz="8" w:space="0" w:color="auto"/>
              <w:left w:val="nil"/>
              <w:bottom w:val="single" w:sz="8" w:space="0" w:color="auto"/>
              <w:right w:val="single" w:sz="8" w:space="0" w:color="auto"/>
            </w:tcBorders>
            <w:tcMar>
              <w:top w:w="96" w:type="dxa"/>
              <w:left w:w="192" w:type="dxa"/>
              <w:bottom w:w="96" w:type="dxa"/>
              <w:right w:w="192" w:type="dxa"/>
            </w:tcMar>
            <w:vAlign w:val="center"/>
          </w:tcPr>
          <w:p w14:paraId="5D7AB29B"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r>
      <w:tr w:rsidR="00000000" w14:paraId="5C17E0D0" w14:textId="77777777">
        <w:trPr>
          <w:trHeight w:val="419"/>
          <w:jc w:val="center"/>
        </w:trPr>
        <w:tc>
          <w:tcPr>
            <w:tcW w:w="1234"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F3DF76E"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发表意见</w:t>
            </w:r>
          </w:p>
        </w:tc>
        <w:tc>
          <w:tcPr>
            <w:tcW w:w="7271" w:type="dxa"/>
            <w:tcBorders>
              <w:top w:val="nil"/>
              <w:left w:val="nil"/>
              <w:bottom w:val="single" w:sz="8" w:space="0" w:color="auto"/>
              <w:right w:val="single" w:sz="8" w:space="0" w:color="auto"/>
            </w:tcBorders>
            <w:tcMar>
              <w:top w:w="96" w:type="dxa"/>
              <w:left w:w="192" w:type="dxa"/>
              <w:bottom w:w="96" w:type="dxa"/>
              <w:right w:w="192" w:type="dxa"/>
            </w:tcMar>
            <w:vAlign w:val="center"/>
          </w:tcPr>
          <w:p w14:paraId="2749FA66"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对财务报表整体是否不存在由于舞弊或错误导致的重大错报获取合理保证，使注册会计师能够对财务报表是否在所有重大方面按照适用的财务报告编制基础编制发表审计意见</w:t>
            </w:r>
            <w:r>
              <w:rPr>
                <w:rFonts w:cs="Calibri" w:hint="eastAsia"/>
                <w:b/>
                <w:bCs/>
                <w:color w:val="FF0000"/>
                <w:sz w:val="21"/>
                <w:szCs w:val="21"/>
              </w:rPr>
              <w:t>[</w:t>
            </w:r>
            <w:r>
              <w:rPr>
                <w:rFonts w:cs="Calibri" w:hint="eastAsia"/>
                <w:b/>
                <w:bCs/>
                <w:color w:val="FF0000"/>
                <w:sz w:val="21"/>
                <w:szCs w:val="21"/>
              </w:rPr>
              <w:t>必须明确：对什么发</w:t>
            </w:r>
            <w:r>
              <w:rPr>
                <w:rFonts w:cs="Calibri" w:hint="eastAsia"/>
                <w:b/>
                <w:bCs/>
                <w:color w:val="FF0000"/>
                <w:sz w:val="21"/>
                <w:szCs w:val="21"/>
              </w:rPr>
              <w:t>表审计意见？</w:t>
            </w:r>
            <w:r>
              <w:rPr>
                <w:rFonts w:cs="Calibri" w:hint="eastAsia"/>
                <w:b/>
                <w:bCs/>
                <w:color w:val="FF0000"/>
                <w:sz w:val="21"/>
                <w:szCs w:val="21"/>
              </w:rPr>
              <w:t>]</w:t>
            </w:r>
          </w:p>
        </w:tc>
      </w:tr>
      <w:tr w:rsidR="00000000" w14:paraId="7AD2F5BA" w14:textId="77777777">
        <w:trPr>
          <w:trHeight w:val="231"/>
          <w:jc w:val="center"/>
        </w:trPr>
        <w:tc>
          <w:tcPr>
            <w:tcW w:w="1234"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B186986"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出具报告</w:t>
            </w:r>
          </w:p>
        </w:tc>
        <w:tc>
          <w:tcPr>
            <w:tcW w:w="7271"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2950AFB"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按照审计准则的规定，根据审计结果对财务报表出具审计报告，并与管理层和治理层沟通</w:t>
            </w:r>
          </w:p>
        </w:tc>
      </w:tr>
    </w:tbl>
    <w:p w14:paraId="0A29E9C5" w14:textId="77777777" w:rsidR="00000000" w:rsidRDefault="00CE3E77">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04F9CE29"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对被审计单位内部控制是否存在值得关注的缺陷提供合理保证、发表审计意见，</w:t>
      </w:r>
      <w:r>
        <w:rPr>
          <w:rFonts w:cs="Calibri" w:hint="eastAsia"/>
          <w:b/>
          <w:bCs/>
          <w:color w:val="FF0000"/>
          <w:sz w:val="21"/>
          <w:szCs w:val="21"/>
        </w:rPr>
        <w:t>不是</w:t>
      </w:r>
      <w:r>
        <w:rPr>
          <w:rFonts w:cs="Calibri" w:hint="eastAsia"/>
          <w:color w:val="3F3F3F"/>
          <w:sz w:val="21"/>
          <w:szCs w:val="21"/>
        </w:rPr>
        <w:t>财务报表审计的总体目标。</w:t>
      </w:r>
      <w:r>
        <w:rPr>
          <w:rFonts w:ascii="Calibri" w:eastAsia="微软雅黑" w:hAnsi="Calibri" w:cs="Calibri"/>
          <w:color w:val="3F3F3F"/>
          <w:sz w:val="21"/>
          <w:szCs w:val="21"/>
        </w:rPr>
        <w:pict w14:anchorId="598AD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i1025" type="#_x0000_t75" alt="100506更新速度" style="width:387.75pt;height:12.75pt">
            <v:fill o:detectmouseclick="t"/>
            <v:imagedata r:id="rId6" o:title="100506更新速度"/>
          </v:shape>
        </w:pict>
      </w:r>
    </w:p>
    <w:p w14:paraId="7E66B915" w14:textId="77777777" w:rsidR="00000000" w:rsidRDefault="00CE3E7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5D751B1" w14:textId="77777777" w:rsidR="00000000" w:rsidRDefault="00CE3E7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2012</w:t>
      </w:r>
      <w:r>
        <w:rPr>
          <w:rFonts w:cs="Calibri" w:hint="eastAsia"/>
          <w:b/>
          <w:bCs/>
          <w:color w:val="3F3F3F"/>
          <w:sz w:val="21"/>
          <w:szCs w:val="21"/>
        </w:rPr>
        <w:t>年真题】</w:t>
      </w:r>
    </w:p>
    <w:p w14:paraId="7065BEE7"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关于注册会计师执行财务报表审计工作的总体目标，下列说法中，正确的有（　　）。</w:t>
      </w:r>
    </w:p>
    <w:p w14:paraId="0A598853"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对财务报表整体是否不存在重大错报获取合理保证，使得注册会计师能够对财务报表是否在所有重大方面按照适用的财务报告编制基础编制发表审计意见</w:t>
      </w:r>
    </w:p>
    <w:p w14:paraId="27CF9AEA"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对被审计单位的</w:t>
      </w:r>
      <w:r>
        <w:rPr>
          <w:rFonts w:cs="Calibri" w:hint="eastAsia"/>
          <w:color w:val="3F3F3F"/>
          <w:sz w:val="21"/>
          <w:szCs w:val="21"/>
        </w:rPr>
        <w:t>持续经营能力提供合理保证</w:t>
      </w:r>
    </w:p>
    <w:p w14:paraId="6276D6C7"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对被审计单位内部控制是否存在值得关注的缺陷提供合理保证</w:t>
      </w:r>
    </w:p>
    <w:p w14:paraId="041A6CFC"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按照审计准则的规定，根据审计结果对财务报表出具审计报告，并与管理层和治理层沟通</w:t>
      </w:r>
    </w:p>
    <w:p w14:paraId="04D3A71D"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46BEB36A"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执行财务报表审计工作的总体目标，是审计准则规范的内容，不具有灵活发挥的空间，同学们解答时要</w:t>
      </w:r>
      <w:r>
        <w:rPr>
          <w:rFonts w:cs="Calibri" w:hint="eastAsia"/>
          <w:b/>
          <w:bCs/>
          <w:color w:val="FF0000"/>
          <w:sz w:val="21"/>
          <w:szCs w:val="21"/>
        </w:rPr>
        <w:t>严格按照规范</w:t>
      </w:r>
      <w:r>
        <w:rPr>
          <w:rFonts w:cs="Calibri" w:hint="eastAsia"/>
          <w:color w:val="3F3F3F"/>
          <w:sz w:val="21"/>
          <w:szCs w:val="21"/>
        </w:rPr>
        <w:t>选择。</w:t>
      </w:r>
    </w:p>
    <w:p w14:paraId="1CF5C5F9" w14:textId="77777777" w:rsidR="00000000" w:rsidRDefault="00CE3E7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二、认定和具体审计目标</w:t>
      </w:r>
      <w:r>
        <w:rPr>
          <w:rFonts w:cs="Calibri" w:hint="eastAsia"/>
          <w:b/>
          <w:bCs/>
          <w:color w:val="FF0000"/>
          <w:sz w:val="21"/>
          <w:szCs w:val="21"/>
        </w:rPr>
        <w:t>【综合题必考点】</w:t>
      </w:r>
    </w:p>
    <w:p w14:paraId="1BB89A7B"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具体审计目标的定义</w:t>
      </w:r>
    </w:p>
    <w:p w14:paraId="140B1CEE"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具体审计目标是指注册会计师通过实施审计程序以确定管理层在财务报表中确认的各类交易、账户余额、披露层次认定是否恰当。注册会计师在了解每个项目的认定后</w:t>
      </w:r>
      <w:r>
        <w:rPr>
          <w:rFonts w:cs="Calibri" w:hint="eastAsia"/>
          <w:color w:val="3F3F3F"/>
          <w:sz w:val="21"/>
          <w:szCs w:val="21"/>
        </w:rPr>
        <w:t>，就很容易确定每个项目的具体目标。</w:t>
      </w:r>
    </w:p>
    <w:p w14:paraId="09618B70"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"http://webupload.admin.dongao.com/biz/handout/img/2019/20190416/20190416173424217001.png" \* MERGEFORMATINET </w:instrText>
      </w:r>
      <w:r>
        <w:rPr>
          <w:rFonts w:cs="Calibri"/>
          <w:color w:val="3F3F3F"/>
          <w:sz w:val="21"/>
          <w:szCs w:val="21"/>
        </w:rPr>
        <w:fldChar w:fldCharType="separate"/>
      </w:r>
      <w:r>
        <w:rPr>
          <w:rFonts w:cs="Calibri"/>
          <w:color w:val="3F3F3F"/>
          <w:sz w:val="21"/>
          <w:szCs w:val="21"/>
        </w:rPr>
        <w:pict w14:anchorId="3E187E5D">
          <v:shape id="图片 2" o:spid="_x0000_i1026" type="#_x0000_t75" style="width:420pt;height:422.25pt;mso-wrap-style:square;mso-position-horizontal-relative:page;mso-position-vertical-relative:page">
            <v:imagedata r:id="rId7" r:href="rId8"/>
          </v:shape>
        </w:pict>
      </w:r>
      <w:r>
        <w:rPr>
          <w:rFonts w:cs="Calibri"/>
          <w:color w:val="3F3F3F"/>
          <w:sz w:val="21"/>
          <w:szCs w:val="21"/>
        </w:rPr>
        <w:fldChar w:fldCharType="end"/>
      </w:r>
    </w:p>
    <w:p w14:paraId="7E2F0B45"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认定的含义</w:t>
      </w:r>
    </w:p>
    <w:p w14:paraId="6DD0501F"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认定是指管理层在财务报表中作出的明确或隐含的表达。</w:t>
      </w:r>
    </w:p>
    <w:p w14:paraId="6B9EB16A" w14:textId="77777777" w:rsidR="00000000" w:rsidRDefault="00CE3E77">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2092EF6"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理解认定的概念至关重要，是学习审计的基础。认定本质上就是一种</w:t>
      </w:r>
      <w:r>
        <w:rPr>
          <w:rFonts w:cs="Calibri" w:hint="eastAsia"/>
          <w:b/>
          <w:bCs/>
          <w:color w:val="FF0000"/>
          <w:sz w:val="21"/>
          <w:szCs w:val="21"/>
        </w:rPr>
        <w:t>意思的表示</w:t>
      </w:r>
      <w:r>
        <w:rPr>
          <w:rFonts w:cs="Calibri" w:hint="eastAsia"/>
          <w:color w:val="3F3F3F"/>
          <w:sz w:val="21"/>
          <w:szCs w:val="21"/>
        </w:rPr>
        <w:t>。通过阅读财务信息，我们就可以获取管理层表达的各类意思。</w:t>
      </w:r>
    </w:p>
    <w:p w14:paraId="755B6C27" w14:textId="77777777" w:rsidR="00000000" w:rsidRDefault="00CE3E7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w:t>
      </w:r>
      <w:r>
        <w:rPr>
          <w:rFonts w:cs="Calibri" w:hint="eastAsia"/>
          <w:color w:val="3F3F3F"/>
          <w:sz w:val="21"/>
          <w:szCs w:val="21"/>
        </w:rPr>
        <w:t>认定的类别</w:t>
      </w:r>
    </w:p>
    <w:tbl>
      <w:tblPr>
        <w:tblW w:w="0" w:type="auto"/>
        <w:jc w:val="center"/>
        <w:tblInd w:w="0" w:type="dxa"/>
        <w:tblLayout w:type="fixed"/>
        <w:tblCellMar>
          <w:left w:w="0" w:type="dxa"/>
          <w:right w:w="0" w:type="dxa"/>
        </w:tblCellMar>
        <w:tblLook w:val="0000" w:firstRow="0" w:lastRow="0" w:firstColumn="0" w:lastColumn="0" w:noHBand="0" w:noVBand="0"/>
      </w:tblPr>
      <w:tblGrid>
        <w:gridCol w:w="1209"/>
        <w:gridCol w:w="1301"/>
        <w:gridCol w:w="5995"/>
      </w:tblGrid>
      <w:tr w:rsidR="00000000" w14:paraId="153D02F4" w14:textId="77777777">
        <w:trPr>
          <w:trHeight w:val="113"/>
          <w:jc w:val="center"/>
        </w:trPr>
        <w:tc>
          <w:tcPr>
            <w:tcW w:w="120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4F511DBC"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两类认定</w:t>
            </w:r>
          </w:p>
        </w:tc>
        <w:tc>
          <w:tcPr>
            <w:tcW w:w="1301"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75EEA204"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具体名称</w:t>
            </w:r>
          </w:p>
        </w:tc>
        <w:tc>
          <w:tcPr>
            <w:tcW w:w="5995"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5ECA62CC"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r>
      <w:tr w:rsidR="00000000" w14:paraId="456876B6" w14:textId="77777777">
        <w:trPr>
          <w:trHeight w:val="113"/>
          <w:jc w:val="center"/>
        </w:trPr>
        <w:tc>
          <w:tcPr>
            <w:tcW w:w="1209" w:type="dxa"/>
            <w:vMerge w:val="restart"/>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0A7121F"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各类交易事项及相关披露的认定</w:t>
            </w:r>
          </w:p>
          <w:p w14:paraId="046F140B"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u w:val="single"/>
              </w:rPr>
              <w:t>（利润表）</w:t>
            </w: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3460A93D"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7B494852"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已发生，且与被审计单位有关</w:t>
            </w:r>
          </w:p>
        </w:tc>
      </w:tr>
      <w:tr w:rsidR="00000000" w14:paraId="076431B9" w14:textId="77777777">
        <w:trPr>
          <w:trHeight w:val="118"/>
          <w:jc w:val="center"/>
        </w:trPr>
        <w:tc>
          <w:tcPr>
            <w:tcW w:w="1209" w:type="dxa"/>
            <w:vMerge/>
            <w:tcBorders>
              <w:top w:val="nil"/>
              <w:left w:val="single" w:sz="8" w:space="0" w:color="auto"/>
              <w:bottom w:val="single" w:sz="8" w:space="0" w:color="auto"/>
              <w:right w:val="single" w:sz="8" w:space="0" w:color="auto"/>
            </w:tcBorders>
            <w:vAlign w:val="center"/>
          </w:tcPr>
          <w:p w14:paraId="539F06F2" w14:textId="77777777" w:rsidR="00000000" w:rsidRDefault="00CE3E77">
            <w:pPr>
              <w:rPr>
                <w:rFonts w:eastAsia="微软雅黑" w:cs="Calibri"/>
                <w:color w:val="333333"/>
                <w:szCs w:val="21"/>
              </w:rPr>
            </w:pP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16DA6229"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52F4761E"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已记录，相关披露均已包括</w:t>
            </w:r>
          </w:p>
        </w:tc>
      </w:tr>
      <w:tr w:rsidR="00000000" w14:paraId="2D32AC47" w14:textId="77777777">
        <w:trPr>
          <w:trHeight w:val="232"/>
          <w:jc w:val="center"/>
        </w:trPr>
        <w:tc>
          <w:tcPr>
            <w:tcW w:w="1209" w:type="dxa"/>
            <w:vMerge/>
            <w:tcBorders>
              <w:top w:val="nil"/>
              <w:left w:val="single" w:sz="8" w:space="0" w:color="auto"/>
              <w:bottom w:val="single" w:sz="8" w:space="0" w:color="auto"/>
              <w:right w:val="single" w:sz="8" w:space="0" w:color="auto"/>
            </w:tcBorders>
            <w:vAlign w:val="center"/>
          </w:tcPr>
          <w:p w14:paraId="29D42B00" w14:textId="77777777" w:rsidR="00000000" w:rsidRDefault="00CE3E77">
            <w:pPr>
              <w:rPr>
                <w:rFonts w:eastAsia="微软雅黑" w:cs="Calibri"/>
                <w:color w:val="333333"/>
                <w:szCs w:val="21"/>
              </w:rPr>
            </w:pP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4B825998"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准确性</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62B3F7B4"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有关的金额已恰当记录，相关披露已得到恰当计量和描述</w:t>
            </w:r>
          </w:p>
        </w:tc>
      </w:tr>
      <w:tr w:rsidR="00000000" w14:paraId="2CA584D6" w14:textId="77777777">
        <w:trPr>
          <w:trHeight w:val="118"/>
          <w:jc w:val="center"/>
        </w:trPr>
        <w:tc>
          <w:tcPr>
            <w:tcW w:w="1209" w:type="dxa"/>
            <w:vMerge/>
            <w:tcBorders>
              <w:top w:val="nil"/>
              <w:left w:val="single" w:sz="8" w:space="0" w:color="auto"/>
              <w:bottom w:val="single" w:sz="8" w:space="0" w:color="auto"/>
              <w:right w:val="single" w:sz="8" w:space="0" w:color="auto"/>
            </w:tcBorders>
            <w:vAlign w:val="center"/>
          </w:tcPr>
          <w:p w14:paraId="0C07EB40" w14:textId="77777777" w:rsidR="00000000" w:rsidRDefault="00CE3E77">
            <w:pPr>
              <w:rPr>
                <w:rFonts w:eastAsia="微软雅黑" w:cs="Calibri"/>
                <w:color w:val="333333"/>
                <w:szCs w:val="21"/>
              </w:rPr>
            </w:pP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26D8A65B"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截止</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6072BC0F"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已记录于正确的会计期间</w:t>
            </w:r>
          </w:p>
        </w:tc>
      </w:tr>
      <w:tr w:rsidR="00000000" w14:paraId="43DEF476" w14:textId="77777777">
        <w:trPr>
          <w:trHeight w:val="118"/>
          <w:jc w:val="center"/>
        </w:trPr>
        <w:tc>
          <w:tcPr>
            <w:tcW w:w="1209" w:type="dxa"/>
            <w:vMerge/>
            <w:tcBorders>
              <w:top w:val="nil"/>
              <w:left w:val="single" w:sz="8" w:space="0" w:color="auto"/>
              <w:bottom w:val="single" w:sz="8" w:space="0" w:color="auto"/>
              <w:right w:val="single" w:sz="8" w:space="0" w:color="auto"/>
            </w:tcBorders>
            <w:vAlign w:val="center"/>
          </w:tcPr>
          <w:p w14:paraId="64E5C31B" w14:textId="77777777" w:rsidR="00000000" w:rsidRDefault="00CE3E77">
            <w:pPr>
              <w:rPr>
                <w:rFonts w:eastAsia="微软雅黑" w:cs="Calibri"/>
                <w:color w:val="333333"/>
                <w:szCs w:val="21"/>
              </w:rPr>
            </w:pP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5D7AD9F1"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分类</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4D07EB69"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已记录于恰当的账户</w:t>
            </w:r>
          </w:p>
        </w:tc>
      </w:tr>
      <w:tr w:rsidR="00000000" w14:paraId="4D05D0EC" w14:textId="77777777">
        <w:trPr>
          <w:trHeight w:val="232"/>
          <w:jc w:val="center"/>
        </w:trPr>
        <w:tc>
          <w:tcPr>
            <w:tcW w:w="1209" w:type="dxa"/>
            <w:vMerge/>
            <w:tcBorders>
              <w:top w:val="nil"/>
              <w:left w:val="single" w:sz="8" w:space="0" w:color="auto"/>
              <w:bottom w:val="single" w:sz="8" w:space="0" w:color="auto"/>
              <w:right w:val="single" w:sz="8" w:space="0" w:color="auto"/>
            </w:tcBorders>
            <w:vAlign w:val="center"/>
          </w:tcPr>
          <w:p w14:paraId="5B551A1F" w14:textId="77777777" w:rsidR="00000000" w:rsidRDefault="00CE3E77">
            <w:pPr>
              <w:rPr>
                <w:rFonts w:eastAsia="微软雅黑" w:cs="Calibri"/>
                <w:color w:val="333333"/>
                <w:szCs w:val="21"/>
              </w:rPr>
            </w:pPr>
          </w:p>
        </w:tc>
        <w:tc>
          <w:tcPr>
            <w:tcW w:w="1301" w:type="dxa"/>
            <w:tcBorders>
              <w:top w:val="nil"/>
              <w:left w:val="nil"/>
              <w:bottom w:val="single" w:sz="8" w:space="0" w:color="auto"/>
              <w:right w:val="single" w:sz="8" w:space="0" w:color="auto"/>
            </w:tcBorders>
            <w:tcMar>
              <w:top w:w="15" w:type="dxa"/>
              <w:left w:w="108" w:type="dxa"/>
              <w:bottom w:w="0" w:type="dxa"/>
              <w:right w:w="108" w:type="dxa"/>
            </w:tcMar>
            <w:vAlign w:val="center"/>
          </w:tcPr>
          <w:p w14:paraId="6AD80D7F" w14:textId="77777777" w:rsidR="00000000" w:rsidRDefault="00CE3E7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列报</w:t>
            </w:r>
          </w:p>
        </w:tc>
        <w:tc>
          <w:tcPr>
            <w:tcW w:w="5995" w:type="dxa"/>
            <w:tcBorders>
              <w:top w:val="nil"/>
              <w:left w:val="nil"/>
              <w:bottom w:val="single" w:sz="8" w:space="0" w:color="auto"/>
              <w:right w:val="single" w:sz="8" w:space="0" w:color="auto"/>
            </w:tcBorders>
            <w:tcMar>
              <w:top w:w="15" w:type="dxa"/>
              <w:left w:w="108" w:type="dxa"/>
              <w:bottom w:w="0" w:type="dxa"/>
              <w:right w:w="108" w:type="dxa"/>
            </w:tcMar>
            <w:vAlign w:val="center"/>
          </w:tcPr>
          <w:p w14:paraId="7D8AB319" w14:textId="77777777" w:rsidR="00000000" w:rsidRDefault="00CE3E7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已被恰当地汇总或分解且表述清楚，相关披露是相关的、可理解的</w:t>
            </w:r>
          </w:p>
        </w:tc>
      </w:tr>
    </w:tbl>
    <w:p w14:paraId="732CDDE6"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w:instrText>
      </w:r>
      <w:r>
        <w:rPr>
          <w:rFonts w:ascii="Calibri" w:eastAsia="微软雅黑" w:hAnsi="Calibri" w:cs="Calibri"/>
          <w:color w:val="3F3F3F"/>
          <w:sz w:val="21"/>
          <w:szCs w:val="21"/>
        </w:rPr>
        <w:instrText xml:space="preserve">416/20190416173424377002.png"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CB49AF0">
          <v:shape id="图片 3" o:spid="_x0000_i1028" type="#_x0000_t75" style="width:420pt;height:255.7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1B49BD8A"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"http://webupload.admin.dongao.com/biz/handout/img/2019/20190416/20190416173424917003.png"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20pt;height:241.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76F909B5"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w:instrText>
      </w:r>
      <w:r>
        <w:rPr>
          <w:rFonts w:cs="Calibri"/>
          <w:color w:val="3F3F3F"/>
          <w:sz w:val="21"/>
          <w:szCs w:val="21"/>
        </w:rPr>
        <w:instrText xml:space="preserve">/20190416/20190416173424270004.png"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441pt;mso-wrap-style:square;mso-position-horizontal-relative:page;mso-position-vertical-relative:page">
            <v:imagedata r:id="rId13" r:href="rId14"/>
          </v:shape>
        </w:pict>
      </w:r>
      <w:r>
        <w:rPr>
          <w:rFonts w:cs="Calibri"/>
          <w:color w:val="3F3F3F"/>
          <w:sz w:val="21"/>
          <w:szCs w:val="21"/>
        </w:rPr>
        <w:fldChar w:fldCharType="end"/>
      </w:r>
    </w:p>
    <w:p w14:paraId="4AF655E5"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"http://webupload.admin.dongao.com/biz/handout/img/2019/20190416/20190416173424746005.png" \* MERGEFORMATINET </w:instrText>
      </w:r>
      <w:r>
        <w:rPr>
          <w:rFonts w:cs="Calibri"/>
          <w:color w:val="3F3F3F"/>
          <w:sz w:val="21"/>
          <w:szCs w:val="21"/>
        </w:rPr>
        <w:fldChar w:fldCharType="separate"/>
      </w:r>
      <w:r>
        <w:rPr>
          <w:rFonts w:cs="Calibri"/>
          <w:color w:val="3F3F3F"/>
          <w:sz w:val="21"/>
          <w:szCs w:val="21"/>
        </w:rPr>
        <w:pict>
          <v:shape id="图片 6" o:spid="_x0000_i1031" type="#_x0000_t75" style="width:420pt;height:357.75pt;mso-wrap-style:square;mso-position-horizontal-relative:page;mso-position-vertical-relative:page">
            <v:imagedata r:id="rId15" r:href="rId16"/>
          </v:shape>
        </w:pict>
      </w:r>
      <w:r>
        <w:rPr>
          <w:rFonts w:cs="Calibri"/>
          <w:color w:val="3F3F3F"/>
          <w:sz w:val="21"/>
          <w:szCs w:val="21"/>
        </w:rPr>
        <w:fldChar w:fldCharType="end"/>
      </w:r>
    </w:p>
    <w:p w14:paraId="674A16D1" w14:textId="77777777" w:rsidR="00000000" w:rsidRDefault="00CE3E7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w:instrText>
      </w:r>
      <w:r>
        <w:rPr>
          <w:rFonts w:ascii="Calibri" w:eastAsia="微软雅黑" w:hAnsi="Calibri" w:cs="Calibri"/>
          <w:color w:val="3F3F3F"/>
          <w:sz w:val="21"/>
          <w:szCs w:val="21"/>
        </w:rPr>
        <w:instrText xml:space="preserve">g/2019/20190416/20190416173424381006.png"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7" o:spid="_x0000_i1032" type="#_x0000_t75" style="width:420pt;height:298.5pt;mso-wrap-style:square;mso-position-horizontal-relative:page;mso-position-vertical-relative:page">
            <v:imagedata r:id="rId17" r:href="rId18"/>
          </v:shape>
        </w:pict>
      </w:r>
      <w:r>
        <w:rPr>
          <w:rFonts w:ascii="Calibri" w:eastAsia="微软雅黑" w:hAnsi="Calibri" w:cs="Calibri"/>
          <w:color w:val="3F3F3F"/>
          <w:sz w:val="21"/>
          <w:szCs w:val="21"/>
        </w:rPr>
        <w:fldChar w:fldCharType="end"/>
      </w:r>
    </w:p>
    <w:p w14:paraId="205A4DF5" w14:textId="77777777" w:rsidR="00000000" w:rsidRDefault="00CE3E77">
      <w:pPr>
        <w:shd w:val="clear" w:color="auto" w:fill="FFFFFF"/>
        <w:rPr>
          <w:rFonts w:ascii="微软雅黑" w:eastAsia="微软雅黑" w:hAnsi="微软雅黑" w:cs="宋体"/>
          <w:color w:val="3F3F3F"/>
          <w:szCs w:val="21"/>
        </w:rPr>
      </w:pPr>
    </w:p>
    <w:p w14:paraId="436D7769" w14:textId="77777777" w:rsidR="00000000" w:rsidRDefault="00CE3E77"/>
    <w:sectPr w:rsidR="00000000">
      <w:headerReference w:type="default" r:id="rId19"/>
      <w:footerReference w:type="default" r:id="rId20"/>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FE300" w14:textId="77777777" w:rsidR="00000000" w:rsidRDefault="00CE3E77">
      <w:r>
        <w:separator/>
      </w:r>
    </w:p>
  </w:endnote>
  <w:endnote w:type="continuationSeparator" w:id="0">
    <w:p w14:paraId="135154EC" w14:textId="77777777" w:rsidR="00000000" w:rsidRDefault="00CE3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3D580B20" w14:textId="77777777">
      <w:trPr>
        <w:trHeight w:val="274"/>
      </w:trPr>
      <w:tc>
        <w:tcPr>
          <w:tcW w:w="2050" w:type="dxa"/>
          <w:vAlign w:val="center"/>
        </w:tcPr>
        <w:p w14:paraId="1C12D475" w14:textId="77777777" w:rsidR="00000000" w:rsidRDefault="00CE3E77">
          <w:pPr>
            <w:jc w:val="left"/>
            <w:rPr>
              <w:rFonts w:ascii="楷体" w:eastAsia="楷体" w:hAnsi="楷体"/>
              <w:b/>
              <w:sz w:val="28"/>
              <w:szCs w:val="28"/>
            </w:rPr>
          </w:pPr>
          <w:r>
            <w:rPr>
              <w:lang w:val="en-US" w:eastAsia="zh-CN"/>
            </w:rPr>
            <w:pict w14:anchorId="45ED4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196D4766" w14:textId="77777777" w:rsidR="00000000" w:rsidRDefault="00CE3E77">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058E50E" w14:textId="77777777" w:rsidR="00000000" w:rsidRDefault="00CE3E77">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5AF9793" w14:textId="77777777" w:rsidR="00000000" w:rsidRDefault="00CE3E77">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8CB45" w14:textId="77777777" w:rsidR="00000000" w:rsidRDefault="00CE3E77">
      <w:r>
        <w:separator/>
      </w:r>
    </w:p>
  </w:footnote>
  <w:footnote w:type="continuationSeparator" w:id="0">
    <w:p w14:paraId="38CC5858" w14:textId="77777777" w:rsidR="00000000" w:rsidRDefault="00CE3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7332C63" w14:textId="77777777">
      <w:trPr>
        <w:trHeight w:val="501"/>
      </w:trPr>
      <w:tc>
        <w:tcPr>
          <w:tcW w:w="4272" w:type="dxa"/>
          <w:vAlign w:val="center"/>
        </w:tcPr>
        <w:p w14:paraId="02151198" w14:textId="77777777" w:rsidR="00000000" w:rsidRDefault="00CE3E77">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7D509363" w14:textId="77777777" w:rsidR="00000000" w:rsidRDefault="00CE3E77">
          <w:pPr>
            <w:wordWrap w:val="0"/>
            <w:jc w:val="right"/>
            <w:rPr>
              <w:rFonts w:ascii="微软雅黑" w:eastAsia="微软雅黑" w:hAnsi="微软雅黑"/>
              <w:sz w:val="24"/>
              <w:szCs w:val="24"/>
            </w:rPr>
          </w:pPr>
          <w:r>
            <w:rPr>
              <w:rFonts w:ascii="微软雅黑" w:eastAsia="微软雅黑" w:hAnsi="微软雅黑" w:hint="eastAsia"/>
              <w:sz w:val="24"/>
              <w:szCs w:val="24"/>
            </w:rPr>
            <w:t>其他章</w:t>
          </w:r>
        </w:p>
      </w:tc>
    </w:tr>
  </w:tbl>
  <w:p w14:paraId="213AA044" w14:textId="77777777" w:rsidR="00000000" w:rsidRDefault="00CE3E77">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CE3E77"/>
    <w:rsid w:val="00D14EEC"/>
    <w:rsid w:val="00D40C69"/>
    <w:rsid w:val="00D55E69"/>
    <w:rsid w:val="00D81614"/>
    <w:rsid w:val="00DA0E67"/>
    <w:rsid w:val="00DC6EA5"/>
    <w:rsid w:val="00E27FEA"/>
    <w:rsid w:val="00E91A26"/>
    <w:rsid w:val="00EC2EA7"/>
    <w:rsid w:val="00ED764B"/>
    <w:rsid w:val="00F4489B"/>
    <w:rsid w:val="00F86EF2"/>
    <w:rsid w:val="1A40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DCAB190"/>
  <w15:chartTrackingRefBased/>
  <w15:docId w15:val="{52CB7674-7EBE-45D7-A077-4260F7D3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416/20190416173424217001.png" TargetMode="External"/><Relationship Id="rId13" Type="http://schemas.openxmlformats.org/officeDocument/2006/relationships/image" Target="media/image5.png"/><Relationship Id="rId18" Type="http://schemas.openxmlformats.org/officeDocument/2006/relationships/image" Target="http://webupload.admin.dongao.com/biz/handout/img/2019/20190416/20190416173424381006.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http://webupload.admin.dongao.com/biz/handout/img/2019/20190416/20190416173424917003.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http://webupload.admin.dongao.com/biz/handout/img/2019/20190416/20190416173424746005.png"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http://webupload.admin.dongao.com/biz/handout/img/2019/20190416/20190416173424377002.png"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http://webupload.admin.dongao.com/biz/handout/img/2019/20190416/20190416173424270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