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5AF75" w14:textId="77777777" w:rsidR="00000000" w:rsidRDefault="00423821">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第一编·第二章·审计计划</w:t>
      </w:r>
    </w:p>
    <w:p w14:paraId="0398C71E" w14:textId="77777777" w:rsidR="00000000" w:rsidRDefault="00423821">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71B7270" w14:textId="77777777" w:rsidR="00000000" w:rsidRDefault="00423821">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总体审计策略和具体审计计划</w:t>
      </w:r>
    </w:p>
    <w:p w14:paraId="1301FBEE" w14:textId="77777777" w:rsidR="00000000" w:rsidRDefault="00423821">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一、总体审计策略</w:t>
      </w:r>
    </w:p>
    <w:p w14:paraId="4E2A875F" w14:textId="77777777" w:rsidR="00000000" w:rsidRDefault="00423821">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"http://webupload.admin.dongao.com/biz/handout/img/2019/20190419/20190419100839266001.jpg"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2B9F3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90.25pt;height:168.7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50983676"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A6E2EF2"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确定审计范围</w:t>
      </w:r>
    </w:p>
    <w:p w14:paraId="700BF133"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确定审计范围时，教材共列举</w:t>
      </w:r>
      <w:r>
        <w:rPr>
          <w:rFonts w:cs="Calibri" w:hint="eastAsia"/>
          <w:b/>
          <w:bCs/>
          <w:color w:val="FF0000"/>
          <w:sz w:val="21"/>
          <w:szCs w:val="21"/>
        </w:rPr>
        <w:t>14</w:t>
      </w:r>
      <w:r>
        <w:rPr>
          <w:rFonts w:cs="Calibri" w:hint="eastAsia"/>
          <w:b/>
          <w:bCs/>
          <w:color w:val="FF0000"/>
          <w:sz w:val="21"/>
          <w:szCs w:val="21"/>
        </w:rPr>
        <w:t>项</w:t>
      </w:r>
      <w:r>
        <w:rPr>
          <w:rFonts w:cs="Calibri" w:hint="eastAsia"/>
          <w:color w:val="3F3F3F"/>
          <w:sz w:val="21"/>
          <w:szCs w:val="21"/>
        </w:rPr>
        <w:t>考虑因素，将这些因素归纳为</w:t>
      </w:r>
      <w:r>
        <w:rPr>
          <w:rFonts w:cs="Calibri" w:hint="eastAsia"/>
          <w:b/>
          <w:bCs/>
          <w:color w:val="FF0000"/>
          <w:sz w:val="21"/>
          <w:szCs w:val="21"/>
        </w:rPr>
        <w:t>三类</w:t>
      </w:r>
      <w:r>
        <w:rPr>
          <w:rFonts w:cs="Calibri" w:hint="eastAsia"/>
          <w:color w:val="3F3F3F"/>
          <w:sz w:val="21"/>
          <w:szCs w:val="21"/>
        </w:rPr>
        <w:t>更易于理解：</w:t>
      </w:r>
    </w:p>
    <w:tbl>
      <w:tblPr>
        <w:tblW w:w="0" w:type="auto"/>
        <w:jc w:val="center"/>
        <w:tblInd w:w="0" w:type="dxa"/>
        <w:tblLayout w:type="fixed"/>
        <w:tblCellMar>
          <w:left w:w="0" w:type="dxa"/>
          <w:right w:w="0" w:type="dxa"/>
        </w:tblCellMar>
        <w:tblLook w:val="0000" w:firstRow="0" w:lastRow="0" w:firstColumn="0" w:lastColumn="0" w:noHBand="0" w:noVBand="0"/>
      </w:tblPr>
      <w:tblGrid>
        <w:gridCol w:w="595"/>
        <w:gridCol w:w="7910"/>
      </w:tblGrid>
      <w:tr w:rsidR="00000000" w14:paraId="681425ED" w14:textId="77777777">
        <w:trPr>
          <w:trHeight w:val="167"/>
          <w:jc w:val="center"/>
        </w:trPr>
        <w:tc>
          <w:tcPr>
            <w:tcW w:w="595" w:type="dxa"/>
            <w:tcBorders>
              <w:top w:val="single" w:sz="8" w:space="0" w:color="auto"/>
              <w:left w:val="single" w:sz="8" w:space="0" w:color="auto"/>
              <w:bottom w:val="single" w:sz="8" w:space="0" w:color="auto"/>
              <w:right w:val="single" w:sz="8" w:space="0" w:color="auto"/>
            </w:tcBorders>
            <w:tcMar>
              <w:top w:w="15" w:type="dxa"/>
              <w:left w:w="69" w:type="dxa"/>
              <w:bottom w:w="0" w:type="dxa"/>
              <w:right w:w="69" w:type="dxa"/>
            </w:tcMar>
            <w:vAlign w:val="center"/>
          </w:tcPr>
          <w:p w14:paraId="153111F7" w14:textId="77777777" w:rsidR="00000000" w:rsidRDefault="00423821">
            <w:pPr>
              <w:rPr>
                <w:rFonts w:eastAsia="微软雅黑" w:cs="Calibri"/>
                <w:color w:val="3F3F3F"/>
                <w:szCs w:val="21"/>
              </w:rPr>
            </w:pPr>
          </w:p>
        </w:tc>
        <w:tc>
          <w:tcPr>
            <w:tcW w:w="7910" w:type="dxa"/>
            <w:tcBorders>
              <w:top w:val="single" w:sz="8" w:space="0" w:color="auto"/>
              <w:left w:val="nil"/>
              <w:bottom w:val="single" w:sz="8" w:space="0" w:color="auto"/>
              <w:right w:val="single" w:sz="8" w:space="0" w:color="auto"/>
            </w:tcBorders>
            <w:tcMar>
              <w:top w:w="15" w:type="dxa"/>
              <w:left w:w="69" w:type="dxa"/>
              <w:bottom w:w="0" w:type="dxa"/>
              <w:right w:w="69" w:type="dxa"/>
            </w:tcMar>
            <w:vAlign w:val="center"/>
          </w:tcPr>
          <w:p w14:paraId="168ADB84"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01C85A2B" w14:textId="77777777">
        <w:trPr>
          <w:trHeight w:val="167"/>
          <w:jc w:val="center"/>
        </w:trPr>
        <w:tc>
          <w:tcPr>
            <w:tcW w:w="595" w:type="dxa"/>
            <w:vMerge w:val="restart"/>
            <w:tcBorders>
              <w:top w:val="nil"/>
              <w:left w:val="single" w:sz="8" w:space="0" w:color="auto"/>
              <w:bottom w:val="single" w:sz="8" w:space="0" w:color="auto"/>
              <w:right w:val="single" w:sz="8" w:space="0" w:color="auto"/>
            </w:tcBorders>
            <w:tcMar>
              <w:top w:w="15" w:type="dxa"/>
              <w:left w:w="69" w:type="dxa"/>
              <w:bottom w:w="0" w:type="dxa"/>
              <w:right w:w="69" w:type="dxa"/>
            </w:tcMar>
            <w:vAlign w:val="center"/>
          </w:tcPr>
          <w:p w14:paraId="67FFE02B"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通用考虑因素</w:t>
            </w:r>
          </w:p>
        </w:tc>
        <w:tc>
          <w:tcPr>
            <w:tcW w:w="7910" w:type="dxa"/>
            <w:tcBorders>
              <w:top w:val="nil"/>
              <w:left w:val="nil"/>
              <w:bottom w:val="single" w:sz="8" w:space="0" w:color="auto"/>
              <w:right w:val="single" w:sz="8" w:space="0" w:color="auto"/>
            </w:tcBorders>
            <w:tcMar>
              <w:top w:w="15" w:type="dxa"/>
              <w:left w:w="69" w:type="dxa"/>
              <w:bottom w:w="0" w:type="dxa"/>
              <w:right w:w="69" w:type="dxa"/>
            </w:tcMar>
            <w:vAlign w:val="center"/>
          </w:tcPr>
          <w:p w14:paraId="5E47C11D"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财务信息所依据的财务报告编</w:t>
            </w:r>
            <w:r>
              <w:rPr>
                <w:rFonts w:cs="Calibri" w:hint="eastAsia"/>
                <w:color w:val="333333"/>
                <w:sz w:val="21"/>
                <w:szCs w:val="21"/>
              </w:rPr>
              <w:t>制基础</w:t>
            </w:r>
          </w:p>
        </w:tc>
      </w:tr>
      <w:tr w:rsidR="00000000" w14:paraId="2426FCAE" w14:textId="77777777">
        <w:trPr>
          <w:trHeight w:val="353"/>
          <w:jc w:val="center"/>
        </w:trPr>
        <w:tc>
          <w:tcPr>
            <w:tcW w:w="595" w:type="dxa"/>
            <w:vMerge/>
            <w:tcBorders>
              <w:top w:val="nil"/>
              <w:left w:val="single" w:sz="8" w:space="0" w:color="auto"/>
              <w:bottom w:val="single" w:sz="8" w:space="0" w:color="auto"/>
              <w:right w:val="single" w:sz="8" w:space="0" w:color="auto"/>
            </w:tcBorders>
            <w:vAlign w:val="center"/>
          </w:tcPr>
          <w:p w14:paraId="7E37D4EC" w14:textId="77777777" w:rsidR="00000000" w:rsidRDefault="00423821">
            <w:pPr>
              <w:rPr>
                <w:rFonts w:eastAsia="微软雅黑" w:cs="Calibri"/>
                <w:color w:val="333333"/>
                <w:szCs w:val="21"/>
              </w:rPr>
            </w:pPr>
          </w:p>
        </w:tc>
        <w:tc>
          <w:tcPr>
            <w:tcW w:w="7910" w:type="dxa"/>
            <w:tcBorders>
              <w:top w:val="nil"/>
              <w:left w:val="nil"/>
              <w:bottom w:val="single" w:sz="8" w:space="0" w:color="auto"/>
              <w:right w:val="single" w:sz="8" w:space="0" w:color="auto"/>
            </w:tcBorders>
            <w:tcMar>
              <w:top w:w="15" w:type="dxa"/>
              <w:left w:w="69" w:type="dxa"/>
              <w:bottom w:w="0" w:type="dxa"/>
              <w:right w:w="69" w:type="dxa"/>
            </w:tcMar>
            <w:vAlign w:val="center"/>
          </w:tcPr>
          <w:p w14:paraId="3EF04F82"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特定行业的报告要求，如某些行业监管机构要求提交的报告</w:t>
            </w:r>
          </w:p>
        </w:tc>
      </w:tr>
      <w:tr w:rsidR="00000000" w14:paraId="05F10D1E" w14:textId="77777777">
        <w:trPr>
          <w:trHeight w:val="353"/>
          <w:jc w:val="center"/>
        </w:trPr>
        <w:tc>
          <w:tcPr>
            <w:tcW w:w="595" w:type="dxa"/>
            <w:vMerge/>
            <w:tcBorders>
              <w:top w:val="nil"/>
              <w:left w:val="single" w:sz="8" w:space="0" w:color="auto"/>
              <w:bottom w:val="single" w:sz="8" w:space="0" w:color="auto"/>
              <w:right w:val="single" w:sz="8" w:space="0" w:color="auto"/>
            </w:tcBorders>
            <w:vAlign w:val="center"/>
          </w:tcPr>
          <w:p w14:paraId="06B85982" w14:textId="77777777" w:rsidR="00000000" w:rsidRDefault="00423821">
            <w:pPr>
              <w:rPr>
                <w:rFonts w:eastAsia="微软雅黑" w:cs="Calibri"/>
                <w:color w:val="333333"/>
                <w:szCs w:val="21"/>
              </w:rPr>
            </w:pPr>
          </w:p>
        </w:tc>
        <w:tc>
          <w:tcPr>
            <w:tcW w:w="7910" w:type="dxa"/>
            <w:tcBorders>
              <w:top w:val="nil"/>
              <w:left w:val="nil"/>
              <w:bottom w:val="single" w:sz="8" w:space="0" w:color="auto"/>
              <w:right w:val="single" w:sz="8" w:space="0" w:color="auto"/>
            </w:tcBorders>
            <w:tcMar>
              <w:top w:w="15" w:type="dxa"/>
              <w:left w:w="69" w:type="dxa"/>
              <w:bottom w:w="0" w:type="dxa"/>
              <w:right w:w="69" w:type="dxa"/>
            </w:tcMar>
            <w:vAlign w:val="center"/>
          </w:tcPr>
          <w:p w14:paraId="694E8FD7"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对利用在以前审计工作中获取的审计证据（如获取的与风险评估程序和控制测试相关的审计证据）的预期</w:t>
            </w:r>
          </w:p>
        </w:tc>
      </w:tr>
    </w:tbl>
    <w:p w14:paraId="0B90DB7E" w14:textId="77777777" w:rsidR="00000000" w:rsidRDefault="00423821">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585"/>
        <w:gridCol w:w="7920"/>
      </w:tblGrid>
      <w:tr w:rsidR="00000000" w14:paraId="0CD2697E" w14:textId="77777777">
        <w:trPr>
          <w:trHeight w:val="127"/>
          <w:jc w:val="center"/>
        </w:trPr>
        <w:tc>
          <w:tcPr>
            <w:tcW w:w="585" w:type="dxa"/>
            <w:tcBorders>
              <w:top w:val="single" w:sz="8" w:space="0" w:color="auto"/>
              <w:left w:val="single" w:sz="8" w:space="0" w:color="auto"/>
              <w:bottom w:val="single" w:sz="8" w:space="0" w:color="auto"/>
              <w:right w:val="single" w:sz="8" w:space="0" w:color="auto"/>
            </w:tcBorders>
            <w:tcMar>
              <w:top w:w="15" w:type="dxa"/>
              <w:left w:w="69" w:type="dxa"/>
              <w:bottom w:w="0" w:type="dxa"/>
              <w:right w:w="69" w:type="dxa"/>
            </w:tcMar>
            <w:vAlign w:val="center"/>
          </w:tcPr>
          <w:p w14:paraId="4F412EF7" w14:textId="77777777" w:rsidR="00000000" w:rsidRDefault="00423821">
            <w:pPr>
              <w:rPr>
                <w:rFonts w:ascii="微软雅黑" w:eastAsia="微软雅黑" w:hAnsi="微软雅黑" w:cs="宋体"/>
                <w:color w:val="3F3F3F"/>
                <w:szCs w:val="21"/>
              </w:rPr>
            </w:pPr>
          </w:p>
        </w:tc>
        <w:tc>
          <w:tcPr>
            <w:tcW w:w="7920" w:type="dxa"/>
            <w:tcBorders>
              <w:top w:val="single" w:sz="8" w:space="0" w:color="auto"/>
              <w:left w:val="nil"/>
              <w:bottom w:val="single" w:sz="8" w:space="0" w:color="auto"/>
              <w:right w:val="single" w:sz="8" w:space="0" w:color="auto"/>
            </w:tcBorders>
            <w:tcMar>
              <w:top w:w="15" w:type="dxa"/>
              <w:left w:w="69" w:type="dxa"/>
              <w:bottom w:w="0" w:type="dxa"/>
              <w:right w:w="69" w:type="dxa"/>
            </w:tcMar>
            <w:vAlign w:val="center"/>
          </w:tcPr>
          <w:p w14:paraId="12B38A6E"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67E8E406" w14:textId="77777777">
        <w:trPr>
          <w:trHeight w:val="171"/>
          <w:jc w:val="center"/>
        </w:trPr>
        <w:tc>
          <w:tcPr>
            <w:tcW w:w="585" w:type="dxa"/>
            <w:vMerge w:val="restart"/>
            <w:tcBorders>
              <w:top w:val="nil"/>
              <w:left w:val="single" w:sz="8" w:space="0" w:color="auto"/>
              <w:bottom w:val="single" w:sz="8" w:space="0" w:color="auto"/>
              <w:right w:val="single" w:sz="8" w:space="0" w:color="auto"/>
            </w:tcBorders>
            <w:tcMar>
              <w:top w:w="15" w:type="dxa"/>
              <w:left w:w="69" w:type="dxa"/>
              <w:bottom w:w="0" w:type="dxa"/>
              <w:right w:w="69" w:type="dxa"/>
            </w:tcMar>
            <w:vAlign w:val="center"/>
          </w:tcPr>
          <w:p w14:paraId="7F25BDD8"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集团审计因素</w:t>
            </w:r>
          </w:p>
        </w:tc>
        <w:tc>
          <w:tcPr>
            <w:tcW w:w="7920" w:type="dxa"/>
            <w:tcBorders>
              <w:top w:val="nil"/>
              <w:left w:val="nil"/>
              <w:bottom w:val="single" w:sz="8" w:space="0" w:color="auto"/>
              <w:right w:val="single" w:sz="8" w:space="0" w:color="auto"/>
            </w:tcBorders>
            <w:tcMar>
              <w:top w:w="15" w:type="dxa"/>
              <w:left w:w="69" w:type="dxa"/>
              <w:bottom w:w="0" w:type="dxa"/>
              <w:right w:w="69" w:type="dxa"/>
            </w:tcMar>
            <w:vAlign w:val="center"/>
          </w:tcPr>
          <w:p w14:paraId="65F0F4B6"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预期审计工作涵盖的范围，包括应涵盖的组成部分的数量及所在地点</w:t>
            </w:r>
          </w:p>
        </w:tc>
      </w:tr>
      <w:tr w:rsidR="00000000" w14:paraId="39558E3F" w14:textId="77777777">
        <w:trPr>
          <w:trHeight w:val="270"/>
          <w:jc w:val="center"/>
        </w:trPr>
        <w:tc>
          <w:tcPr>
            <w:tcW w:w="585" w:type="dxa"/>
            <w:vMerge/>
            <w:tcBorders>
              <w:top w:val="nil"/>
              <w:left w:val="single" w:sz="8" w:space="0" w:color="auto"/>
              <w:bottom w:val="single" w:sz="8" w:space="0" w:color="auto"/>
              <w:right w:val="single" w:sz="8" w:space="0" w:color="auto"/>
            </w:tcBorders>
            <w:vAlign w:val="center"/>
          </w:tcPr>
          <w:p w14:paraId="6C80A852" w14:textId="77777777" w:rsidR="00000000" w:rsidRDefault="00423821">
            <w:pPr>
              <w:rPr>
                <w:rFonts w:eastAsia="微软雅黑" w:cs="Calibri"/>
                <w:color w:val="333333"/>
                <w:szCs w:val="21"/>
              </w:rPr>
            </w:pPr>
          </w:p>
        </w:tc>
        <w:tc>
          <w:tcPr>
            <w:tcW w:w="7920" w:type="dxa"/>
            <w:tcBorders>
              <w:top w:val="nil"/>
              <w:left w:val="nil"/>
              <w:bottom w:val="single" w:sz="8" w:space="0" w:color="auto"/>
              <w:right w:val="single" w:sz="8" w:space="0" w:color="auto"/>
            </w:tcBorders>
            <w:tcMar>
              <w:top w:w="15" w:type="dxa"/>
              <w:left w:w="69" w:type="dxa"/>
              <w:bottom w:w="0" w:type="dxa"/>
              <w:right w:w="69" w:type="dxa"/>
            </w:tcMar>
            <w:vAlign w:val="center"/>
          </w:tcPr>
          <w:p w14:paraId="1EC65271"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母公司和集团组成部分之间存在的控制关系的性质，以确定如何编制合并财务报表</w:t>
            </w:r>
          </w:p>
        </w:tc>
      </w:tr>
      <w:tr w:rsidR="00000000" w14:paraId="450BCD7B" w14:textId="77777777">
        <w:trPr>
          <w:trHeight w:val="127"/>
          <w:jc w:val="center"/>
        </w:trPr>
        <w:tc>
          <w:tcPr>
            <w:tcW w:w="585" w:type="dxa"/>
            <w:vMerge/>
            <w:tcBorders>
              <w:top w:val="nil"/>
              <w:left w:val="single" w:sz="8" w:space="0" w:color="auto"/>
              <w:bottom w:val="single" w:sz="8" w:space="0" w:color="auto"/>
              <w:right w:val="single" w:sz="8" w:space="0" w:color="auto"/>
            </w:tcBorders>
            <w:vAlign w:val="center"/>
          </w:tcPr>
          <w:p w14:paraId="223ECE85" w14:textId="77777777" w:rsidR="00000000" w:rsidRDefault="00423821">
            <w:pPr>
              <w:rPr>
                <w:rFonts w:eastAsia="微软雅黑" w:cs="Calibri"/>
                <w:color w:val="333333"/>
                <w:szCs w:val="21"/>
              </w:rPr>
            </w:pPr>
          </w:p>
        </w:tc>
        <w:tc>
          <w:tcPr>
            <w:tcW w:w="7920" w:type="dxa"/>
            <w:tcBorders>
              <w:top w:val="nil"/>
              <w:left w:val="nil"/>
              <w:bottom w:val="single" w:sz="8" w:space="0" w:color="auto"/>
              <w:right w:val="single" w:sz="8" w:space="0" w:color="auto"/>
            </w:tcBorders>
            <w:tcMar>
              <w:top w:w="15" w:type="dxa"/>
              <w:left w:w="69" w:type="dxa"/>
              <w:bottom w:w="0" w:type="dxa"/>
              <w:right w:w="69" w:type="dxa"/>
            </w:tcMar>
            <w:vAlign w:val="center"/>
          </w:tcPr>
          <w:p w14:paraId="5E8590AB"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w:t>
            </w:r>
            <w:r>
              <w:rPr>
                <w:rFonts w:cs="Calibri" w:hint="eastAsia"/>
                <w:color w:val="333333"/>
                <w:sz w:val="21"/>
                <w:szCs w:val="21"/>
              </w:rPr>
              <w:t>由组成部分注册会计师审计组成部分的范围</w:t>
            </w:r>
          </w:p>
        </w:tc>
      </w:tr>
      <w:tr w:rsidR="00000000" w14:paraId="7DF516EE" w14:textId="77777777">
        <w:trPr>
          <w:trHeight w:val="270"/>
          <w:jc w:val="center"/>
        </w:trPr>
        <w:tc>
          <w:tcPr>
            <w:tcW w:w="585" w:type="dxa"/>
            <w:vMerge/>
            <w:tcBorders>
              <w:top w:val="nil"/>
              <w:left w:val="single" w:sz="8" w:space="0" w:color="auto"/>
              <w:bottom w:val="single" w:sz="8" w:space="0" w:color="auto"/>
              <w:right w:val="single" w:sz="8" w:space="0" w:color="auto"/>
            </w:tcBorders>
            <w:vAlign w:val="center"/>
          </w:tcPr>
          <w:p w14:paraId="70D6CDF5" w14:textId="77777777" w:rsidR="00000000" w:rsidRDefault="00423821">
            <w:pPr>
              <w:rPr>
                <w:rFonts w:eastAsia="微软雅黑" w:cs="Calibri"/>
                <w:color w:val="333333"/>
                <w:szCs w:val="21"/>
              </w:rPr>
            </w:pPr>
          </w:p>
        </w:tc>
        <w:tc>
          <w:tcPr>
            <w:tcW w:w="7920" w:type="dxa"/>
            <w:tcBorders>
              <w:top w:val="nil"/>
              <w:left w:val="nil"/>
              <w:bottom w:val="single" w:sz="8" w:space="0" w:color="auto"/>
              <w:right w:val="single" w:sz="8" w:space="0" w:color="auto"/>
            </w:tcBorders>
            <w:tcMar>
              <w:top w:w="15" w:type="dxa"/>
              <w:left w:w="69" w:type="dxa"/>
              <w:bottom w:w="0" w:type="dxa"/>
              <w:right w:w="69" w:type="dxa"/>
            </w:tcMar>
            <w:vAlign w:val="center"/>
          </w:tcPr>
          <w:p w14:paraId="7BA82DE1"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w:t>
            </w:r>
            <w:r>
              <w:rPr>
                <w:rFonts w:cs="Calibri" w:hint="eastAsia"/>
                <w:color w:val="333333"/>
                <w:sz w:val="21"/>
                <w:szCs w:val="21"/>
              </w:rPr>
              <w:t>拟审计的经营分部的性质，包括是否需要具备专门知识</w:t>
            </w:r>
          </w:p>
        </w:tc>
      </w:tr>
      <w:tr w:rsidR="00000000" w14:paraId="79F83249" w14:textId="77777777">
        <w:trPr>
          <w:trHeight w:val="270"/>
          <w:jc w:val="center"/>
        </w:trPr>
        <w:tc>
          <w:tcPr>
            <w:tcW w:w="585" w:type="dxa"/>
            <w:vMerge/>
            <w:tcBorders>
              <w:top w:val="nil"/>
              <w:left w:val="single" w:sz="8" w:space="0" w:color="auto"/>
              <w:bottom w:val="single" w:sz="8" w:space="0" w:color="auto"/>
              <w:right w:val="single" w:sz="8" w:space="0" w:color="auto"/>
            </w:tcBorders>
            <w:vAlign w:val="center"/>
          </w:tcPr>
          <w:p w14:paraId="3E7DB4F4" w14:textId="77777777" w:rsidR="00000000" w:rsidRDefault="00423821">
            <w:pPr>
              <w:rPr>
                <w:rFonts w:eastAsia="微软雅黑" w:cs="Calibri"/>
                <w:color w:val="333333"/>
                <w:szCs w:val="21"/>
              </w:rPr>
            </w:pPr>
          </w:p>
        </w:tc>
        <w:tc>
          <w:tcPr>
            <w:tcW w:w="7920" w:type="dxa"/>
            <w:tcBorders>
              <w:top w:val="nil"/>
              <w:left w:val="nil"/>
              <w:bottom w:val="single" w:sz="8" w:space="0" w:color="auto"/>
              <w:right w:val="single" w:sz="8" w:space="0" w:color="auto"/>
            </w:tcBorders>
            <w:tcMar>
              <w:top w:w="15" w:type="dxa"/>
              <w:left w:w="69" w:type="dxa"/>
              <w:bottom w:w="0" w:type="dxa"/>
              <w:right w:w="69" w:type="dxa"/>
            </w:tcMar>
            <w:vAlign w:val="center"/>
          </w:tcPr>
          <w:p w14:paraId="7793BE4B"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w:t>
            </w:r>
            <w:r>
              <w:rPr>
                <w:rFonts w:cs="Calibri" w:hint="eastAsia"/>
                <w:color w:val="333333"/>
                <w:sz w:val="21"/>
                <w:szCs w:val="21"/>
              </w:rPr>
              <w:t>除为合并目的执行的审计工作之外，</w:t>
            </w:r>
            <w:r>
              <w:rPr>
                <w:rFonts w:cs="Calibri" w:hint="eastAsia"/>
                <w:color w:val="333333"/>
                <w:sz w:val="21"/>
                <w:szCs w:val="21"/>
              </w:rPr>
              <w:t>对个别财务报表进行法定审计的需求</w:t>
            </w:r>
          </w:p>
        </w:tc>
      </w:tr>
    </w:tbl>
    <w:p w14:paraId="41AE2237" w14:textId="77777777" w:rsidR="00000000" w:rsidRDefault="00423821">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599"/>
        <w:gridCol w:w="7906"/>
      </w:tblGrid>
      <w:tr w:rsidR="00000000" w14:paraId="0E050762" w14:textId="77777777">
        <w:trPr>
          <w:trHeight w:val="103"/>
          <w:jc w:val="center"/>
        </w:trPr>
        <w:tc>
          <w:tcPr>
            <w:tcW w:w="599" w:type="dxa"/>
            <w:tcBorders>
              <w:top w:val="single" w:sz="8" w:space="0" w:color="auto"/>
              <w:left w:val="single" w:sz="8" w:space="0" w:color="auto"/>
              <w:bottom w:val="single" w:sz="8" w:space="0" w:color="auto"/>
              <w:right w:val="single" w:sz="8" w:space="0" w:color="auto"/>
            </w:tcBorders>
            <w:tcMar>
              <w:top w:w="15" w:type="dxa"/>
              <w:left w:w="69" w:type="dxa"/>
              <w:bottom w:w="0" w:type="dxa"/>
              <w:right w:w="69" w:type="dxa"/>
            </w:tcMar>
            <w:vAlign w:val="center"/>
          </w:tcPr>
          <w:p w14:paraId="50637005" w14:textId="77777777" w:rsidR="00000000" w:rsidRDefault="00423821">
            <w:pPr>
              <w:rPr>
                <w:rFonts w:ascii="微软雅黑" w:eastAsia="微软雅黑" w:hAnsi="微软雅黑" w:cs="宋体"/>
                <w:color w:val="3F3F3F"/>
                <w:szCs w:val="21"/>
              </w:rPr>
            </w:pPr>
          </w:p>
        </w:tc>
        <w:tc>
          <w:tcPr>
            <w:tcW w:w="7906" w:type="dxa"/>
            <w:tcBorders>
              <w:top w:val="single" w:sz="8" w:space="0" w:color="auto"/>
              <w:left w:val="nil"/>
              <w:bottom w:val="single" w:sz="8" w:space="0" w:color="auto"/>
              <w:right w:val="single" w:sz="8" w:space="0" w:color="auto"/>
            </w:tcBorders>
            <w:tcMar>
              <w:top w:w="15" w:type="dxa"/>
              <w:left w:w="69" w:type="dxa"/>
              <w:bottom w:w="0" w:type="dxa"/>
              <w:right w:w="69" w:type="dxa"/>
            </w:tcMar>
            <w:vAlign w:val="center"/>
          </w:tcPr>
          <w:p w14:paraId="11CD5A11"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362846BD" w14:textId="77777777">
        <w:trPr>
          <w:trHeight w:val="218"/>
          <w:jc w:val="center"/>
        </w:trPr>
        <w:tc>
          <w:tcPr>
            <w:tcW w:w="599" w:type="dxa"/>
            <w:vMerge w:val="restart"/>
            <w:tcBorders>
              <w:top w:val="nil"/>
              <w:left w:val="single" w:sz="8" w:space="0" w:color="auto"/>
              <w:bottom w:val="single" w:sz="8" w:space="0" w:color="auto"/>
              <w:right w:val="single" w:sz="8" w:space="0" w:color="auto"/>
            </w:tcBorders>
            <w:tcMar>
              <w:top w:w="15" w:type="dxa"/>
              <w:left w:w="69" w:type="dxa"/>
              <w:bottom w:w="0" w:type="dxa"/>
              <w:right w:w="69" w:type="dxa"/>
            </w:tcMar>
            <w:vAlign w:val="center"/>
          </w:tcPr>
          <w:p w14:paraId="71F8FFD5"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工作环境因素</w:t>
            </w:r>
          </w:p>
        </w:tc>
        <w:tc>
          <w:tcPr>
            <w:tcW w:w="7906" w:type="dxa"/>
            <w:tcBorders>
              <w:top w:val="nil"/>
              <w:left w:val="nil"/>
              <w:bottom w:val="single" w:sz="8" w:space="0" w:color="auto"/>
              <w:right w:val="single" w:sz="8" w:space="0" w:color="auto"/>
            </w:tcBorders>
            <w:tcMar>
              <w:top w:w="15" w:type="dxa"/>
              <w:left w:w="69" w:type="dxa"/>
              <w:bottom w:w="0" w:type="dxa"/>
              <w:right w:w="69" w:type="dxa"/>
            </w:tcMar>
            <w:vAlign w:val="center"/>
          </w:tcPr>
          <w:p w14:paraId="787B8849"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(9)</w:t>
            </w:r>
            <w:r>
              <w:rPr>
                <w:rFonts w:cs="Calibri" w:hint="eastAsia"/>
                <w:color w:val="333333"/>
                <w:sz w:val="21"/>
                <w:szCs w:val="21"/>
              </w:rPr>
              <w:t>外币折算，包括外币交易的会计处理、外币财务报表的折算和相关信息的披露</w:t>
            </w:r>
          </w:p>
        </w:tc>
      </w:tr>
      <w:tr w:rsidR="00000000" w14:paraId="0D7DB872" w14:textId="77777777">
        <w:trPr>
          <w:trHeight w:val="218"/>
          <w:jc w:val="center"/>
        </w:trPr>
        <w:tc>
          <w:tcPr>
            <w:tcW w:w="599" w:type="dxa"/>
            <w:vMerge/>
            <w:tcBorders>
              <w:top w:val="nil"/>
              <w:left w:val="single" w:sz="8" w:space="0" w:color="auto"/>
              <w:bottom w:val="single" w:sz="8" w:space="0" w:color="auto"/>
              <w:right w:val="single" w:sz="8" w:space="0" w:color="auto"/>
            </w:tcBorders>
            <w:vAlign w:val="center"/>
          </w:tcPr>
          <w:p w14:paraId="422EA1FE" w14:textId="77777777" w:rsidR="00000000" w:rsidRDefault="00423821">
            <w:pPr>
              <w:rPr>
                <w:rFonts w:eastAsia="微软雅黑" w:cs="Calibri"/>
                <w:color w:val="333333"/>
                <w:szCs w:val="21"/>
              </w:rPr>
            </w:pPr>
          </w:p>
        </w:tc>
        <w:tc>
          <w:tcPr>
            <w:tcW w:w="7906" w:type="dxa"/>
            <w:tcBorders>
              <w:top w:val="nil"/>
              <w:left w:val="nil"/>
              <w:bottom w:val="single" w:sz="8" w:space="0" w:color="auto"/>
              <w:right w:val="single" w:sz="8" w:space="0" w:color="auto"/>
            </w:tcBorders>
            <w:tcMar>
              <w:top w:w="15" w:type="dxa"/>
              <w:left w:w="69" w:type="dxa"/>
              <w:bottom w:w="0" w:type="dxa"/>
              <w:right w:w="69" w:type="dxa"/>
            </w:tcMar>
            <w:vAlign w:val="center"/>
          </w:tcPr>
          <w:p w14:paraId="1209653E"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(10)</w:t>
            </w:r>
            <w:r>
              <w:rPr>
                <w:rFonts w:cs="Calibri" w:hint="eastAsia"/>
                <w:color w:val="333333"/>
                <w:sz w:val="21"/>
                <w:szCs w:val="21"/>
              </w:rPr>
              <w:t>内部审计工作的可获得性及注册会计师拟信赖内部审计工作的程度</w:t>
            </w:r>
          </w:p>
        </w:tc>
      </w:tr>
      <w:tr w:rsidR="00000000" w14:paraId="26E92027" w14:textId="77777777">
        <w:trPr>
          <w:trHeight w:val="334"/>
          <w:jc w:val="center"/>
        </w:trPr>
        <w:tc>
          <w:tcPr>
            <w:tcW w:w="599" w:type="dxa"/>
            <w:vMerge/>
            <w:tcBorders>
              <w:top w:val="nil"/>
              <w:left w:val="single" w:sz="8" w:space="0" w:color="auto"/>
              <w:bottom w:val="single" w:sz="8" w:space="0" w:color="auto"/>
              <w:right w:val="single" w:sz="8" w:space="0" w:color="auto"/>
            </w:tcBorders>
            <w:vAlign w:val="center"/>
          </w:tcPr>
          <w:p w14:paraId="2B199461" w14:textId="77777777" w:rsidR="00000000" w:rsidRDefault="00423821">
            <w:pPr>
              <w:rPr>
                <w:rFonts w:eastAsia="微软雅黑" w:cs="Calibri"/>
                <w:color w:val="333333"/>
                <w:szCs w:val="21"/>
              </w:rPr>
            </w:pPr>
          </w:p>
        </w:tc>
        <w:tc>
          <w:tcPr>
            <w:tcW w:w="7906" w:type="dxa"/>
            <w:tcBorders>
              <w:top w:val="nil"/>
              <w:left w:val="nil"/>
              <w:bottom w:val="single" w:sz="8" w:space="0" w:color="auto"/>
              <w:right w:val="single" w:sz="8" w:space="0" w:color="auto"/>
            </w:tcBorders>
            <w:tcMar>
              <w:top w:w="15" w:type="dxa"/>
              <w:left w:w="69" w:type="dxa"/>
              <w:bottom w:w="0" w:type="dxa"/>
              <w:right w:w="69" w:type="dxa"/>
            </w:tcMar>
            <w:vAlign w:val="center"/>
          </w:tcPr>
          <w:p w14:paraId="0F5E121A"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(11)</w:t>
            </w:r>
            <w:r>
              <w:rPr>
                <w:rFonts w:cs="Calibri" w:hint="eastAsia"/>
                <w:color w:val="333333"/>
                <w:sz w:val="21"/>
                <w:szCs w:val="21"/>
              </w:rPr>
              <w:t>被审计单位使用服务机构的情况，及注册会计师如何取得有关服务机构内部控制设计和运行有效性的证据</w:t>
            </w:r>
          </w:p>
        </w:tc>
      </w:tr>
      <w:tr w:rsidR="00000000" w14:paraId="1A7FB2B6" w14:textId="77777777">
        <w:trPr>
          <w:trHeight w:val="605"/>
          <w:jc w:val="center"/>
        </w:trPr>
        <w:tc>
          <w:tcPr>
            <w:tcW w:w="599" w:type="dxa"/>
            <w:vMerge/>
            <w:tcBorders>
              <w:top w:val="nil"/>
              <w:left w:val="single" w:sz="8" w:space="0" w:color="auto"/>
              <w:bottom w:val="single" w:sz="8" w:space="0" w:color="auto"/>
              <w:right w:val="single" w:sz="8" w:space="0" w:color="auto"/>
            </w:tcBorders>
            <w:vAlign w:val="center"/>
          </w:tcPr>
          <w:p w14:paraId="58832E31" w14:textId="77777777" w:rsidR="00000000" w:rsidRDefault="00423821">
            <w:pPr>
              <w:rPr>
                <w:rFonts w:eastAsia="微软雅黑" w:cs="Calibri"/>
                <w:color w:val="333333"/>
                <w:szCs w:val="21"/>
              </w:rPr>
            </w:pPr>
          </w:p>
        </w:tc>
        <w:tc>
          <w:tcPr>
            <w:tcW w:w="7906" w:type="dxa"/>
            <w:tcBorders>
              <w:top w:val="nil"/>
              <w:left w:val="nil"/>
              <w:bottom w:val="single" w:sz="8" w:space="0" w:color="auto"/>
              <w:right w:val="single" w:sz="8" w:space="0" w:color="auto"/>
            </w:tcBorders>
            <w:tcMar>
              <w:top w:w="15" w:type="dxa"/>
              <w:left w:w="69" w:type="dxa"/>
              <w:bottom w:w="0" w:type="dxa"/>
              <w:right w:w="69" w:type="dxa"/>
            </w:tcMar>
            <w:vAlign w:val="center"/>
          </w:tcPr>
          <w:p w14:paraId="3B8FE637"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(12)</w:t>
            </w:r>
            <w:r>
              <w:rPr>
                <w:rFonts w:cs="Calibri" w:hint="eastAsia"/>
                <w:color w:val="333333"/>
                <w:sz w:val="21"/>
                <w:szCs w:val="21"/>
              </w:rPr>
              <w:t>信息技术对审计程序的影响，包括数据的可获得性和对使用计算机辅助审计技术的预期</w:t>
            </w:r>
          </w:p>
        </w:tc>
      </w:tr>
      <w:tr w:rsidR="00000000" w14:paraId="4F936B94" w14:textId="77777777">
        <w:trPr>
          <w:trHeight w:val="923"/>
          <w:jc w:val="center"/>
        </w:trPr>
        <w:tc>
          <w:tcPr>
            <w:tcW w:w="599" w:type="dxa"/>
            <w:vMerge/>
            <w:tcBorders>
              <w:top w:val="nil"/>
              <w:left w:val="single" w:sz="8" w:space="0" w:color="auto"/>
              <w:bottom w:val="single" w:sz="8" w:space="0" w:color="auto"/>
              <w:right w:val="single" w:sz="8" w:space="0" w:color="auto"/>
            </w:tcBorders>
            <w:vAlign w:val="center"/>
          </w:tcPr>
          <w:p w14:paraId="2FF7A4B8" w14:textId="77777777" w:rsidR="00000000" w:rsidRDefault="00423821">
            <w:pPr>
              <w:rPr>
                <w:rFonts w:eastAsia="微软雅黑" w:cs="Calibri"/>
                <w:color w:val="333333"/>
                <w:szCs w:val="21"/>
              </w:rPr>
            </w:pPr>
          </w:p>
        </w:tc>
        <w:tc>
          <w:tcPr>
            <w:tcW w:w="7906" w:type="dxa"/>
            <w:tcBorders>
              <w:top w:val="nil"/>
              <w:left w:val="nil"/>
              <w:bottom w:val="single" w:sz="8" w:space="0" w:color="auto"/>
              <w:right w:val="single" w:sz="8" w:space="0" w:color="auto"/>
            </w:tcBorders>
            <w:tcMar>
              <w:top w:w="15" w:type="dxa"/>
              <w:left w:w="69" w:type="dxa"/>
              <w:bottom w:w="0" w:type="dxa"/>
              <w:right w:w="69" w:type="dxa"/>
            </w:tcMar>
            <w:vAlign w:val="center"/>
          </w:tcPr>
          <w:p w14:paraId="4A76EDF3"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(13)</w:t>
            </w:r>
            <w:r>
              <w:rPr>
                <w:rFonts w:cs="Calibri" w:hint="eastAsia"/>
                <w:color w:val="333333"/>
                <w:sz w:val="21"/>
                <w:szCs w:val="21"/>
              </w:rPr>
              <w:t>协调审计工作与中期财务信息审阅的预期涵盖范围和时间安排，以及中期审阅所获取的信息对审计工作</w:t>
            </w:r>
            <w:r>
              <w:rPr>
                <w:rFonts w:cs="Calibri" w:hint="eastAsia"/>
                <w:color w:val="333333"/>
                <w:sz w:val="21"/>
                <w:szCs w:val="21"/>
              </w:rPr>
              <w:t>的影响</w:t>
            </w:r>
          </w:p>
        </w:tc>
      </w:tr>
      <w:tr w:rsidR="00000000" w14:paraId="290FF452" w14:textId="77777777">
        <w:trPr>
          <w:trHeight w:val="605"/>
          <w:jc w:val="center"/>
        </w:trPr>
        <w:tc>
          <w:tcPr>
            <w:tcW w:w="599" w:type="dxa"/>
            <w:vMerge/>
            <w:tcBorders>
              <w:top w:val="nil"/>
              <w:left w:val="single" w:sz="8" w:space="0" w:color="auto"/>
              <w:bottom w:val="single" w:sz="8" w:space="0" w:color="auto"/>
              <w:right w:val="single" w:sz="8" w:space="0" w:color="auto"/>
            </w:tcBorders>
            <w:vAlign w:val="center"/>
          </w:tcPr>
          <w:p w14:paraId="6592E09C" w14:textId="77777777" w:rsidR="00000000" w:rsidRDefault="00423821">
            <w:pPr>
              <w:rPr>
                <w:rFonts w:eastAsia="微软雅黑" w:cs="Calibri"/>
                <w:color w:val="333333"/>
                <w:szCs w:val="21"/>
              </w:rPr>
            </w:pPr>
          </w:p>
        </w:tc>
        <w:tc>
          <w:tcPr>
            <w:tcW w:w="7906" w:type="dxa"/>
            <w:tcBorders>
              <w:top w:val="nil"/>
              <w:left w:val="nil"/>
              <w:bottom w:val="single" w:sz="8" w:space="0" w:color="auto"/>
              <w:right w:val="single" w:sz="8" w:space="0" w:color="auto"/>
            </w:tcBorders>
            <w:tcMar>
              <w:top w:w="15" w:type="dxa"/>
              <w:left w:w="69" w:type="dxa"/>
              <w:bottom w:w="0" w:type="dxa"/>
              <w:right w:w="69" w:type="dxa"/>
            </w:tcMar>
            <w:vAlign w:val="center"/>
          </w:tcPr>
          <w:p w14:paraId="4EBFA453"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(14)</w:t>
            </w:r>
            <w:r>
              <w:rPr>
                <w:rFonts w:cs="Calibri" w:hint="eastAsia"/>
                <w:color w:val="333333"/>
                <w:sz w:val="21"/>
                <w:szCs w:val="21"/>
              </w:rPr>
              <w:t>与被审计单位人员的时间协调和相关数据的可获得性</w:t>
            </w:r>
          </w:p>
        </w:tc>
      </w:tr>
    </w:tbl>
    <w:p w14:paraId="641CC467"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报告目标、时间安排及所需沟通的性质</w:t>
      </w:r>
    </w:p>
    <w:p w14:paraId="3EA7A2B9"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有关的考虑因素共</w:t>
      </w:r>
      <w:r>
        <w:rPr>
          <w:rFonts w:cs="Calibri" w:hint="eastAsia"/>
          <w:b/>
          <w:bCs/>
          <w:color w:val="FF0000"/>
          <w:sz w:val="21"/>
          <w:szCs w:val="21"/>
        </w:rPr>
        <w:t>7</w:t>
      </w:r>
      <w:r>
        <w:rPr>
          <w:rFonts w:cs="Calibri" w:hint="eastAsia"/>
          <w:b/>
          <w:bCs/>
          <w:color w:val="FF0000"/>
          <w:sz w:val="21"/>
          <w:szCs w:val="21"/>
        </w:rPr>
        <w:t>项</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4E947106" w14:textId="77777777">
        <w:trPr>
          <w:trHeight w:val="80"/>
          <w:jc w:val="center"/>
        </w:trPr>
        <w:tc>
          <w:tcPr>
            <w:tcW w:w="8505"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401A5DFC"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15DBC415" w14:textId="77777777">
        <w:trPr>
          <w:trHeight w:val="160"/>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FC0E346"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被审计单位对外报告的时间表</w:t>
            </w:r>
            <w:r>
              <w:rPr>
                <w:rFonts w:cs="Calibri" w:hint="eastAsia"/>
                <w:b/>
                <w:bCs/>
                <w:color w:val="FF0000"/>
                <w:sz w:val="21"/>
                <w:szCs w:val="21"/>
              </w:rPr>
              <w:t>[</w:t>
            </w:r>
            <w:r>
              <w:rPr>
                <w:rFonts w:cs="Calibri" w:hint="eastAsia"/>
                <w:b/>
                <w:bCs/>
                <w:color w:val="FF0000"/>
                <w:sz w:val="21"/>
                <w:szCs w:val="21"/>
              </w:rPr>
              <w:t>终点</w:t>
            </w:r>
            <w:r>
              <w:rPr>
                <w:rFonts w:cs="Calibri" w:hint="eastAsia"/>
                <w:b/>
                <w:bCs/>
                <w:color w:val="FF0000"/>
                <w:sz w:val="21"/>
                <w:szCs w:val="21"/>
              </w:rPr>
              <w:t>]</w:t>
            </w:r>
            <w:r>
              <w:rPr>
                <w:rFonts w:cs="Calibri" w:hint="eastAsia"/>
                <w:color w:val="333333"/>
                <w:sz w:val="21"/>
                <w:szCs w:val="21"/>
              </w:rPr>
              <w:t>，包括中间阶段和最终阶段</w:t>
            </w:r>
          </w:p>
        </w:tc>
      </w:tr>
      <w:tr w:rsidR="00000000" w14:paraId="6FC530EB" w14:textId="77777777">
        <w:trPr>
          <w:trHeight w:val="160"/>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AFE1054"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与管理层和治理层举行会谈，讨论审计工作的性质、时间安排和范围</w:t>
            </w:r>
            <w:r>
              <w:rPr>
                <w:rFonts w:cs="Calibri" w:hint="eastAsia"/>
                <w:b/>
                <w:bCs/>
                <w:color w:val="FF0000"/>
                <w:sz w:val="21"/>
                <w:szCs w:val="21"/>
              </w:rPr>
              <w:t>[</w:t>
            </w:r>
            <w:r>
              <w:rPr>
                <w:rFonts w:cs="Calibri" w:hint="eastAsia"/>
                <w:b/>
                <w:bCs/>
                <w:color w:val="FF0000"/>
                <w:sz w:val="21"/>
                <w:szCs w:val="21"/>
              </w:rPr>
              <w:t>管理层和治理层</w:t>
            </w:r>
            <w:r>
              <w:rPr>
                <w:rFonts w:cs="Calibri" w:hint="eastAsia"/>
                <w:b/>
                <w:bCs/>
                <w:color w:val="FF0000"/>
                <w:sz w:val="21"/>
                <w:szCs w:val="21"/>
              </w:rPr>
              <w:t>]</w:t>
            </w:r>
          </w:p>
        </w:tc>
      </w:tr>
      <w:tr w:rsidR="00000000" w14:paraId="46730DD9" w14:textId="77777777">
        <w:trPr>
          <w:trHeight w:val="327"/>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AF28F5E"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与管理层和治理层讨论注册会计师拟出具的报告的类型和时间安排以及沟通的其他事项（口头或书面沟通），包括审计报告、管理建议书和向治理层通报的其他事项</w:t>
            </w:r>
            <w:r>
              <w:rPr>
                <w:rFonts w:cs="Calibri" w:hint="eastAsia"/>
                <w:b/>
                <w:bCs/>
                <w:color w:val="FF0000"/>
                <w:sz w:val="21"/>
                <w:szCs w:val="21"/>
              </w:rPr>
              <w:t>[</w:t>
            </w:r>
            <w:r>
              <w:rPr>
                <w:rFonts w:cs="Calibri" w:hint="eastAsia"/>
                <w:b/>
                <w:bCs/>
                <w:color w:val="FF0000"/>
                <w:sz w:val="21"/>
                <w:szCs w:val="21"/>
              </w:rPr>
              <w:t>管理层和治理层</w:t>
            </w:r>
            <w:r>
              <w:rPr>
                <w:rFonts w:cs="Calibri" w:hint="eastAsia"/>
                <w:b/>
                <w:bCs/>
                <w:color w:val="FF0000"/>
                <w:sz w:val="21"/>
                <w:szCs w:val="21"/>
              </w:rPr>
              <w:t>]</w:t>
            </w:r>
          </w:p>
        </w:tc>
      </w:tr>
      <w:tr w:rsidR="00000000" w14:paraId="28B807DA" w14:textId="77777777">
        <w:trPr>
          <w:trHeight w:val="327"/>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6E70BAF"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与管理层讨论预期就整个审计业务中</w:t>
            </w:r>
            <w:r>
              <w:rPr>
                <w:rFonts w:cs="Calibri" w:hint="eastAsia"/>
                <w:color w:val="333333"/>
                <w:sz w:val="21"/>
                <w:szCs w:val="21"/>
              </w:rPr>
              <w:t>对审计工作的进展进行的沟通</w:t>
            </w:r>
            <w:r>
              <w:rPr>
                <w:rFonts w:cs="Calibri" w:hint="eastAsia"/>
                <w:b/>
                <w:bCs/>
                <w:color w:val="FF0000"/>
                <w:sz w:val="21"/>
                <w:szCs w:val="21"/>
              </w:rPr>
              <w:t>[</w:t>
            </w:r>
            <w:r>
              <w:rPr>
                <w:rFonts w:cs="Calibri" w:hint="eastAsia"/>
                <w:b/>
                <w:bCs/>
                <w:color w:val="FF0000"/>
                <w:sz w:val="21"/>
                <w:szCs w:val="21"/>
              </w:rPr>
              <w:t>管理层</w:t>
            </w:r>
            <w:r>
              <w:rPr>
                <w:rFonts w:cs="Calibri" w:hint="eastAsia"/>
                <w:b/>
                <w:bCs/>
                <w:color w:val="FF0000"/>
                <w:sz w:val="21"/>
                <w:szCs w:val="21"/>
              </w:rPr>
              <w:t>]</w:t>
            </w:r>
          </w:p>
        </w:tc>
      </w:tr>
      <w:tr w:rsidR="00000000" w14:paraId="4640F184" w14:textId="77777777">
        <w:trPr>
          <w:trHeight w:val="327"/>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711F06A"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与组成部分注册会计师沟通拟出具的报告的类型和时间安排，以及与组成部分审计相关的其他事项</w:t>
            </w:r>
            <w:r>
              <w:rPr>
                <w:rFonts w:cs="Calibri" w:hint="eastAsia"/>
                <w:b/>
                <w:bCs/>
                <w:color w:val="FF0000"/>
                <w:sz w:val="21"/>
                <w:szCs w:val="21"/>
              </w:rPr>
              <w:t>[</w:t>
            </w:r>
            <w:r>
              <w:rPr>
                <w:rFonts w:cs="Calibri" w:hint="eastAsia"/>
                <w:b/>
                <w:bCs/>
                <w:color w:val="FF0000"/>
                <w:sz w:val="21"/>
                <w:szCs w:val="21"/>
              </w:rPr>
              <w:t>其他注册会计师</w:t>
            </w:r>
            <w:r>
              <w:rPr>
                <w:rFonts w:cs="Calibri" w:hint="eastAsia"/>
                <w:b/>
                <w:bCs/>
                <w:color w:val="FF0000"/>
                <w:sz w:val="21"/>
                <w:szCs w:val="21"/>
              </w:rPr>
              <w:t>]</w:t>
            </w:r>
          </w:p>
        </w:tc>
      </w:tr>
      <w:tr w:rsidR="00000000" w14:paraId="39AD5E36" w14:textId="77777777">
        <w:trPr>
          <w:trHeight w:val="327"/>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47E3B15"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w:t>
            </w:r>
            <w:r>
              <w:rPr>
                <w:rFonts w:cs="Calibri" w:hint="eastAsia"/>
                <w:color w:val="333333"/>
                <w:sz w:val="21"/>
                <w:szCs w:val="21"/>
              </w:rPr>
              <w:t>项目组成员之间沟通的预期性质和时间安排，包括项目组会议的性质和时间安排，以及复核已执行工作的时间安排</w:t>
            </w:r>
            <w:r>
              <w:rPr>
                <w:rFonts w:cs="Calibri" w:hint="eastAsia"/>
                <w:b/>
                <w:bCs/>
                <w:color w:val="FF0000"/>
                <w:sz w:val="21"/>
                <w:szCs w:val="21"/>
              </w:rPr>
              <w:t>[</w:t>
            </w:r>
            <w:r>
              <w:rPr>
                <w:rFonts w:cs="Calibri" w:hint="eastAsia"/>
                <w:b/>
                <w:bCs/>
                <w:color w:val="FF0000"/>
                <w:sz w:val="21"/>
                <w:szCs w:val="21"/>
              </w:rPr>
              <w:t>项目组</w:t>
            </w:r>
            <w:r>
              <w:rPr>
                <w:rFonts w:cs="Calibri" w:hint="eastAsia"/>
                <w:b/>
                <w:bCs/>
                <w:color w:val="FF0000"/>
                <w:sz w:val="21"/>
                <w:szCs w:val="21"/>
              </w:rPr>
              <w:t>]</w:t>
            </w:r>
          </w:p>
        </w:tc>
      </w:tr>
      <w:tr w:rsidR="00000000" w14:paraId="73671ED1" w14:textId="77777777">
        <w:trPr>
          <w:trHeight w:val="327"/>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B03FF54"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w:t>
            </w:r>
            <w:r>
              <w:rPr>
                <w:rFonts w:cs="Calibri" w:hint="eastAsia"/>
                <w:color w:val="333333"/>
                <w:sz w:val="21"/>
                <w:szCs w:val="21"/>
              </w:rPr>
              <w:t>预期是否需要和第三方进行其他沟通，包括与审计相关的法定或约定的报告责任</w:t>
            </w:r>
            <w:r>
              <w:rPr>
                <w:rFonts w:cs="Calibri" w:hint="eastAsia"/>
                <w:b/>
                <w:bCs/>
                <w:color w:val="FF0000"/>
                <w:sz w:val="21"/>
                <w:szCs w:val="21"/>
              </w:rPr>
              <w:t>[</w:t>
            </w:r>
            <w:r>
              <w:rPr>
                <w:rFonts w:cs="Calibri" w:hint="eastAsia"/>
                <w:b/>
                <w:bCs/>
                <w:color w:val="FF0000"/>
                <w:sz w:val="21"/>
                <w:szCs w:val="21"/>
              </w:rPr>
              <w:t>第三方</w:t>
            </w:r>
            <w:r>
              <w:rPr>
                <w:rFonts w:cs="Calibri" w:hint="eastAsia"/>
                <w:b/>
                <w:bCs/>
                <w:color w:val="FF0000"/>
                <w:sz w:val="21"/>
                <w:szCs w:val="21"/>
              </w:rPr>
              <w:t>]</w:t>
            </w:r>
          </w:p>
        </w:tc>
      </w:tr>
    </w:tbl>
    <w:p w14:paraId="561627F1"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确定审计方向</w:t>
      </w:r>
    </w:p>
    <w:p w14:paraId="2B0737AC"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教材共列举了</w:t>
      </w:r>
      <w:r>
        <w:rPr>
          <w:rFonts w:cs="Calibri" w:hint="eastAsia"/>
          <w:b/>
          <w:bCs/>
          <w:color w:val="FF0000"/>
          <w:sz w:val="21"/>
          <w:szCs w:val="21"/>
        </w:rPr>
        <w:t>14</w:t>
      </w:r>
      <w:r>
        <w:rPr>
          <w:rFonts w:cs="Calibri" w:hint="eastAsia"/>
          <w:b/>
          <w:bCs/>
          <w:color w:val="FF0000"/>
          <w:sz w:val="21"/>
          <w:szCs w:val="21"/>
        </w:rPr>
        <w:t>项</w:t>
      </w:r>
      <w:r>
        <w:rPr>
          <w:rFonts w:cs="Calibri" w:hint="eastAsia"/>
          <w:color w:val="3F3F3F"/>
          <w:sz w:val="21"/>
          <w:szCs w:val="21"/>
        </w:rPr>
        <w:t>考虑因素，将这些因素归纳为</w:t>
      </w:r>
      <w:r>
        <w:rPr>
          <w:rFonts w:cs="Calibri" w:hint="eastAsia"/>
          <w:b/>
          <w:bCs/>
          <w:color w:val="FF0000"/>
          <w:sz w:val="21"/>
          <w:szCs w:val="21"/>
        </w:rPr>
        <w:t>三类</w:t>
      </w:r>
      <w:r>
        <w:rPr>
          <w:rFonts w:cs="Calibri" w:hint="eastAsia"/>
          <w:color w:val="3F3F3F"/>
          <w:sz w:val="21"/>
          <w:szCs w:val="21"/>
        </w:rPr>
        <w:t>更易于理解：</w:t>
      </w:r>
    </w:p>
    <w:tbl>
      <w:tblPr>
        <w:tblW w:w="0" w:type="auto"/>
        <w:jc w:val="center"/>
        <w:tblInd w:w="0" w:type="dxa"/>
        <w:tblLayout w:type="fixed"/>
        <w:tblCellMar>
          <w:left w:w="0" w:type="dxa"/>
          <w:right w:w="0" w:type="dxa"/>
        </w:tblCellMar>
        <w:tblLook w:val="0000" w:firstRow="0" w:lastRow="0" w:firstColumn="0" w:lastColumn="0" w:noHBand="0" w:noVBand="0"/>
      </w:tblPr>
      <w:tblGrid>
        <w:gridCol w:w="562"/>
        <w:gridCol w:w="7943"/>
      </w:tblGrid>
      <w:tr w:rsidR="00000000" w14:paraId="71440123" w14:textId="77777777">
        <w:trPr>
          <w:trHeight w:val="272"/>
          <w:jc w:val="center"/>
        </w:trPr>
        <w:tc>
          <w:tcPr>
            <w:tcW w:w="562" w:type="dxa"/>
            <w:tcBorders>
              <w:top w:val="single" w:sz="8" w:space="0" w:color="auto"/>
              <w:left w:val="single" w:sz="8" w:space="0" w:color="auto"/>
              <w:bottom w:val="single" w:sz="8" w:space="0" w:color="auto"/>
              <w:right w:val="single" w:sz="8" w:space="0" w:color="auto"/>
            </w:tcBorders>
            <w:tcMar>
              <w:top w:w="15" w:type="dxa"/>
              <w:left w:w="65" w:type="dxa"/>
              <w:bottom w:w="0" w:type="dxa"/>
              <w:right w:w="65" w:type="dxa"/>
            </w:tcMar>
          </w:tcPr>
          <w:p w14:paraId="4EEF8345" w14:textId="77777777" w:rsidR="00000000" w:rsidRDefault="00423821">
            <w:pPr>
              <w:rPr>
                <w:rFonts w:eastAsia="微软雅黑" w:cs="Calibri"/>
                <w:color w:val="3F3F3F"/>
                <w:szCs w:val="21"/>
              </w:rPr>
            </w:pPr>
          </w:p>
        </w:tc>
        <w:tc>
          <w:tcPr>
            <w:tcW w:w="7943" w:type="dxa"/>
            <w:tcBorders>
              <w:top w:val="single" w:sz="8" w:space="0" w:color="auto"/>
              <w:left w:val="nil"/>
              <w:bottom w:val="single" w:sz="8" w:space="0" w:color="auto"/>
              <w:right w:val="single" w:sz="8" w:space="0" w:color="auto"/>
            </w:tcBorders>
            <w:tcMar>
              <w:top w:w="15" w:type="dxa"/>
              <w:left w:w="65" w:type="dxa"/>
              <w:bottom w:w="0" w:type="dxa"/>
              <w:right w:w="65" w:type="dxa"/>
            </w:tcMar>
            <w:vAlign w:val="center"/>
          </w:tcPr>
          <w:p w14:paraId="558BDA56"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4472AFBF" w14:textId="77777777">
        <w:trPr>
          <w:trHeight w:val="272"/>
          <w:jc w:val="center"/>
        </w:trPr>
        <w:tc>
          <w:tcPr>
            <w:tcW w:w="562" w:type="dxa"/>
            <w:vMerge w:val="restart"/>
            <w:tcBorders>
              <w:top w:val="nil"/>
              <w:left w:val="single" w:sz="8" w:space="0" w:color="auto"/>
              <w:bottom w:val="single" w:sz="8" w:space="0" w:color="auto"/>
              <w:right w:val="single" w:sz="8" w:space="0" w:color="auto"/>
            </w:tcBorders>
            <w:tcMar>
              <w:top w:w="15" w:type="dxa"/>
              <w:left w:w="65" w:type="dxa"/>
              <w:bottom w:w="0" w:type="dxa"/>
              <w:right w:w="65" w:type="dxa"/>
            </w:tcMar>
            <w:vAlign w:val="center"/>
          </w:tcPr>
          <w:p w14:paraId="58EC8B22"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初步风险识别</w:t>
            </w: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05A27517"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确定或重新考虑</w:t>
            </w:r>
            <w:r>
              <w:rPr>
                <w:rFonts w:cs="Calibri" w:hint="eastAsia"/>
                <w:b/>
                <w:bCs/>
                <w:color w:val="FF0000"/>
                <w:sz w:val="21"/>
                <w:szCs w:val="21"/>
              </w:rPr>
              <w:t>重要性</w:t>
            </w:r>
            <w:r>
              <w:rPr>
                <w:rFonts w:cs="Calibri" w:hint="eastAsia"/>
                <w:b/>
                <w:bCs/>
                <w:color w:val="FF0000"/>
                <w:sz w:val="21"/>
                <w:szCs w:val="21"/>
              </w:rPr>
              <w:t>[</w:t>
            </w:r>
            <w:r>
              <w:rPr>
                <w:rFonts w:cs="Calibri" w:hint="eastAsia"/>
                <w:b/>
                <w:bCs/>
                <w:color w:val="FF0000"/>
                <w:sz w:val="21"/>
                <w:szCs w:val="21"/>
              </w:rPr>
              <w:t>标尺</w:t>
            </w:r>
            <w:r>
              <w:rPr>
                <w:rFonts w:cs="Calibri" w:hint="eastAsia"/>
                <w:b/>
                <w:bCs/>
                <w:color w:val="FF0000"/>
                <w:sz w:val="21"/>
                <w:szCs w:val="21"/>
              </w:rPr>
              <w:t>]</w:t>
            </w:r>
          </w:p>
        </w:tc>
      </w:tr>
      <w:tr w:rsidR="00000000" w14:paraId="44C92DE4" w14:textId="77777777">
        <w:trPr>
          <w:trHeight w:val="272"/>
          <w:jc w:val="center"/>
        </w:trPr>
        <w:tc>
          <w:tcPr>
            <w:tcW w:w="562" w:type="dxa"/>
            <w:vMerge/>
            <w:tcBorders>
              <w:top w:val="nil"/>
              <w:left w:val="single" w:sz="8" w:space="0" w:color="auto"/>
              <w:bottom w:val="single" w:sz="8" w:space="0" w:color="auto"/>
              <w:right w:val="single" w:sz="8" w:space="0" w:color="auto"/>
            </w:tcBorders>
            <w:vAlign w:val="center"/>
          </w:tcPr>
          <w:p w14:paraId="7ECD1BA8"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1DAB041A"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重大错报风险较高的审计领域</w:t>
            </w:r>
            <w:r>
              <w:rPr>
                <w:rFonts w:cs="Calibri" w:hint="eastAsia"/>
                <w:b/>
                <w:bCs/>
                <w:color w:val="FF0000"/>
                <w:sz w:val="21"/>
                <w:szCs w:val="21"/>
              </w:rPr>
              <w:t>[</w:t>
            </w:r>
            <w:r>
              <w:rPr>
                <w:rFonts w:cs="Calibri" w:hint="eastAsia"/>
                <w:b/>
                <w:bCs/>
                <w:color w:val="FF0000"/>
                <w:sz w:val="21"/>
                <w:szCs w:val="21"/>
              </w:rPr>
              <w:t>风险识别</w:t>
            </w:r>
            <w:r>
              <w:rPr>
                <w:rFonts w:cs="Calibri" w:hint="eastAsia"/>
                <w:b/>
                <w:bCs/>
                <w:color w:val="FF0000"/>
                <w:sz w:val="21"/>
                <w:szCs w:val="21"/>
              </w:rPr>
              <w:t>]</w:t>
            </w:r>
          </w:p>
        </w:tc>
      </w:tr>
      <w:tr w:rsidR="00000000" w14:paraId="21E0B581" w14:textId="77777777">
        <w:trPr>
          <w:trHeight w:val="552"/>
          <w:jc w:val="center"/>
        </w:trPr>
        <w:tc>
          <w:tcPr>
            <w:tcW w:w="562" w:type="dxa"/>
            <w:vMerge/>
            <w:tcBorders>
              <w:top w:val="nil"/>
              <w:left w:val="single" w:sz="8" w:space="0" w:color="auto"/>
              <w:bottom w:val="single" w:sz="8" w:space="0" w:color="auto"/>
              <w:right w:val="single" w:sz="8" w:space="0" w:color="auto"/>
            </w:tcBorders>
            <w:vAlign w:val="center"/>
          </w:tcPr>
          <w:p w14:paraId="74F25280"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0F53EE11"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评估的财务报表层次的重大错报风险对指导、监督及复核的影响</w:t>
            </w:r>
            <w:r>
              <w:rPr>
                <w:rFonts w:cs="Calibri" w:hint="eastAsia"/>
                <w:b/>
                <w:bCs/>
                <w:color w:val="FF0000"/>
                <w:sz w:val="21"/>
                <w:szCs w:val="21"/>
              </w:rPr>
              <w:t>[</w:t>
            </w:r>
            <w:r>
              <w:rPr>
                <w:rFonts w:cs="Calibri" w:hint="eastAsia"/>
                <w:b/>
                <w:bCs/>
                <w:color w:val="FF0000"/>
                <w:sz w:val="21"/>
                <w:szCs w:val="21"/>
              </w:rPr>
              <w:t>财报层次风险</w:t>
            </w:r>
            <w:r>
              <w:rPr>
                <w:rFonts w:cs="Calibri" w:hint="eastAsia"/>
                <w:b/>
                <w:bCs/>
                <w:color w:val="FF0000"/>
                <w:sz w:val="21"/>
                <w:szCs w:val="21"/>
              </w:rPr>
              <w:t>]</w:t>
            </w:r>
          </w:p>
        </w:tc>
      </w:tr>
      <w:tr w:rsidR="00000000" w14:paraId="13879F76" w14:textId="77777777">
        <w:trPr>
          <w:trHeight w:val="552"/>
          <w:jc w:val="center"/>
        </w:trPr>
        <w:tc>
          <w:tcPr>
            <w:tcW w:w="562" w:type="dxa"/>
            <w:vMerge/>
            <w:tcBorders>
              <w:top w:val="nil"/>
              <w:left w:val="single" w:sz="8" w:space="0" w:color="auto"/>
              <w:bottom w:val="single" w:sz="8" w:space="0" w:color="auto"/>
              <w:right w:val="single" w:sz="8" w:space="0" w:color="auto"/>
            </w:tcBorders>
            <w:vAlign w:val="center"/>
          </w:tcPr>
          <w:p w14:paraId="449FD999"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436BA437"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项目组人员的选择和工作分工，包括向重大错报风险较高的审计领域分派具备适当经验的人员</w:t>
            </w:r>
            <w:r>
              <w:rPr>
                <w:rFonts w:cs="Calibri" w:hint="eastAsia"/>
                <w:b/>
                <w:bCs/>
                <w:color w:val="FF0000"/>
                <w:sz w:val="21"/>
                <w:szCs w:val="21"/>
              </w:rPr>
              <w:t>[</w:t>
            </w:r>
            <w:r>
              <w:rPr>
                <w:rFonts w:cs="Calibri" w:hint="eastAsia"/>
                <w:b/>
                <w:bCs/>
                <w:color w:val="FF0000"/>
                <w:sz w:val="21"/>
                <w:szCs w:val="21"/>
              </w:rPr>
              <w:t>人员投向</w:t>
            </w:r>
            <w:r>
              <w:rPr>
                <w:rFonts w:cs="Calibri" w:hint="eastAsia"/>
                <w:b/>
                <w:bCs/>
                <w:color w:val="FF0000"/>
                <w:sz w:val="21"/>
                <w:szCs w:val="21"/>
              </w:rPr>
              <w:t>]</w:t>
            </w:r>
          </w:p>
        </w:tc>
      </w:tr>
      <w:tr w:rsidR="00000000" w14:paraId="0BF5F540" w14:textId="77777777">
        <w:trPr>
          <w:trHeight w:val="552"/>
          <w:jc w:val="center"/>
        </w:trPr>
        <w:tc>
          <w:tcPr>
            <w:tcW w:w="562" w:type="dxa"/>
            <w:vMerge/>
            <w:tcBorders>
              <w:top w:val="nil"/>
              <w:left w:val="single" w:sz="8" w:space="0" w:color="auto"/>
              <w:bottom w:val="single" w:sz="8" w:space="0" w:color="auto"/>
              <w:right w:val="single" w:sz="8" w:space="0" w:color="auto"/>
            </w:tcBorders>
            <w:vAlign w:val="center"/>
          </w:tcPr>
          <w:p w14:paraId="54FD1E4C"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0D803ECD"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项目预算，包括考虑为重大错报风险可能较高的审计领域分配适当的工作时间</w:t>
            </w:r>
            <w:r>
              <w:rPr>
                <w:rFonts w:cs="Calibri" w:hint="eastAsia"/>
                <w:b/>
                <w:bCs/>
                <w:color w:val="FF0000"/>
                <w:sz w:val="21"/>
                <w:szCs w:val="21"/>
              </w:rPr>
              <w:t>[</w:t>
            </w:r>
            <w:r>
              <w:rPr>
                <w:rFonts w:cs="Calibri" w:hint="eastAsia"/>
                <w:b/>
                <w:bCs/>
                <w:color w:val="FF0000"/>
                <w:sz w:val="21"/>
                <w:szCs w:val="21"/>
              </w:rPr>
              <w:t>时间投向</w:t>
            </w:r>
            <w:r>
              <w:rPr>
                <w:rFonts w:cs="Calibri" w:hint="eastAsia"/>
                <w:b/>
                <w:bCs/>
                <w:color w:val="FF0000"/>
                <w:sz w:val="21"/>
                <w:szCs w:val="21"/>
              </w:rPr>
              <w:t>]</w:t>
            </w:r>
          </w:p>
        </w:tc>
      </w:tr>
      <w:tr w:rsidR="00000000" w14:paraId="17679658" w14:textId="77777777">
        <w:trPr>
          <w:trHeight w:val="552"/>
          <w:jc w:val="center"/>
        </w:trPr>
        <w:tc>
          <w:tcPr>
            <w:tcW w:w="562" w:type="dxa"/>
            <w:vMerge/>
            <w:tcBorders>
              <w:top w:val="nil"/>
              <w:left w:val="single" w:sz="8" w:space="0" w:color="auto"/>
              <w:bottom w:val="single" w:sz="8" w:space="0" w:color="auto"/>
              <w:right w:val="single" w:sz="8" w:space="0" w:color="auto"/>
            </w:tcBorders>
            <w:vAlign w:val="center"/>
          </w:tcPr>
          <w:p w14:paraId="75CE4342"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04F71EDC"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w:t>
            </w:r>
            <w:r>
              <w:rPr>
                <w:rFonts w:cs="Calibri" w:hint="eastAsia"/>
                <w:color w:val="333333"/>
                <w:sz w:val="21"/>
                <w:szCs w:val="21"/>
              </w:rPr>
              <w:t>如何向项目组成员强调在收集和评价审计证据过程中保持职业怀疑的必要性</w:t>
            </w:r>
            <w:r>
              <w:rPr>
                <w:rFonts w:cs="Calibri" w:hint="eastAsia"/>
                <w:b/>
                <w:bCs/>
                <w:color w:val="FF0000"/>
                <w:sz w:val="21"/>
                <w:szCs w:val="21"/>
              </w:rPr>
              <w:t>[</w:t>
            </w:r>
            <w:r>
              <w:rPr>
                <w:rFonts w:cs="Calibri" w:hint="eastAsia"/>
                <w:b/>
                <w:bCs/>
                <w:color w:val="FF0000"/>
                <w:sz w:val="21"/>
                <w:szCs w:val="21"/>
              </w:rPr>
              <w:t>职业怀疑</w:t>
            </w:r>
            <w:r>
              <w:rPr>
                <w:rFonts w:cs="Calibri" w:hint="eastAsia"/>
                <w:b/>
                <w:bCs/>
                <w:color w:val="FF0000"/>
                <w:sz w:val="21"/>
                <w:szCs w:val="21"/>
              </w:rPr>
              <w:t>]</w:t>
            </w:r>
          </w:p>
        </w:tc>
      </w:tr>
    </w:tbl>
    <w:p w14:paraId="7BFF7F30" w14:textId="77777777" w:rsidR="00000000" w:rsidRDefault="00423821">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562"/>
        <w:gridCol w:w="7943"/>
      </w:tblGrid>
      <w:tr w:rsidR="00000000" w14:paraId="0C9C7333" w14:textId="77777777">
        <w:trPr>
          <w:trHeight w:val="224"/>
          <w:jc w:val="center"/>
        </w:trPr>
        <w:tc>
          <w:tcPr>
            <w:tcW w:w="562" w:type="dxa"/>
            <w:tcBorders>
              <w:top w:val="single" w:sz="8" w:space="0" w:color="auto"/>
              <w:left w:val="single" w:sz="8" w:space="0" w:color="auto"/>
              <w:bottom w:val="single" w:sz="8" w:space="0" w:color="auto"/>
              <w:right w:val="single" w:sz="8" w:space="0" w:color="auto"/>
            </w:tcBorders>
            <w:tcMar>
              <w:top w:w="15" w:type="dxa"/>
              <w:left w:w="65" w:type="dxa"/>
              <w:bottom w:w="0" w:type="dxa"/>
              <w:right w:w="65" w:type="dxa"/>
            </w:tcMar>
          </w:tcPr>
          <w:p w14:paraId="13BF50BF" w14:textId="77777777" w:rsidR="00000000" w:rsidRDefault="00423821">
            <w:pPr>
              <w:rPr>
                <w:rFonts w:ascii="微软雅黑" w:eastAsia="微软雅黑" w:hAnsi="微软雅黑" w:cs="宋体"/>
                <w:color w:val="3F3F3F"/>
                <w:szCs w:val="21"/>
              </w:rPr>
            </w:pPr>
          </w:p>
        </w:tc>
        <w:tc>
          <w:tcPr>
            <w:tcW w:w="7943" w:type="dxa"/>
            <w:tcBorders>
              <w:top w:val="single" w:sz="8" w:space="0" w:color="auto"/>
              <w:left w:val="nil"/>
              <w:bottom w:val="single" w:sz="8" w:space="0" w:color="auto"/>
              <w:right w:val="single" w:sz="8" w:space="0" w:color="auto"/>
            </w:tcBorders>
            <w:tcMar>
              <w:top w:w="15" w:type="dxa"/>
              <w:left w:w="65" w:type="dxa"/>
              <w:bottom w:w="0" w:type="dxa"/>
              <w:right w:w="65" w:type="dxa"/>
            </w:tcMar>
            <w:vAlign w:val="center"/>
          </w:tcPr>
          <w:p w14:paraId="2D89700D"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24F90112" w14:textId="77777777">
        <w:trPr>
          <w:trHeight w:val="449"/>
          <w:jc w:val="center"/>
        </w:trPr>
        <w:tc>
          <w:tcPr>
            <w:tcW w:w="562" w:type="dxa"/>
            <w:vMerge w:val="restart"/>
            <w:tcBorders>
              <w:top w:val="nil"/>
              <w:left w:val="single" w:sz="8" w:space="0" w:color="auto"/>
              <w:bottom w:val="single" w:sz="8" w:space="0" w:color="auto"/>
              <w:right w:val="single" w:sz="8" w:space="0" w:color="auto"/>
            </w:tcBorders>
            <w:tcMar>
              <w:top w:w="15" w:type="dxa"/>
              <w:left w:w="65" w:type="dxa"/>
              <w:bottom w:w="0" w:type="dxa"/>
              <w:right w:w="65" w:type="dxa"/>
            </w:tcMar>
            <w:vAlign w:val="center"/>
          </w:tcPr>
          <w:p w14:paraId="68FC2226"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考虑内部控制</w:t>
            </w: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2BB6F59B"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w:t>
            </w:r>
            <w:r>
              <w:rPr>
                <w:rFonts w:cs="Calibri" w:hint="eastAsia"/>
                <w:color w:val="333333"/>
                <w:sz w:val="21"/>
                <w:szCs w:val="21"/>
              </w:rPr>
              <w:t>以往审计中对内部控制运行有效性评价的结果，包括所识别的控</w:t>
            </w:r>
            <w:r>
              <w:rPr>
                <w:rFonts w:cs="Calibri" w:hint="eastAsia"/>
                <w:color w:val="333333"/>
                <w:sz w:val="21"/>
                <w:szCs w:val="21"/>
              </w:rPr>
              <w:t>制缺陷的性质及应对措施</w:t>
            </w:r>
            <w:r>
              <w:rPr>
                <w:rFonts w:cs="Calibri" w:hint="eastAsia"/>
                <w:b/>
                <w:bCs/>
                <w:color w:val="FF0000"/>
                <w:sz w:val="21"/>
                <w:szCs w:val="21"/>
              </w:rPr>
              <w:t>[</w:t>
            </w:r>
            <w:r>
              <w:rPr>
                <w:rFonts w:cs="Calibri" w:hint="eastAsia"/>
                <w:b/>
                <w:bCs/>
                <w:color w:val="FF0000"/>
                <w:sz w:val="21"/>
                <w:szCs w:val="21"/>
              </w:rPr>
              <w:t>以往结果</w:t>
            </w:r>
            <w:r>
              <w:rPr>
                <w:rFonts w:cs="Calibri" w:hint="eastAsia"/>
                <w:b/>
                <w:bCs/>
                <w:color w:val="FF0000"/>
                <w:sz w:val="21"/>
                <w:szCs w:val="21"/>
              </w:rPr>
              <w:t>]</w:t>
            </w:r>
          </w:p>
        </w:tc>
      </w:tr>
      <w:tr w:rsidR="00000000" w14:paraId="69FE5F13" w14:textId="77777777">
        <w:trPr>
          <w:trHeight w:val="449"/>
          <w:jc w:val="center"/>
        </w:trPr>
        <w:tc>
          <w:tcPr>
            <w:tcW w:w="562" w:type="dxa"/>
            <w:vMerge/>
            <w:tcBorders>
              <w:top w:val="nil"/>
              <w:left w:val="single" w:sz="8" w:space="0" w:color="auto"/>
              <w:bottom w:val="single" w:sz="8" w:space="0" w:color="auto"/>
              <w:right w:val="single" w:sz="8" w:space="0" w:color="auto"/>
            </w:tcBorders>
            <w:vAlign w:val="center"/>
          </w:tcPr>
          <w:p w14:paraId="7FAAC722"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55A65B03"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w:t>
            </w:r>
            <w:r>
              <w:rPr>
                <w:rFonts w:cs="Calibri" w:hint="eastAsia"/>
                <w:color w:val="333333"/>
                <w:sz w:val="21"/>
                <w:szCs w:val="21"/>
              </w:rPr>
              <w:t>管理层重视设计和实施健全的内部控制的相关证据，包括这些内部控制得以适当记录的证据</w:t>
            </w:r>
            <w:r>
              <w:rPr>
                <w:rFonts w:cs="Calibri" w:hint="eastAsia"/>
                <w:b/>
                <w:bCs/>
                <w:color w:val="FF0000"/>
                <w:sz w:val="21"/>
                <w:szCs w:val="21"/>
              </w:rPr>
              <w:t>[</w:t>
            </w:r>
            <w:r>
              <w:rPr>
                <w:rFonts w:cs="Calibri" w:hint="eastAsia"/>
                <w:b/>
                <w:bCs/>
                <w:color w:val="FF0000"/>
                <w:sz w:val="21"/>
                <w:szCs w:val="21"/>
              </w:rPr>
              <w:t>管理层基调</w:t>
            </w:r>
            <w:r>
              <w:rPr>
                <w:rFonts w:cs="Calibri" w:hint="eastAsia"/>
                <w:b/>
                <w:bCs/>
                <w:color w:val="FF0000"/>
                <w:sz w:val="21"/>
                <w:szCs w:val="21"/>
              </w:rPr>
              <w:t>]</w:t>
            </w:r>
          </w:p>
        </w:tc>
      </w:tr>
      <w:tr w:rsidR="00000000" w14:paraId="5B1D7380" w14:textId="77777777">
        <w:trPr>
          <w:trHeight w:val="449"/>
          <w:jc w:val="center"/>
        </w:trPr>
        <w:tc>
          <w:tcPr>
            <w:tcW w:w="562" w:type="dxa"/>
            <w:vMerge/>
            <w:tcBorders>
              <w:top w:val="nil"/>
              <w:left w:val="single" w:sz="8" w:space="0" w:color="auto"/>
              <w:bottom w:val="single" w:sz="8" w:space="0" w:color="auto"/>
              <w:right w:val="single" w:sz="8" w:space="0" w:color="auto"/>
            </w:tcBorders>
            <w:vAlign w:val="center"/>
          </w:tcPr>
          <w:p w14:paraId="5E9245B3"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2C88D026"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(9)</w:t>
            </w:r>
            <w:r>
              <w:rPr>
                <w:rFonts w:cs="Calibri" w:hint="eastAsia"/>
                <w:color w:val="333333"/>
                <w:sz w:val="21"/>
                <w:szCs w:val="21"/>
              </w:rPr>
              <w:t>基于交易规模、审计效率确定是否依赖内部控制</w:t>
            </w:r>
          </w:p>
          <w:p w14:paraId="17A61FC4"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确定是否依赖</w:t>
            </w:r>
            <w:r>
              <w:rPr>
                <w:rFonts w:cs="Calibri" w:hint="eastAsia"/>
                <w:b/>
                <w:bCs/>
                <w:color w:val="FF0000"/>
                <w:sz w:val="21"/>
                <w:szCs w:val="21"/>
              </w:rPr>
              <w:t>]</w:t>
            </w:r>
          </w:p>
        </w:tc>
      </w:tr>
      <w:tr w:rsidR="00000000" w14:paraId="6FBE88B2" w14:textId="77777777">
        <w:trPr>
          <w:trHeight w:val="224"/>
          <w:jc w:val="center"/>
        </w:trPr>
        <w:tc>
          <w:tcPr>
            <w:tcW w:w="562" w:type="dxa"/>
            <w:vMerge/>
            <w:tcBorders>
              <w:top w:val="nil"/>
              <w:left w:val="single" w:sz="8" w:space="0" w:color="auto"/>
              <w:bottom w:val="single" w:sz="8" w:space="0" w:color="auto"/>
              <w:right w:val="single" w:sz="8" w:space="0" w:color="auto"/>
            </w:tcBorders>
            <w:vAlign w:val="center"/>
          </w:tcPr>
          <w:p w14:paraId="13E4D26A"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4C68E8F9"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(10)</w:t>
            </w:r>
            <w:r>
              <w:rPr>
                <w:rFonts w:cs="Calibri" w:hint="eastAsia"/>
                <w:color w:val="333333"/>
                <w:sz w:val="21"/>
                <w:szCs w:val="21"/>
              </w:rPr>
              <w:t>对内部控制重要性的重视程度</w:t>
            </w:r>
            <w:r>
              <w:rPr>
                <w:rFonts w:cs="Calibri" w:hint="eastAsia"/>
                <w:b/>
                <w:bCs/>
                <w:color w:val="FF0000"/>
                <w:sz w:val="21"/>
                <w:szCs w:val="21"/>
              </w:rPr>
              <w:t>[</w:t>
            </w:r>
            <w:r>
              <w:rPr>
                <w:rFonts w:cs="Calibri" w:hint="eastAsia"/>
                <w:b/>
                <w:bCs/>
                <w:color w:val="FF0000"/>
                <w:sz w:val="21"/>
                <w:szCs w:val="21"/>
              </w:rPr>
              <w:t>重视程度</w:t>
            </w:r>
            <w:r>
              <w:rPr>
                <w:rFonts w:cs="Calibri" w:hint="eastAsia"/>
                <w:b/>
                <w:bCs/>
                <w:color w:val="FF0000"/>
                <w:sz w:val="21"/>
                <w:szCs w:val="21"/>
              </w:rPr>
              <w:t>]</w:t>
            </w:r>
          </w:p>
        </w:tc>
      </w:tr>
    </w:tbl>
    <w:p w14:paraId="7B8F189C" w14:textId="77777777" w:rsidR="00000000" w:rsidRDefault="00423821">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562"/>
        <w:gridCol w:w="7943"/>
      </w:tblGrid>
      <w:tr w:rsidR="00000000" w14:paraId="367107D6" w14:textId="77777777">
        <w:trPr>
          <w:trHeight w:val="132"/>
          <w:jc w:val="center"/>
        </w:trPr>
        <w:tc>
          <w:tcPr>
            <w:tcW w:w="562" w:type="dxa"/>
            <w:tcBorders>
              <w:top w:val="single" w:sz="8" w:space="0" w:color="auto"/>
              <w:left w:val="single" w:sz="8" w:space="0" w:color="auto"/>
              <w:bottom w:val="single" w:sz="8" w:space="0" w:color="auto"/>
              <w:right w:val="single" w:sz="8" w:space="0" w:color="auto"/>
            </w:tcBorders>
            <w:tcMar>
              <w:top w:w="15" w:type="dxa"/>
              <w:left w:w="65" w:type="dxa"/>
              <w:bottom w:w="0" w:type="dxa"/>
              <w:right w:w="65" w:type="dxa"/>
            </w:tcMar>
          </w:tcPr>
          <w:p w14:paraId="3BB013EE" w14:textId="77777777" w:rsidR="00000000" w:rsidRDefault="00423821">
            <w:pPr>
              <w:rPr>
                <w:rFonts w:ascii="微软雅黑" w:eastAsia="微软雅黑" w:hAnsi="微软雅黑" w:cs="宋体"/>
                <w:color w:val="3F3F3F"/>
                <w:szCs w:val="21"/>
              </w:rPr>
            </w:pPr>
          </w:p>
        </w:tc>
        <w:tc>
          <w:tcPr>
            <w:tcW w:w="7943" w:type="dxa"/>
            <w:tcBorders>
              <w:top w:val="single" w:sz="8" w:space="0" w:color="auto"/>
              <w:left w:val="nil"/>
              <w:bottom w:val="single" w:sz="8" w:space="0" w:color="auto"/>
              <w:right w:val="single" w:sz="8" w:space="0" w:color="auto"/>
            </w:tcBorders>
            <w:tcMar>
              <w:top w:w="15" w:type="dxa"/>
              <w:left w:w="65" w:type="dxa"/>
              <w:bottom w:w="0" w:type="dxa"/>
              <w:right w:w="65" w:type="dxa"/>
            </w:tcMar>
            <w:vAlign w:val="center"/>
          </w:tcPr>
          <w:p w14:paraId="6CF963A8"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162B13ED" w14:textId="77777777">
        <w:trPr>
          <w:trHeight w:val="444"/>
          <w:jc w:val="center"/>
        </w:trPr>
        <w:tc>
          <w:tcPr>
            <w:tcW w:w="562" w:type="dxa"/>
            <w:vMerge w:val="restart"/>
            <w:tcBorders>
              <w:top w:val="nil"/>
              <w:left w:val="single" w:sz="8" w:space="0" w:color="auto"/>
              <w:bottom w:val="single" w:sz="8" w:space="0" w:color="auto"/>
              <w:right w:val="single" w:sz="8" w:space="0" w:color="auto"/>
            </w:tcBorders>
            <w:tcMar>
              <w:top w:w="15" w:type="dxa"/>
              <w:left w:w="65" w:type="dxa"/>
              <w:bottom w:w="0" w:type="dxa"/>
              <w:right w:w="65" w:type="dxa"/>
            </w:tcMar>
            <w:vAlign w:val="center"/>
          </w:tcPr>
          <w:p w14:paraId="2946747C"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考虑重大变化</w:t>
            </w: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0EEF876D"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(11)</w:t>
            </w:r>
            <w:r>
              <w:rPr>
                <w:rFonts w:cs="Calibri" w:hint="eastAsia"/>
                <w:color w:val="333333"/>
                <w:sz w:val="21"/>
                <w:szCs w:val="21"/>
              </w:rPr>
              <w:t>影响被审计单位经营的重大发展变化，包括信息技术、业务流程、关键管理人员变化以及收购、兼并和分立</w:t>
            </w:r>
            <w:r>
              <w:rPr>
                <w:rFonts w:cs="Calibri" w:hint="eastAsia"/>
                <w:b/>
                <w:bCs/>
                <w:color w:val="FF0000"/>
                <w:sz w:val="21"/>
                <w:szCs w:val="21"/>
              </w:rPr>
              <w:t>[</w:t>
            </w:r>
            <w:r>
              <w:rPr>
                <w:rFonts w:cs="Calibri" w:hint="eastAsia"/>
                <w:b/>
                <w:bCs/>
                <w:color w:val="FF0000"/>
                <w:sz w:val="21"/>
                <w:szCs w:val="21"/>
              </w:rPr>
              <w:t>经营变化</w:t>
            </w:r>
            <w:r>
              <w:rPr>
                <w:rFonts w:cs="Calibri" w:hint="eastAsia"/>
                <w:b/>
                <w:bCs/>
                <w:color w:val="FF0000"/>
                <w:sz w:val="21"/>
                <w:szCs w:val="21"/>
              </w:rPr>
              <w:t>]</w:t>
            </w:r>
          </w:p>
        </w:tc>
      </w:tr>
      <w:tr w:rsidR="00000000" w14:paraId="55C3D791" w14:textId="77777777">
        <w:trPr>
          <w:trHeight w:val="279"/>
          <w:jc w:val="center"/>
        </w:trPr>
        <w:tc>
          <w:tcPr>
            <w:tcW w:w="562" w:type="dxa"/>
            <w:vMerge/>
            <w:tcBorders>
              <w:top w:val="nil"/>
              <w:left w:val="single" w:sz="8" w:space="0" w:color="auto"/>
              <w:bottom w:val="single" w:sz="8" w:space="0" w:color="auto"/>
              <w:right w:val="single" w:sz="8" w:space="0" w:color="auto"/>
            </w:tcBorders>
            <w:vAlign w:val="center"/>
          </w:tcPr>
          <w:p w14:paraId="0DA82ED6"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08198304"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(12)</w:t>
            </w:r>
            <w:r>
              <w:rPr>
                <w:rFonts w:cs="Calibri" w:hint="eastAsia"/>
                <w:color w:val="333333"/>
                <w:sz w:val="21"/>
                <w:szCs w:val="21"/>
              </w:rPr>
              <w:t>重大行业发展情况，如行业法规变化和新的报告规定</w:t>
            </w:r>
            <w:r>
              <w:rPr>
                <w:rFonts w:cs="Calibri" w:hint="eastAsia"/>
                <w:b/>
                <w:bCs/>
                <w:color w:val="FF0000"/>
                <w:sz w:val="21"/>
                <w:szCs w:val="21"/>
              </w:rPr>
              <w:t>[</w:t>
            </w:r>
            <w:r>
              <w:rPr>
                <w:rFonts w:cs="Calibri" w:hint="eastAsia"/>
                <w:b/>
                <w:bCs/>
                <w:color w:val="FF0000"/>
                <w:sz w:val="21"/>
                <w:szCs w:val="21"/>
              </w:rPr>
              <w:t>行业变化</w:t>
            </w:r>
            <w:r>
              <w:rPr>
                <w:rFonts w:cs="Calibri" w:hint="eastAsia"/>
                <w:b/>
                <w:bCs/>
                <w:color w:val="FF0000"/>
                <w:sz w:val="21"/>
                <w:szCs w:val="21"/>
              </w:rPr>
              <w:t>]</w:t>
            </w:r>
          </w:p>
        </w:tc>
      </w:tr>
      <w:tr w:rsidR="00000000" w14:paraId="720CEDCA" w14:textId="77777777">
        <w:trPr>
          <w:trHeight w:val="177"/>
          <w:jc w:val="center"/>
        </w:trPr>
        <w:tc>
          <w:tcPr>
            <w:tcW w:w="562" w:type="dxa"/>
            <w:vMerge/>
            <w:tcBorders>
              <w:top w:val="nil"/>
              <w:left w:val="single" w:sz="8" w:space="0" w:color="auto"/>
              <w:bottom w:val="single" w:sz="8" w:space="0" w:color="auto"/>
              <w:right w:val="single" w:sz="8" w:space="0" w:color="auto"/>
            </w:tcBorders>
            <w:vAlign w:val="center"/>
          </w:tcPr>
          <w:p w14:paraId="5531A878"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6D18F8C7"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(13)</w:t>
            </w:r>
            <w:r>
              <w:rPr>
                <w:rFonts w:cs="Calibri" w:hint="eastAsia"/>
                <w:color w:val="333333"/>
                <w:sz w:val="21"/>
                <w:szCs w:val="21"/>
              </w:rPr>
              <w:t>会计准则及会计</w:t>
            </w:r>
            <w:r>
              <w:rPr>
                <w:rFonts w:cs="Calibri" w:hint="eastAsia"/>
                <w:color w:val="333333"/>
                <w:sz w:val="21"/>
                <w:szCs w:val="21"/>
              </w:rPr>
              <w:t>制度的变化</w:t>
            </w:r>
            <w:r>
              <w:rPr>
                <w:rFonts w:cs="Calibri" w:hint="eastAsia"/>
                <w:b/>
                <w:bCs/>
                <w:color w:val="FF0000"/>
                <w:sz w:val="21"/>
                <w:szCs w:val="21"/>
              </w:rPr>
              <w:t>[</w:t>
            </w:r>
            <w:r>
              <w:rPr>
                <w:rFonts w:cs="Calibri" w:hint="eastAsia"/>
                <w:b/>
                <w:bCs/>
                <w:color w:val="FF0000"/>
                <w:sz w:val="21"/>
                <w:szCs w:val="21"/>
              </w:rPr>
              <w:t>准则变化</w:t>
            </w:r>
            <w:r>
              <w:rPr>
                <w:rFonts w:cs="Calibri" w:hint="eastAsia"/>
                <w:b/>
                <w:bCs/>
                <w:color w:val="FF0000"/>
                <w:sz w:val="21"/>
                <w:szCs w:val="21"/>
              </w:rPr>
              <w:t>]</w:t>
            </w:r>
          </w:p>
        </w:tc>
      </w:tr>
      <w:tr w:rsidR="00000000" w14:paraId="61B51AD6" w14:textId="77777777">
        <w:trPr>
          <w:trHeight w:val="279"/>
          <w:jc w:val="center"/>
        </w:trPr>
        <w:tc>
          <w:tcPr>
            <w:tcW w:w="562" w:type="dxa"/>
            <w:vMerge/>
            <w:tcBorders>
              <w:top w:val="nil"/>
              <w:left w:val="single" w:sz="8" w:space="0" w:color="auto"/>
              <w:bottom w:val="single" w:sz="8" w:space="0" w:color="auto"/>
              <w:right w:val="single" w:sz="8" w:space="0" w:color="auto"/>
            </w:tcBorders>
            <w:vAlign w:val="center"/>
          </w:tcPr>
          <w:p w14:paraId="750B5631" w14:textId="77777777" w:rsidR="00000000" w:rsidRDefault="00423821">
            <w:pPr>
              <w:rPr>
                <w:rFonts w:eastAsia="微软雅黑" w:cs="Calibri"/>
                <w:color w:val="333333"/>
                <w:szCs w:val="21"/>
              </w:rPr>
            </w:pPr>
          </w:p>
        </w:tc>
        <w:tc>
          <w:tcPr>
            <w:tcW w:w="7943" w:type="dxa"/>
            <w:tcBorders>
              <w:top w:val="nil"/>
              <w:left w:val="nil"/>
              <w:bottom w:val="single" w:sz="8" w:space="0" w:color="auto"/>
              <w:right w:val="single" w:sz="8" w:space="0" w:color="auto"/>
            </w:tcBorders>
            <w:tcMar>
              <w:top w:w="15" w:type="dxa"/>
              <w:left w:w="65" w:type="dxa"/>
              <w:bottom w:w="0" w:type="dxa"/>
              <w:right w:w="65" w:type="dxa"/>
            </w:tcMar>
            <w:vAlign w:val="center"/>
          </w:tcPr>
          <w:p w14:paraId="4EF680B9"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(14)</w:t>
            </w:r>
            <w:r>
              <w:rPr>
                <w:rFonts w:cs="Calibri" w:hint="eastAsia"/>
                <w:color w:val="333333"/>
                <w:sz w:val="21"/>
                <w:szCs w:val="21"/>
              </w:rPr>
              <w:t>其他重大变化，如影响被审计单位的法律环境的变化</w:t>
            </w:r>
          </w:p>
        </w:tc>
      </w:tr>
    </w:tbl>
    <w:p w14:paraId="7BD37794"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调配审计资源</w:t>
      </w:r>
      <w:r>
        <w:rPr>
          <w:rFonts w:ascii="Calibri" w:eastAsia="微软雅黑" w:hAnsi="Calibri" w:cs="Calibri"/>
          <w:color w:val="3F3F3F"/>
          <w:sz w:val="21"/>
          <w:szCs w:val="21"/>
        </w:rPr>
        <w:pict w14:anchorId="1532B4BC">
          <v:shape id="_x0000_i1027" type="#_x0000_t75" alt="0纸质教材" style="width:210.75pt;height:13.5pt">
            <v:fill o:detectmouseclick="t"/>
            <v:imagedata r:id="rId8" o:title="0纸质教材"/>
          </v:shape>
        </w:pict>
      </w:r>
    </w:p>
    <w:p w14:paraId="7A9F61EC"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共列举了</w:t>
      </w:r>
      <w:r>
        <w:rPr>
          <w:rFonts w:cs="Calibri" w:hint="eastAsia"/>
          <w:b/>
          <w:bCs/>
          <w:color w:val="FF0000"/>
          <w:sz w:val="21"/>
          <w:szCs w:val="21"/>
        </w:rPr>
        <w:t>4</w:t>
      </w:r>
      <w:r>
        <w:rPr>
          <w:rFonts w:cs="Calibri" w:hint="eastAsia"/>
          <w:b/>
          <w:bCs/>
          <w:color w:val="FF0000"/>
          <w:sz w:val="21"/>
          <w:szCs w:val="21"/>
        </w:rPr>
        <w:t>项</w:t>
      </w:r>
      <w:r>
        <w:rPr>
          <w:rFonts w:cs="Calibri" w:hint="eastAsia"/>
          <w:color w:val="3F3F3F"/>
          <w:sz w:val="21"/>
          <w:szCs w:val="21"/>
        </w:rPr>
        <w:t>具体内容：</w:t>
      </w:r>
    </w:p>
    <w:tbl>
      <w:tblPr>
        <w:tblW w:w="0" w:type="auto"/>
        <w:jc w:val="center"/>
        <w:tblInd w:w="0" w:type="dxa"/>
        <w:tblLayout w:type="fixed"/>
        <w:tblCellMar>
          <w:left w:w="0" w:type="dxa"/>
          <w:right w:w="0" w:type="dxa"/>
        </w:tblCellMar>
        <w:tblLook w:val="0000" w:firstRow="0" w:lastRow="0" w:firstColumn="0" w:lastColumn="0" w:noHBand="0" w:noVBand="0"/>
      </w:tblPr>
      <w:tblGrid>
        <w:gridCol w:w="1039"/>
        <w:gridCol w:w="7466"/>
      </w:tblGrid>
      <w:tr w:rsidR="00000000" w14:paraId="21F7DF26" w14:textId="77777777">
        <w:trPr>
          <w:trHeight w:val="69"/>
          <w:jc w:val="center"/>
        </w:trPr>
        <w:tc>
          <w:tcPr>
            <w:tcW w:w="1039"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4F7C8FFF" w14:textId="77777777" w:rsidR="00000000" w:rsidRDefault="00423821">
            <w:pPr>
              <w:rPr>
                <w:rFonts w:eastAsia="微软雅黑" w:cs="Calibri"/>
                <w:color w:val="3F3F3F"/>
                <w:szCs w:val="21"/>
              </w:rPr>
            </w:pPr>
          </w:p>
        </w:tc>
        <w:tc>
          <w:tcPr>
            <w:tcW w:w="7466"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78AD0DD0"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671D1479" w14:textId="77777777">
        <w:trPr>
          <w:trHeight w:val="220"/>
          <w:jc w:val="center"/>
        </w:trPr>
        <w:tc>
          <w:tcPr>
            <w:tcW w:w="1039"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D386E93"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w:t>
            </w:r>
          </w:p>
          <w:p w14:paraId="38F6D8F7"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人员和</w:t>
            </w:r>
          </w:p>
          <w:p w14:paraId="70EE5438" w14:textId="77777777" w:rsidR="00000000" w:rsidRDefault="0042382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时间</w:t>
            </w:r>
          </w:p>
        </w:tc>
        <w:tc>
          <w:tcPr>
            <w:tcW w:w="74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0221D60B"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向具体审计领域调配的资源，包括向高风险领域分派有适当经验的项目组成员，就复杂的问题利用专家工作等</w:t>
            </w:r>
            <w:r>
              <w:rPr>
                <w:rFonts w:cs="Calibri" w:hint="eastAsia"/>
                <w:b/>
                <w:bCs/>
                <w:color w:val="FF0000"/>
                <w:sz w:val="21"/>
                <w:szCs w:val="21"/>
              </w:rPr>
              <w:t>[</w:t>
            </w:r>
            <w:r>
              <w:rPr>
                <w:rFonts w:cs="Calibri" w:hint="eastAsia"/>
                <w:b/>
                <w:bCs/>
                <w:color w:val="FF0000"/>
                <w:sz w:val="21"/>
                <w:szCs w:val="21"/>
              </w:rPr>
              <w:t>调配资源</w:t>
            </w:r>
            <w:r>
              <w:rPr>
                <w:rFonts w:cs="Calibri" w:hint="eastAsia"/>
                <w:b/>
                <w:bCs/>
                <w:color w:val="FF0000"/>
                <w:sz w:val="21"/>
                <w:szCs w:val="21"/>
              </w:rPr>
              <w:t>]</w:t>
            </w:r>
          </w:p>
        </w:tc>
      </w:tr>
      <w:tr w:rsidR="00000000" w14:paraId="18562927" w14:textId="77777777">
        <w:trPr>
          <w:trHeight w:val="295"/>
          <w:jc w:val="center"/>
        </w:trPr>
        <w:tc>
          <w:tcPr>
            <w:tcW w:w="1039" w:type="dxa"/>
            <w:vMerge/>
            <w:tcBorders>
              <w:top w:val="nil"/>
              <w:left w:val="single" w:sz="8" w:space="0" w:color="auto"/>
              <w:bottom w:val="single" w:sz="8" w:space="0" w:color="auto"/>
              <w:right w:val="single" w:sz="8" w:space="0" w:color="auto"/>
            </w:tcBorders>
            <w:vAlign w:val="center"/>
          </w:tcPr>
          <w:p w14:paraId="61A753CD" w14:textId="77777777" w:rsidR="00000000" w:rsidRDefault="00423821">
            <w:pPr>
              <w:rPr>
                <w:rFonts w:eastAsia="微软雅黑" w:cs="Calibri"/>
                <w:color w:val="333333"/>
                <w:szCs w:val="21"/>
              </w:rPr>
            </w:pPr>
          </w:p>
        </w:tc>
        <w:tc>
          <w:tcPr>
            <w:tcW w:w="74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6B46DB40"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向具体审计领域分配资源的多少，包括分派到重要地点监盘存货的项目组成员的人数，在集团审计中复核组成部分注册会计师工作的范围，向高风险领域分配的审计时间预算等</w:t>
            </w:r>
            <w:r>
              <w:rPr>
                <w:rFonts w:cs="Calibri" w:hint="eastAsia"/>
                <w:b/>
                <w:bCs/>
                <w:color w:val="FF0000"/>
                <w:sz w:val="21"/>
                <w:szCs w:val="21"/>
              </w:rPr>
              <w:t>[</w:t>
            </w:r>
            <w:r>
              <w:rPr>
                <w:rFonts w:cs="Calibri" w:hint="eastAsia"/>
                <w:b/>
                <w:bCs/>
                <w:color w:val="FF0000"/>
                <w:sz w:val="21"/>
                <w:szCs w:val="21"/>
              </w:rPr>
              <w:t>资源分配</w:t>
            </w:r>
            <w:r>
              <w:rPr>
                <w:rFonts w:cs="Calibri" w:hint="eastAsia"/>
                <w:b/>
                <w:bCs/>
                <w:color w:val="FF0000"/>
                <w:sz w:val="21"/>
                <w:szCs w:val="21"/>
              </w:rPr>
              <w:t>]</w:t>
            </w:r>
          </w:p>
        </w:tc>
      </w:tr>
      <w:tr w:rsidR="00000000" w14:paraId="24844D0F" w14:textId="77777777">
        <w:trPr>
          <w:trHeight w:val="401"/>
          <w:jc w:val="center"/>
        </w:trPr>
        <w:tc>
          <w:tcPr>
            <w:tcW w:w="1039" w:type="dxa"/>
            <w:vMerge/>
            <w:tcBorders>
              <w:top w:val="nil"/>
              <w:left w:val="single" w:sz="8" w:space="0" w:color="auto"/>
              <w:bottom w:val="single" w:sz="8" w:space="0" w:color="auto"/>
              <w:right w:val="single" w:sz="8" w:space="0" w:color="auto"/>
            </w:tcBorders>
            <w:vAlign w:val="center"/>
          </w:tcPr>
          <w:p w14:paraId="3C757D3B" w14:textId="77777777" w:rsidR="00000000" w:rsidRDefault="00423821">
            <w:pPr>
              <w:rPr>
                <w:rFonts w:eastAsia="微软雅黑" w:cs="Calibri"/>
                <w:color w:val="333333"/>
                <w:szCs w:val="21"/>
              </w:rPr>
            </w:pPr>
          </w:p>
        </w:tc>
        <w:tc>
          <w:tcPr>
            <w:tcW w:w="74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025225E4"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何时调配这些资源，包括是在期中审计阶段还是在</w:t>
            </w:r>
            <w:r>
              <w:rPr>
                <w:rFonts w:cs="Calibri" w:hint="eastAsia"/>
                <w:color w:val="333333"/>
                <w:sz w:val="21"/>
                <w:szCs w:val="21"/>
              </w:rPr>
              <w:t>关键的截止日期调配资源等</w:t>
            </w:r>
            <w:r>
              <w:rPr>
                <w:rFonts w:cs="Calibri" w:hint="eastAsia"/>
                <w:b/>
                <w:bCs/>
                <w:color w:val="FF0000"/>
                <w:sz w:val="21"/>
                <w:szCs w:val="21"/>
              </w:rPr>
              <w:t>[</w:t>
            </w:r>
            <w:r>
              <w:rPr>
                <w:rFonts w:cs="Calibri" w:hint="eastAsia"/>
                <w:b/>
                <w:bCs/>
                <w:color w:val="FF0000"/>
                <w:sz w:val="21"/>
                <w:szCs w:val="21"/>
              </w:rPr>
              <w:t>调配时间</w:t>
            </w:r>
            <w:r>
              <w:rPr>
                <w:rFonts w:cs="Calibri" w:hint="eastAsia"/>
                <w:b/>
                <w:bCs/>
                <w:color w:val="FF0000"/>
                <w:sz w:val="21"/>
                <w:szCs w:val="21"/>
              </w:rPr>
              <w:t>]</w:t>
            </w:r>
          </w:p>
        </w:tc>
      </w:tr>
      <w:tr w:rsidR="00000000" w14:paraId="1082CA58" w14:textId="77777777">
        <w:trPr>
          <w:trHeight w:val="824"/>
          <w:jc w:val="center"/>
        </w:trPr>
        <w:tc>
          <w:tcPr>
            <w:tcW w:w="1039" w:type="dxa"/>
            <w:vMerge/>
            <w:tcBorders>
              <w:top w:val="nil"/>
              <w:left w:val="single" w:sz="8" w:space="0" w:color="auto"/>
              <w:bottom w:val="single" w:sz="8" w:space="0" w:color="auto"/>
              <w:right w:val="single" w:sz="8" w:space="0" w:color="auto"/>
            </w:tcBorders>
            <w:vAlign w:val="center"/>
          </w:tcPr>
          <w:p w14:paraId="028CF8E5" w14:textId="77777777" w:rsidR="00000000" w:rsidRDefault="00423821">
            <w:pPr>
              <w:rPr>
                <w:rFonts w:eastAsia="微软雅黑" w:cs="Calibri"/>
                <w:color w:val="333333"/>
                <w:szCs w:val="21"/>
              </w:rPr>
            </w:pPr>
          </w:p>
        </w:tc>
        <w:tc>
          <w:tcPr>
            <w:tcW w:w="7466" w:type="dxa"/>
            <w:tcBorders>
              <w:top w:val="nil"/>
              <w:left w:val="nil"/>
              <w:bottom w:val="single" w:sz="8" w:space="0" w:color="auto"/>
              <w:right w:val="single" w:sz="8" w:space="0" w:color="auto"/>
            </w:tcBorders>
            <w:tcMar>
              <w:top w:w="15" w:type="dxa"/>
              <w:left w:w="108" w:type="dxa"/>
              <w:bottom w:w="0" w:type="dxa"/>
              <w:right w:w="108" w:type="dxa"/>
            </w:tcMar>
            <w:vAlign w:val="center"/>
          </w:tcPr>
          <w:p w14:paraId="75351565" w14:textId="77777777" w:rsidR="00000000" w:rsidRDefault="00423821">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如何管理、指导、监督这些资源，包括预期何时召开项目组预备会和总结会，预期项目合伙人和经理如何进行复核，是否需要实施项目质量控制复核等</w:t>
            </w:r>
            <w:r>
              <w:rPr>
                <w:rFonts w:cs="Calibri" w:hint="eastAsia"/>
                <w:b/>
                <w:bCs/>
                <w:color w:val="FF0000"/>
                <w:sz w:val="21"/>
                <w:szCs w:val="21"/>
              </w:rPr>
              <w:t>[</w:t>
            </w:r>
            <w:r>
              <w:rPr>
                <w:rFonts w:cs="Calibri" w:hint="eastAsia"/>
                <w:b/>
                <w:bCs/>
                <w:color w:val="FF0000"/>
                <w:sz w:val="21"/>
                <w:szCs w:val="21"/>
              </w:rPr>
              <w:t>管理资源</w:t>
            </w:r>
            <w:r>
              <w:rPr>
                <w:rFonts w:cs="Calibri" w:hint="eastAsia"/>
                <w:b/>
                <w:bCs/>
                <w:color w:val="FF0000"/>
                <w:sz w:val="21"/>
                <w:szCs w:val="21"/>
              </w:rPr>
              <w:t>]</w:t>
            </w:r>
          </w:p>
        </w:tc>
      </w:tr>
    </w:tbl>
    <w:p w14:paraId="049945C0" w14:textId="77777777" w:rsidR="00000000" w:rsidRDefault="00423821">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"http://webupload.admin.dongao.com/biz/handout/img/2019/20190419/20190419100839495002.jpg"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28" type="#_x0000_t75" style="width:321.75pt;height:178.5pt;mso-wrap-style:square;mso-position-horizontal-relative:page;mso-position-vertical-relative:page">
            <v:imagedata r:id="rId9" r:href="rId10"/>
          </v:shape>
        </w:pict>
      </w:r>
      <w:r>
        <w:rPr>
          <w:rFonts w:ascii="Calibri" w:eastAsia="微软雅黑" w:hAnsi="Calibri" w:cs="Calibri"/>
          <w:color w:val="3F3F3F"/>
          <w:sz w:val="21"/>
          <w:szCs w:val="21"/>
        </w:rPr>
        <w:fldChar w:fldCharType="end"/>
      </w:r>
    </w:p>
    <w:p w14:paraId="07157793" w14:textId="77777777" w:rsidR="00000000" w:rsidRDefault="00423821">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D98E4F1" w14:textId="77777777" w:rsidR="00000000" w:rsidRDefault="00423821">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D93E7A3"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w:t>
      </w:r>
      <w:r>
        <w:rPr>
          <w:rFonts w:cs="Calibri" w:hint="eastAsia"/>
          <w:color w:val="3F3F3F"/>
          <w:sz w:val="21"/>
          <w:szCs w:val="21"/>
        </w:rPr>
        <w:t>于制定总体审计策略时需要考虑的内容的有（　　）。</w:t>
      </w:r>
    </w:p>
    <w:p w14:paraId="3E2A3C3F"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信息技术对审计程序的影响</w:t>
      </w:r>
    </w:p>
    <w:p w14:paraId="7556032B"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被审计单位对外报告的时间表</w:t>
      </w:r>
    </w:p>
    <w:p w14:paraId="7FC470FE"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被审计单位关键管理人员的变化</w:t>
      </w:r>
    </w:p>
    <w:p w14:paraId="2E2FC187"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项目组预备会和总结会的召开时间</w:t>
      </w:r>
    </w:p>
    <w:p w14:paraId="79201841"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5F4F6900" w14:textId="77777777" w:rsidR="00000000" w:rsidRDefault="00423821">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047C1AB7"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在制定总体审计策略时，注册会计师刘忠应考虑的内容有（　　）。</w:t>
      </w:r>
    </w:p>
    <w:p w14:paraId="28199FAB"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了解被审计单位的关联方关系及其交易</w:t>
      </w:r>
    </w:p>
    <w:p w14:paraId="7A0F3E02"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拟执行控制测试的性质、时间安排和范围</w:t>
      </w:r>
    </w:p>
    <w:p w14:paraId="35CAB93B"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考虑就复杂问题利用专家的工作</w:t>
      </w:r>
    </w:p>
    <w:p w14:paraId="3D30D27E"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与管理层沟通对外报告的时间表</w:t>
      </w:r>
    </w:p>
    <w:p w14:paraId="1507FF3F"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]CD</w:t>
      </w:r>
    </w:p>
    <w:p w14:paraId="6ED7D4B2"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是审计资源的范畴；选项</w:t>
      </w:r>
      <w:r>
        <w:rPr>
          <w:rFonts w:cs="Calibri" w:hint="eastAsia"/>
          <w:color w:val="3F3F3F"/>
          <w:sz w:val="21"/>
          <w:szCs w:val="21"/>
        </w:rPr>
        <w:t>D</w:t>
      </w:r>
      <w:r>
        <w:rPr>
          <w:rFonts w:cs="Calibri" w:hint="eastAsia"/>
          <w:color w:val="3F3F3F"/>
          <w:sz w:val="21"/>
          <w:szCs w:val="21"/>
        </w:rPr>
        <w:t>是报告目标和时间安排的范畴</w:t>
      </w:r>
      <w:r>
        <w:rPr>
          <w:rFonts w:cs="Calibri" w:hint="eastAsia"/>
          <w:color w:val="3F3F3F"/>
          <w:sz w:val="21"/>
          <w:szCs w:val="21"/>
        </w:rPr>
        <w:t>；均属于总体审计策略所需要解决的问题；反观选项</w:t>
      </w:r>
      <w:r>
        <w:rPr>
          <w:rFonts w:cs="Calibri" w:hint="eastAsia"/>
          <w:color w:val="3F3F3F"/>
          <w:sz w:val="21"/>
          <w:szCs w:val="21"/>
        </w:rPr>
        <w:t>A</w:t>
      </w:r>
      <w:r>
        <w:rPr>
          <w:rFonts w:cs="Calibri" w:hint="eastAsia"/>
          <w:color w:val="3F3F3F"/>
          <w:sz w:val="21"/>
          <w:szCs w:val="21"/>
        </w:rPr>
        <w:t>和选项</w:t>
      </w:r>
      <w:r>
        <w:rPr>
          <w:rFonts w:cs="Calibri" w:hint="eastAsia"/>
          <w:color w:val="3F3F3F"/>
          <w:sz w:val="21"/>
          <w:szCs w:val="21"/>
        </w:rPr>
        <w:t>B</w:t>
      </w:r>
      <w:r>
        <w:rPr>
          <w:rFonts w:cs="Calibri" w:hint="eastAsia"/>
          <w:color w:val="3F3F3F"/>
          <w:sz w:val="21"/>
          <w:szCs w:val="21"/>
        </w:rPr>
        <w:t>，都是具体到</w:t>
      </w:r>
      <w:r>
        <w:rPr>
          <w:rFonts w:cs="Calibri" w:hint="eastAsia"/>
          <w:b/>
          <w:bCs/>
          <w:color w:val="FF0000"/>
          <w:sz w:val="21"/>
          <w:szCs w:val="21"/>
        </w:rPr>
        <w:t>某一类程序</w:t>
      </w:r>
      <w:r>
        <w:rPr>
          <w:rFonts w:cs="Calibri" w:hint="eastAsia"/>
          <w:color w:val="3F3F3F"/>
          <w:sz w:val="21"/>
          <w:szCs w:val="21"/>
        </w:rPr>
        <w:t>的设计和执行，这是比较典型的具体审计计划的特征。</w:t>
      </w:r>
    </w:p>
    <w:p w14:paraId="6907B56F" w14:textId="77777777" w:rsidR="00000000" w:rsidRDefault="00423821">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67C85E6E"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注册会计师应当在总体审计策略中说明审计资源的规划和调配，以下不属于对审计资源规划所需考虑的事项是（　　）。</w:t>
      </w:r>
    </w:p>
    <w:p w14:paraId="0CDB8C83"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向高风险领域分派有适当经验的项目组成员</w:t>
      </w:r>
    </w:p>
    <w:p w14:paraId="5DAA3C4E"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在集团审计中复核组成部分注册会计师工作的范围</w:t>
      </w:r>
    </w:p>
    <w:p w14:paraId="66D85772"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是在期中审计阶段还是在关键的截止日期调配资源</w:t>
      </w:r>
    </w:p>
    <w:p w14:paraId="149FABD3"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内部审计工作的可获得性及拟信赖内部审计工作的程度</w:t>
      </w:r>
    </w:p>
    <w:p w14:paraId="4C8F7759"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36E265ED" w14:textId="77777777" w:rsidR="00000000" w:rsidRDefault="00423821">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属于在确定审计范围时应考虑的因</w:t>
      </w:r>
      <w:r>
        <w:rPr>
          <w:rFonts w:cs="Calibri" w:hint="eastAsia"/>
          <w:color w:val="3F3F3F"/>
          <w:sz w:val="21"/>
          <w:szCs w:val="21"/>
        </w:rPr>
        <w:t>素。</w:t>
      </w:r>
    </w:p>
    <w:p w14:paraId="266D11B6" w14:textId="77777777" w:rsidR="00000000" w:rsidRDefault="00423821">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14D3A13" w14:textId="77777777" w:rsidR="00000000" w:rsidRDefault="00423821">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"http://webupload.admin.dongao.com/biz/handout/img/2019/20190419/20190419100839220003.jpg"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377.25pt;height:245.2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4AB9C544" w14:textId="77777777" w:rsidR="00000000" w:rsidRDefault="00423821">
      <w:pPr>
        <w:shd w:val="clear" w:color="auto" w:fill="FFFFFF"/>
        <w:rPr>
          <w:rFonts w:ascii="微软雅黑" w:eastAsia="微软雅黑" w:hAnsi="微软雅黑" w:cs="宋体"/>
          <w:color w:val="3F3F3F"/>
          <w:szCs w:val="21"/>
        </w:rPr>
      </w:pPr>
    </w:p>
    <w:p w14:paraId="53D19DCA" w14:textId="77777777" w:rsidR="00000000" w:rsidRDefault="00423821"/>
    <w:sectPr w:rsidR="00000000">
      <w:headerReference w:type="default" r:id="rId13"/>
      <w:footerReference w:type="default" r:id="rId14"/>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81880" w14:textId="77777777" w:rsidR="00000000" w:rsidRDefault="00423821">
      <w:r>
        <w:separator/>
      </w:r>
    </w:p>
  </w:endnote>
  <w:endnote w:type="continuationSeparator" w:id="0">
    <w:p w14:paraId="0DCCC5D0" w14:textId="77777777" w:rsidR="00000000" w:rsidRDefault="0042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373959D7" w14:textId="77777777">
      <w:trPr>
        <w:trHeight w:val="274"/>
      </w:trPr>
      <w:tc>
        <w:tcPr>
          <w:tcW w:w="2050" w:type="dxa"/>
          <w:vAlign w:val="center"/>
        </w:tcPr>
        <w:p w14:paraId="1CE575DC" w14:textId="77777777" w:rsidR="00000000" w:rsidRDefault="00423821">
          <w:pPr>
            <w:jc w:val="left"/>
            <w:rPr>
              <w:rFonts w:ascii="楷体" w:eastAsia="楷体" w:hAnsi="楷体"/>
              <w:b/>
              <w:sz w:val="28"/>
              <w:szCs w:val="28"/>
            </w:rPr>
          </w:pPr>
          <w:r>
            <w:rPr>
              <w:lang w:val="en-US" w:eastAsia="zh-CN"/>
            </w:rPr>
            <w:pict w14:anchorId="22315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29E73564" w14:textId="77777777" w:rsidR="00000000" w:rsidRDefault="00423821">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25F80736" w14:textId="77777777" w:rsidR="00000000" w:rsidRDefault="00423821">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2E3861ED" w14:textId="77777777" w:rsidR="00000000" w:rsidRDefault="00423821">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C4366" w14:textId="77777777" w:rsidR="00000000" w:rsidRDefault="00423821">
      <w:r>
        <w:separator/>
      </w:r>
    </w:p>
  </w:footnote>
  <w:footnote w:type="continuationSeparator" w:id="0">
    <w:p w14:paraId="6418DFE1" w14:textId="77777777" w:rsidR="00000000" w:rsidRDefault="00423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0CF4C18" w14:textId="77777777">
      <w:trPr>
        <w:trHeight w:val="501"/>
      </w:trPr>
      <w:tc>
        <w:tcPr>
          <w:tcW w:w="4272" w:type="dxa"/>
          <w:vAlign w:val="center"/>
        </w:tcPr>
        <w:p w14:paraId="7C35F6F5" w14:textId="77777777" w:rsidR="00000000" w:rsidRDefault="00423821">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3D4FFDFB" w14:textId="77777777" w:rsidR="00000000" w:rsidRDefault="00423821">
          <w:pPr>
            <w:wordWrap w:val="0"/>
            <w:jc w:val="right"/>
            <w:rPr>
              <w:rFonts w:ascii="微软雅黑" w:eastAsia="微软雅黑" w:hAnsi="微软雅黑"/>
              <w:sz w:val="24"/>
              <w:szCs w:val="24"/>
            </w:rPr>
          </w:pPr>
          <w:r>
            <w:rPr>
              <w:rFonts w:ascii="微软雅黑" w:eastAsia="微软雅黑" w:hAnsi="微软雅黑" w:hint="eastAsia"/>
              <w:sz w:val="24"/>
              <w:szCs w:val="24"/>
            </w:rPr>
            <w:t>第二章</w:t>
          </w:r>
          <w:r>
            <w:rPr>
              <w:rFonts w:ascii="微软雅黑" w:eastAsia="微软雅黑" w:hAnsi="微软雅黑"/>
              <w:sz w:val="24"/>
              <w:szCs w:val="24"/>
            </w:rPr>
            <w:t>+</w:t>
          </w:r>
          <w:r>
            <w:rPr>
              <w:rFonts w:ascii="微软雅黑" w:eastAsia="微软雅黑" w:hAnsi="微软雅黑"/>
              <w:sz w:val="24"/>
              <w:szCs w:val="24"/>
            </w:rPr>
            <w:t>审计计划</w:t>
          </w:r>
        </w:p>
      </w:tc>
    </w:tr>
  </w:tbl>
  <w:p w14:paraId="6BA6FA40" w14:textId="77777777" w:rsidR="00000000" w:rsidRDefault="00423821">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76755"/>
    <w:rsid w:val="00396A53"/>
    <w:rsid w:val="00397E03"/>
    <w:rsid w:val="00423821"/>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1129"/>
    <w:rsid w:val="00C64789"/>
    <w:rsid w:val="00CA0928"/>
    <w:rsid w:val="00CD53C5"/>
    <w:rsid w:val="00CE33B2"/>
    <w:rsid w:val="00D14EEC"/>
    <w:rsid w:val="00D40C69"/>
    <w:rsid w:val="00DA0E67"/>
    <w:rsid w:val="00DC6EA5"/>
    <w:rsid w:val="00E27FEA"/>
    <w:rsid w:val="00E91A26"/>
    <w:rsid w:val="00EC2EA7"/>
    <w:rsid w:val="00ED764B"/>
    <w:rsid w:val="00F4489B"/>
    <w:rsid w:val="00F86EF2"/>
    <w:rsid w:val="76244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AE85830"/>
  <w15:chartTrackingRefBased/>
  <w15:docId w15:val="{E61BE940-C610-4D81-BC20-A5067ABE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http://webupload.admin.dongao.com/biz/handout/img/2019/20190419/20190419100839266001.jpg" TargetMode="External"/><Relationship Id="rId12" Type="http://schemas.openxmlformats.org/officeDocument/2006/relationships/image" Target="http://webupload.admin.dongao.com/biz/handout/img/2019/20190419/20190419100839220003.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http://webupload.admin.dongao.com/biz/handout/img/2019/20190419/20190419100839495002.jpg"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