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BB8DE" w14:textId="77777777" w:rsidR="00000000" w:rsidRDefault="003B752F">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第一编·第二章·审计计划</w:t>
      </w:r>
    </w:p>
    <w:p w14:paraId="617FF2E4" w14:textId="77777777" w:rsidR="00000000" w:rsidRDefault="003B752F">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0495F14B" w14:textId="77777777" w:rsidR="00000000" w:rsidRDefault="003B752F">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重要性</w:t>
      </w:r>
    </w:p>
    <w:p w14:paraId="07568345" w14:textId="77777777" w:rsidR="00000000" w:rsidRDefault="003B752F">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三、审计过程中修改重要性</w:t>
      </w:r>
    </w:p>
    <w:p w14:paraId="1CF6AA50"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修改对象</w:t>
      </w:r>
    </w:p>
    <w:p w14:paraId="3DF0740A"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财务报表整体的重要性；</w:t>
      </w:r>
    </w:p>
    <w:p w14:paraId="4CA06738"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“特定”的重要性水平。</w:t>
      </w:r>
    </w:p>
    <w:p w14:paraId="40A4A30A"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修改情形</w:t>
      </w:r>
      <w:r>
        <w:rPr>
          <w:rFonts w:cs="Calibri" w:hint="eastAsia"/>
          <w:color w:val="3F3F3F"/>
          <w:sz w:val="21"/>
          <w:szCs w:val="21"/>
        </w:rPr>
        <w:t>[</w:t>
      </w:r>
      <w:r>
        <w:rPr>
          <w:rFonts w:cs="Calibri" w:hint="eastAsia"/>
          <w:color w:val="3F3F3F"/>
          <w:sz w:val="21"/>
          <w:szCs w:val="21"/>
        </w:rPr>
        <w:t>情况有变</w:t>
      </w:r>
      <w:r>
        <w:rPr>
          <w:rFonts w:cs="Calibri" w:hint="eastAsia"/>
          <w:color w:val="3F3F3F"/>
          <w:sz w:val="21"/>
          <w:szCs w:val="21"/>
        </w:rPr>
        <w:t>]</w:t>
      </w:r>
      <w:r>
        <w:rPr>
          <w:rFonts w:cs="Calibri" w:hint="eastAsia"/>
          <w:b/>
          <w:bCs/>
          <w:color w:val="FF0000"/>
          <w:sz w:val="21"/>
          <w:szCs w:val="21"/>
        </w:rPr>
        <w:t>【多选题高频考点】</w:t>
      </w:r>
    </w:p>
    <w:p w14:paraId="070F8C5B"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审计过程中情况发生</w:t>
      </w:r>
      <w:r>
        <w:rPr>
          <w:rFonts w:cs="Calibri" w:hint="eastAsia"/>
          <w:b/>
          <w:bCs/>
          <w:color w:val="FF0000"/>
          <w:sz w:val="21"/>
          <w:szCs w:val="21"/>
        </w:rPr>
        <w:t>重大变化</w:t>
      </w:r>
      <w:r>
        <w:rPr>
          <w:rFonts w:cs="Calibri" w:hint="eastAsia"/>
          <w:color w:val="3F3F3F"/>
          <w:sz w:val="21"/>
          <w:szCs w:val="21"/>
        </w:rPr>
        <w:t>；</w:t>
      </w:r>
    </w:p>
    <w:p w14:paraId="7A882ABD"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获取</w:t>
      </w:r>
      <w:r>
        <w:rPr>
          <w:rFonts w:cs="Calibri" w:hint="eastAsia"/>
          <w:b/>
          <w:bCs/>
          <w:color w:val="FF0000"/>
          <w:sz w:val="21"/>
          <w:szCs w:val="21"/>
        </w:rPr>
        <w:t>新信息</w:t>
      </w:r>
      <w:r>
        <w:rPr>
          <w:rFonts w:cs="Calibri" w:hint="eastAsia"/>
          <w:color w:val="3F3F3F"/>
          <w:sz w:val="21"/>
          <w:szCs w:val="21"/>
        </w:rPr>
        <w:t>；</w:t>
      </w:r>
    </w:p>
    <w:p w14:paraId="54DC90E4"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通过实施进一步审计程序，对被审计单位及其经营的</w:t>
      </w:r>
      <w:r>
        <w:rPr>
          <w:rFonts w:cs="Calibri" w:hint="eastAsia"/>
          <w:b/>
          <w:bCs/>
          <w:color w:val="FF0000"/>
          <w:sz w:val="21"/>
          <w:szCs w:val="21"/>
        </w:rPr>
        <w:t>了解</w:t>
      </w:r>
      <w:r>
        <w:rPr>
          <w:rFonts w:cs="Calibri" w:hint="eastAsia"/>
          <w:color w:val="3F3F3F"/>
          <w:sz w:val="21"/>
          <w:szCs w:val="21"/>
        </w:rPr>
        <w:t>发生变化。</w:t>
      </w:r>
    </w:p>
    <w:p w14:paraId="2CAF5AF6"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影响</w:t>
      </w:r>
    </w:p>
    <w:p w14:paraId="5E416AEE"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确定是否有必要修改</w:t>
      </w:r>
      <w:r>
        <w:rPr>
          <w:rFonts w:cs="Calibri" w:hint="eastAsia"/>
          <w:b/>
          <w:bCs/>
          <w:color w:val="FF0000"/>
          <w:sz w:val="21"/>
          <w:szCs w:val="21"/>
        </w:rPr>
        <w:t>实际执行</w:t>
      </w:r>
      <w:r>
        <w:rPr>
          <w:rFonts w:cs="Calibri" w:hint="eastAsia"/>
          <w:color w:val="3F3F3F"/>
          <w:sz w:val="21"/>
          <w:szCs w:val="21"/>
        </w:rPr>
        <w:t>的重要性；</w:t>
      </w:r>
    </w:p>
    <w:p w14:paraId="0EB004F4"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确定</w:t>
      </w:r>
      <w:r>
        <w:rPr>
          <w:rFonts w:cs="Calibri" w:hint="eastAsia"/>
          <w:b/>
          <w:bCs/>
          <w:color w:val="FF0000"/>
          <w:sz w:val="21"/>
          <w:szCs w:val="21"/>
        </w:rPr>
        <w:t>进一步审计程序</w:t>
      </w:r>
      <w:r>
        <w:rPr>
          <w:rFonts w:cs="Calibri" w:hint="eastAsia"/>
          <w:color w:val="3F3F3F"/>
          <w:sz w:val="21"/>
          <w:szCs w:val="21"/>
        </w:rPr>
        <w:t>的性质、时间安排和范围是否仍然适当。</w:t>
      </w:r>
    </w:p>
    <w:p w14:paraId="11BACBFA" w14:textId="77777777" w:rsidR="00000000" w:rsidRDefault="003B752F">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462FE64D"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2013</w:t>
      </w:r>
      <w:r>
        <w:rPr>
          <w:rFonts w:cs="Calibri" w:hint="eastAsia"/>
          <w:b/>
          <w:bCs/>
          <w:color w:val="3F3F3F"/>
          <w:sz w:val="21"/>
          <w:szCs w:val="21"/>
        </w:rPr>
        <w:t>年真题】</w:t>
      </w:r>
    </w:p>
    <w:p w14:paraId="36A2DF75"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如果注册会计师在审计过程中</w:t>
      </w:r>
      <w:r>
        <w:rPr>
          <w:rFonts w:cs="Calibri" w:hint="eastAsia"/>
          <w:color w:val="3F3F3F"/>
          <w:sz w:val="21"/>
          <w:szCs w:val="21"/>
        </w:rPr>
        <w:t>调低了最初确定的财务报表整体的重要性，下列各项中，正确的有（　　）。</w:t>
      </w:r>
    </w:p>
    <w:p w14:paraId="216349EC"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注册会计师应当调高可接受的检查风险</w:t>
      </w:r>
    </w:p>
    <w:p w14:paraId="7917A1F8"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注册会计师应当确定是否有必要修改实际执行的重要性</w:t>
      </w:r>
    </w:p>
    <w:p w14:paraId="1AADB2FD"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注册会计师应当确定进一步审计程序的性质、时间安排和范围是否仍然适当</w:t>
      </w:r>
    </w:p>
    <w:p w14:paraId="14B84C2F"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注册会计师在评估未更正错报对财务报表的影响时应当使用调整后的财务报表整体的重要性</w:t>
      </w:r>
    </w:p>
    <w:p w14:paraId="7D4F6A5B"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BCD</w:t>
      </w:r>
    </w:p>
    <w:p w14:paraId="6AB0299B"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中，重要性将被运用于评估重大错报风险，假设这一门槛被调低，评估的重大错报风险将很可能上升，在审计风险模型中重大错报风险与可接受的检查风险呈反向变动关系，所以注册</w:t>
      </w:r>
      <w:r>
        <w:rPr>
          <w:rFonts w:cs="Calibri" w:hint="eastAsia"/>
          <w:color w:val="3F3F3F"/>
          <w:sz w:val="21"/>
          <w:szCs w:val="21"/>
        </w:rPr>
        <w:t>会计师应当调低可接受的检查风险；这一选项非常经典，同学们应当反复推敲；选项</w:t>
      </w:r>
      <w:r>
        <w:rPr>
          <w:rFonts w:cs="Calibri" w:hint="eastAsia"/>
          <w:color w:val="3F3F3F"/>
          <w:sz w:val="21"/>
          <w:szCs w:val="21"/>
        </w:rPr>
        <w:t>B</w:t>
      </w:r>
      <w:r>
        <w:rPr>
          <w:rFonts w:cs="Calibri" w:hint="eastAsia"/>
          <w:color w:val="3F3F3F"/>
          <w:sz w:val="21"/>
          <w:szCs w:val="21"/>
        </w:rPr>
        <w:t>中，注册会计师根据评估的财务报表整体的重要性确定实际执行的重要性，二者需要“联动”；选项</w:t>
      </w:r>
      <w:r>
        <w:rPr>
          <w:rFonts w:cs="Calibri" w:hint="eastAsia"/>
          <w:color w:val="3F3F3F"/>
          <w:sz w:val="21"/>
          <w:szCs w:val="21"/>
        </w:rPr>
        <w:t>D</w:t>
      </w:r>
      <w:r>
        <w:rPr>
          <w:rFonts w:cs="Calibri" w:hint="eastAsia"/>
          <w:color w:val="3F3F3F"/>
          <w:sz w:val="21"/>
          <w:szCs w:val="21"/>
        </w:rPr>
        <w:t>中，在评价未更正错报的影响之前，注册会计师应当重新评估计划和执行审计工作的重要性是否恰当。</w:t>
      </w:r>
    </w:p>
    <w:p w14:paraId="03390597"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2011</w:t>
      </w:r>
      <w:r>
        <w:rPr>
          <w:rFonts w:cs="Calibri" w:hint="eastAsia"/>
          <w:b/>
          <w:bCs/>
          <w:color w:val="3F3F3F"/>
          <w:sz w:val="21"/>
          <w:szCs w:val="21"/>
        </w:rPr>
        <w:t>年真题】</w:t>
      </w:r>
    </w:p>
    <w:p w14:paraId="3D982302"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下列情形中，注册会计师可能认为需要在审计过程中修改财务报表整体的重要性的有（　　）。</w:t>
      </w:r>
    </w:p>
    <w:p w14:paraId="1083E391"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被审计单位情况发生重大变化</w:t>
      </w:r>
    </w:p>
    <w:p w14:paraId="2EBDE202"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注册会计师获取新的信息</w:t>
      </w:r>
    </w:p>
    <w:p w14:paraId="45942045"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通过实施进一步审计程序，注册会计师对被审计单位及其经营情况的了解发生变化</w:t>
      </w:r>
    </w:p>
    <w:p w14:paraId="5EA6E416"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审计过程中累积错报的汇总数接近财务报表整体的重要性</w:t>
      </w:r>
    </w:p>
    <w:p w14:paraId="438904D9"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w:t>
      </w:r>
    </w:p>
    <w:p w14:paraId="7A8BBF09" w14:textId="77777777" w:rsidR="00000000" w:rsidRDefault="003B752F">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中，审计过程中累积错报的汇总数接近财务报表整体的重要性时，注册会计师应当考虑实施追加审计程序，而非修改财务报表整体重要性。</w:t>
      </w:r>
    </w:p>
    <w:p w14:paraId="5E2CC40A"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2010</w:t>
      </w:r>
      <w:r>
        <w:rPr>
          <w:rFonts w:cs="Calibri" w:hint="eastAsia"/>
          <w:b/>
          <w:bCs/>
          <w:color w:val="3F3F3F"/>
          <w:sz w:val="21"/>
          <w:szCs w:val="21"/>
        </w:rPr>
        <w:t>年真题】</w:t>
      </w:r>
    </w:p>
    <w:p w14:paraId="76699290"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随着审计过程的推进，注册会计师通常认为修改重要性水平的合理理由是（　　）。</w:t>
      </w:r>
    </w:p>
    <w:p w14:paraId="4B28A3D6"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审计的时间预算重新调整</w:t>
      </w:r>
    </w:p>
    <w:p w14:paraId="71221697"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约定的审计收费发生变化</w:t>
      </w:r>
    </w:p>
    <w:p w14:paraId="43C9947E"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被审计单位及其经营环境发生变化</w:t>
      </w:r>
    </w:p>
    <w:p w14:paraId="27528682"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D.</w:t>
      </w:r>
      <w:r>
        <w:rPr>
          <w:rFonts w:cs="Calibri" w:hint="eastAsia"/>
          <w:color w:val="3F3F3F"/>
          <w:sz w:val="21"/>
          <w:szCs w:val="21"/>
        </w:rPr>
        <w:t>被审计单位在下一年度采用新的固定资产折旧政策</w:t>
      </w:r>
    </w:p>
    <w:p w14:paraId="23FEEFD0"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0642B617"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w:t>
      </w:r>
      <w:r>
        <w:rPr>
          <w:rFonts w:cs="Calibri" w:hint="eastAsia"/>
          <w:b/>
          <w:bCs/>
          <w:color w:val="3F3F3F"/>
          <w:sz w:val="21"/>
          <w:szCs w:val="21"/>
        </w:rPr>
        <w:t>2014</w:t>
      </w:r>
      <w:r>
        <w:rPr>
          <w:rFonts w:cs="Calibri" w:hint="eastAsia"/>
          <w:b/>
          <w:bCs/>
          <w:color w:val="3F3F3F"/>
          <w:sz w:val="21"/>
          <w:szCs w:val="21"/>
        </w:rPr>
        <w:t>年真题】</w:t>
      </w:r>
    </w:p>
    <w:p w14:paraId="48503452"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上市公司甲公司是</w:t>
      </w:r>
      <w:r>
        <w:rPr>
          <w:rFonts w:cs="Calibri" w:hint="eastAsia"/>
          <w:color w:val="3F3F3F"/>
          <w:sz w:val="21"/>
          <w:szCs w:val="21"/>
        </w:rPr>
        <w:t>ABC</w:t>
      </w:r>
      <w:r>
        <w:rPr>
          <w:rFonts w:cs="Calibri" w:hint="eastAsia"/>
          <w:color w:val="3F3F3F"/>
          <w:sz w:val="21"/>
          <w:szCs w:val="21"/>
        </w:rPr>
        <w:t>会计师事务所的常年审计客户，</w:t>
      </w:r>
      <w:r>
        <w:rPr>
          <w:rFonts w:cs="Calibri" w:hint="eastAsia"/>
          <w:color w:val="3F3F3F"/>
          <w:sz w:val="21"/>
          <w:szCs w:val="21"/>
        </w:rPr>
        <w:t>A</w:t>
      </w:r>
      <w:r>
        <w:rPr>
          <w:rFonts w:cs="Calibri" w:hint="eastAsia"/>
          <w:color w:val="3F3F3F"/>
          <w:sz w:val="21"/>
          <w:szCs w:val="21"/>
        </w:rPr>
        <w:t>注册会计师负责审计甲公司</w:t>
      </w:r>
      <w:r>
        <w:rPr>
          <w:rFonts w:cs="Calibri" w:hint="eastAsia"/>
          <w:color w:val="3F3F3F"/>
          <w:sz w:val="21"/>
          <w:szCs w:val="21"/>
        </w:rPr>
        <w:t>2013</w:t>
      </w:r>
      <w:r>
        <w:rPr>
          <w:rFonts w:cs="Calibri" w:hint="eastAsia"/>
          <w:color w:val="3F3F3F"/>
          <w:sz w:val="21"/>
          <w:szCs w:val="21"/>
        </w:rPr>
        <w:t>年度财务报表，审计工作底稿中与确定重要性和评估错报相关的部分内容摘如录如下：</w:t>
      </w:r>
    </w:p>
    <w:p w14:paraId="47F40ED2" w14:textId="77777777" w:rsidR="00000000" w:rsidRDefault="003B752F">
      <w:pPr>
        <w:pStyle w:val="a9"/>
        <w:shd w:val="clear" w:color="auto" w:fill="FFFFFF"/>
        <w:spacing w:before="0" w:beforeAutospacing="0" w:after="0" w:afterAutospacing="0"/>
        <w:ind w:firstLine="420"/>
        <w:jc w:val="right"/>
        <w:rPr>
          <w:rFonts w:ascii="Calibri" w:eastAsia="微软雅黑" w:hAnsi="Calibri" w:cs="Calibri"/>
          <w:color w:val="3F3F3F"/>
          <w:sz w:val="21"/>
          <w:szCs w:val="21"/>
        </w:rPr>
      </w:pPr>
      <w:r>
        <w:rPr>
          <w:rFonts w:cs="Calibri" w:hint="eastAsia"/>
          <w:color w:val="3F3F3F"/>
          <w:sz w:val="21"/>
          <w:szCs w:val="21"/>
        </w:rPr>
        <w:t>金额单位：万元</w:t>
      </w:r>
    </w:p>
    <w:tbl>
      <w:tblPr>
        <w:tblW w:w="0" w:type="auto"/>
        <w:jc w:val="center"/>
        <w:tblInd w:w="0" w:type="dxa"/>
        <w:tblLayout w:type="fixed"/>
        <w:tblCellMar>
          <w:left w:w="0" w:type="dxa"/>
          <w:right w:w="0" w:type="dxa"/>
        </w:tblCellMar>
        <w:tblLook w:val="0000" w:firstRow="0" w:lastRow="0" w:firstColumn="0" w:lastColumn="0" w:noHBand="0" w:noVBand="0"/>
      </w:tblPr>
      <w:tblGrid>
        <w:gridCol w:w="1518"/>
        <w:gridCol w:w="1417"/>
        <w:gridCol w:w="1509"/>
        <w:gridCol w:w="4061"/>
      </w:tblGrid>
      <w:tr w:rsidR="00000000" w14:paraId="54EEC1F7" w14:textId="77777777">
        <w:trPr>
          <w:trHeight w:val="192"/>
          <w:jc w:val="center"/>
        </w:trPr>
        <w:tc>
          <w:tcPr>
            <w:tcW w:w="1518" w:type="dxa"/>
            <w:tcBorders>
              <w:top w:val="single" w:sz="8" w:space="0" w:color="auto"/>
              <w:left w:val="single" w:sz="8" w:space="0" w:color="auto"/>
              <w:bottom w:val="single" w:sz="8" w:space="0" w:color="auto"/>
              <w:right w:val="single" w:sz="8" w:space="0" w:color="auto"/>
            </w:tcBorders>
            <w:tcMar>
              <w:top w:w="15" w:type="dxa"/>
              <w:left w:w="144" w:type="dxa"/>
              <w:bottom w:w="0" w:type="dxa"/>
              <w:right w:w="144" w:type="dxa"/>
            </w:tcMar>
            <w:vAlign w:val="center"/>
          </w:tcPr>
          <w:p w14:paraId="78E970BE"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项目</w:t>
            </w:r>
          </w:p>
        </w:tc>
        <w:tc>
          <w:tcPr>
            <w:tcW w:w="1417" w:type="dxa"/>
            <w:tcBorders>
              <w:top w:val="single" w:sz="8" w:space="0" w:color="auto"/>
              <w:left w:val="nil"/>
              <w:bottom w:val="single" w:sz="8" w:space="0" w:color="auto"/>
              <w:right w:val="single" w:sz="8" w:space="0" w:color="auto"/>
            </w:tcBorders>
            <w:tcMar>
              <w:top w:w="15" w:type="dxa"/>
              <w:left w:w="144" w:type="dxa"/>
              <w:bottom w:w="0" w:type="dxa"/>
              <w:right w:w="144" w:type="dxa"/>
            </w:tcMar>
            <w:vAlign w:val="center"/>
          </w:tcPr>
          <w:p w14:paraId="2E971CCA"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2013</w:t>
            </w:r>
            <w:r>
              <w:rPr>
                <w:rFonts w:cs="Calibri" w:hint="eastAsia"/>
                <w:color w:val="333333"/>
                <w:sz w:val="21"/>
                <w:szCs w:val="21"/>
              </w:rPr>
              <w:t>年</w:t>
            </w:r>
          </w:p>
        </w:tc>
        <w:tc>
          <w:tcPr>
            <w:tcW w:w="1509" w:type="dxa"/>
            <w:tcBorders>
              <w:top w:val="single" w:sz="8" w:space="0" w:color="auto"/>
              <w:left w:val="nil"/>
              <w:bottom w:val="single" w:sz="8" w:space="0" w:color="auto"/>
              <w:right w:val="single" w:sz="8" w:space="0" w:color="auto"/>
            </w:tcBorders>
            <w:tcMar>
              <w:top w:w="15" w:type="dxa"/>
              <w:left w:w="144" w:type="dxa"/>
              <w:bottom w:w="0" w:type="dxa"/>
              <w:right w:w="144" w:type="dxa"/>
            </w:tcMar>
            <w:vAlign w:val="center"/>
          </w:tcPr>
          <w:p w14:paraId="76383D48"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2012</w:t>
            </w:r>
            <w:r>
              <w:rPr>
                <w:rFonts w:cs="Calibri" w:hint="eastAsia"/>
                <w:color w:val="333333"/>
                <w:sz w:val="21"/>
                <w:szCs w:val="21"/>
              </w:rPr>
              <w:t>年</w:t>
            </w:r>
          </w:p>
        </w:tc>
        <w:tc>
          <w:tcPr>
            <w:tcW w:w="4061" w:type="dxa"/>
            <w:tcBorders>
              <w:top w:val="single" w:sz="8" w:space="0" w:color="auto"/>
              <w:left w:val="nil"/>
              <w:bottom w:val="single" w:sz="8" w:space="0" w:color="auto"/>
              <w:right w:val="single" w:sz="8" w:space="0" w:color="auto"/>
            </w:tcBorders>
            <w:tcMar>
              <w:top w:w="15" w:type="dxa"/>
              <w:left w:w="144" w:type="dxa"/>
              <w:bottom w:w="0" w:type="dxa"/>
              <w:right w:w="144" w:type="dxa"/>
            </w:tcMar>
            <w:vAlign w:val="center"/>
          </w:tcPr>
          <w:p w14:paraId="6693F36E"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备注</w:t>
            </w:r>
          </w:p>
        </w:tc>
      </w:tr>
      <w:tr w:rsidR="00000000" w14:paraId="36AA9513" w14:textId="77777777">
        <w:trPr>
          <w:trHeight w:val="575"/>
          <w:jc w:val="center"/>
        </w:trPr>
        <w:tc>
          <w:tcPr>
            <w:tcW w:w="1518" w:type="dxa"/>
            <w:tcBorders>
              <w:top w:val="nil"/>
              <w:left w:val="single" w:sz="8" w:space="0" w:color="auto"/>
              <w:bottom w:val="single" w:sz="8" w:space="0" w:color="auto"/>
              <w:right w:val="single" w:sz="8" w:space="0" w:color="auto"/>
            </w:tcBorders>
            <w:tcMar>
              <w:top w:w="15" w:type="dxa"/>
              <w:left w:w="144" w:type="dxa"/>
              <w:bottom w:w="0" w:type="dxa"/>
              <w:right w:w="144" w:type="dxa"/>
            </w:tcMar>
            <w:vAlign w:val="center"/>
          </w:tcPr>
          <w:p w14:paraId="6693F5FF"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营业</w:t>
            </w:r>
          </w:p>
          <w:p w14:paraId="55512C99"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收入</w:t>
            </w:r>
          </w:p>
        </w:tc>
        <w:tc>
          <w:tcPr>
            <w:tcW w:w="1417" w:type="dxa"/>
            <w:tcBorders>
              <w:top w:val="nil"/>
              <w:left w:val="nil"/>
              <w:bottom w:val="single" w:sz="8" w:space="0" w:color="auto"/>
              <w:right w:val="single" w:sz="8" w:space="0" w:color="auto"/>
            </w:tcBorders>
            <w:tcMar>
              <w:top w:w="15" w:type="dxa"/>
              <w:left w:w="144" w:type="dxa"/>
              <w:bottom w:w="0" w:type="dxa"/>
              <w:right w:w="144" w:type="dxa"/>
            </w:tcMar>
            <w:vAlign w:val="center"/>
          </w:tcPr>
          <w:p w14:paraId="2628D82E"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16000</w:t>
            </w:r>
          </w:p>
          <w:p w14:paraId="07FA1416"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（未审数）</w:t>
            </w:r>
          </w:p>
        </w:tc>
        <w:tc>
          <w:tcPr>
            <w:tcW w:w="1509" w:type="dxa"/>
            <w:tcBorders>
              <w:top w:val="nil"/>
              <w:left w:val="nil"/>
              <w:bottom w:val="single" w:sz="8" w:space="0" w:color="auto"/>
              <w:right w:val="single" w:sz="8" w:space="0" w:color="auto"/>
            </w:tcBorders>
            <w:tcMar>
              <w:top w:w="15" w:type="dxa"/>
              <w:left w:w="144" w:type="dxa"/>
              <w:bottom w:w="0" w:type="dxa"/>
              <w:right w:w="144" w:type="dxa"/>
            </w:tcMar>
            <w:vAlign w:val="center"/>
          </w:tcPr>
          <w:p w14:paraId="1FE14C63"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15000</w:t>
            </w:r>
          </w:p>
          <w:p w14:paraId="213C34E1"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（已审数）</w:t>
            </w:r>
          </w:p>
        </w:tc>
        <w:tc>
          <w:tcPr>
            <w:tcW w:w="4061" w:type="dxa"/>
            <w:tcBorders>
              <w:top w:val="nil"/>
              <w:left w:val="nil"/>
              <w:bottom w:val="single" w:sz="8" w:space="0" w:color="auto"/>
              <w:right w:val="single" w:sz="8" w:space="0" w:color="auto"/>
            </w:tcBorders>
            <w:tcMar>
              <w:top w:w="15" w:type="dxa"/>
              <w:left w:w="144" w:type="dxa"/>
              <w:bottom w:w="0" w:type="dxa"/>
              <w:right w:w="144" w:type="dxa"/>
            </w:tcMar>
            <w:vAlign w:val="center"/>
          </w:tcPr>
          <w:p w14:paraId="1DC55715" w14:textId="77777777" w:rsidR="00000000" w:rsidRDefault="003B752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2013</w:t>
            </w:r>
            <w:r>
              <w:rPr>
                <w:rFonts w:cs="Calibri" w:hint="eastAsia"/>
                <w:color w:val="333333"/>
                <w:sz w:val="21"/>
                <w:szCs w:val="21"/>
              </w:rPr>
              <w:t>年，竞争对手推出新产品抢占市场，甲公司通过降价和增加广告投入促销。</w:t>
            </w:r>
          </w:p>
        </w:tc>
      </w:tr>
      <w:tr w:rsidR="00000000" w14:paraId="5B8A44D5" w14:textId="77777777">
        <w:trPr>
          <w:trHeight w:val="575"/>
          <w:jc w:val="center"/>
        </w:trPr>
        <w:tc>
          <w:tcPr>
            <w:tcW w:w="1518" w:type="dxa"/>
            <w:tcBorders>
              <w:top w:val="nil"/>
              <w:left w:val="single" w:sz="8" w:space="0" w:color="auto"/>
              <w:bottom w:val="single" w:sz="8" w:space="0" w:color="auto"/>
              <w:right w:val="single" w:sz="8" w:space="0" w:color="auto"/>
            </w:tcBorders>
            <w:tcMar>
              <w:top w:w="15" w:type="dxa"/>
              <w:left w:w="144" w:type="dxa"/>
              <w:bottom w:w="0" w:type="dxa"/>
              <w:right w:w="144" w:type="dxa"/>
            </w:tcMar>
            <w:vAlign w:val="center"/>
          </w:tcPr>
          <w:p w14:paraId="4925C894"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项目</w:t>
            </w:r>
          </w:p>
        </w:tc>
        <w:tc>
          <w:tcPr>
            <w:tcW w:w="1417" w:type="dxa"/>
            <w:tcBorders>
              <w:top w:val="nil"/>
              <w:left w:val="nil"/>
              <w:bottom w:val="single" w:sz="8" w:space="0" w:color="auto"/>
              <w:right w:val="single" w:sz="8" w:space="0" w:color="auto"/>
            </w:tcBorders>
            <w:tcMar>
              <w:top w:w="15" w:type="dxa"/>
              <w:left w:w="144" w:type="dxa"/>
              <w:bottom w:w="0" w:type="dxa"/>
              <w:right w:w="144" w:type="dxa"/>
            </w:tcMar>
            <w:vAlign w:val="center"/>
          </w:tcPr>
          <w:p w14:paraId="498CA4F7"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2013</w:t>
            </w:r>
            <w:r>
              <w:rPr>
                <w:rFonts w:cs="Calibri" w:hint="eastAsia"/>
                <w:color w:val="333333"/>
                <w:sz w:val="21"/>
                <w:szCs w:val="21"/>
              </w:rPr>
              <w:t>年</w:t>
            </w:r>
          </w:p>
        </w:tc>
        <w:tc>
          <w:tcPr>
            <w:tcW w:w="1509" w:type="dxa"/>
            <w:tcBorders>
              <w:top w:val="nil"/>
              <w:left w:val="nil"/>
              <w:bottom w:val="single" w:sz="8" w:space="0" w:color="auto"/>
              <w:right w:val="single" w:sz="8" w:space="0" w:color="auto"/>
            </w:tcBorders>
            <w:tcMar>
              <w:top w:w="15" w:type="dxa"/>
              <w:left w:w="144" w:type="dxa"/>
              <w:bottom w:w="0" w:type="dxa"/>
              <w:right w:w="144" w:type="dxa"/>
            </w:tcMar>
            <w:vAlign w:val="center"/>
          </w:tcPr>
          <w:p w14:paraId="33A17159"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2012</w:t>
            </w:r>
            <w:r>
              <w:rPr>
                <w:rFonts w:cs="Calibri" w:hint="eastAsia"/>
                <w:color w:val="333333"/>
                <w:sz w:val="21"/>
                <w:szCs w:val="21"/>
              </w:rPr>
              <w:t>年</w:t>
            </w:r>
          </w:p>
        </w:tc>
        <w:tc>
          <w:tcPr>
            <w:tcW w:w="4061" w:type="dxa"/>
            <w:tcBorders>
              <w:top w:val="nil"/>
              <w:left w:val="nil"/>
              <w:bottom w:val="single" w:sz="8" w:space="0" w:color="auto"/>
              <w:right w:val="single" w:sz="8" w:space="0" w:color="auto"/>
            </w:tcBorders>
            <w:tcMar>
              <w:top w:w="15" w:type="dxa"/>
              <w:left w:w="144" w:type="dxa"/>
              <w:bottom w:w="0" w:type="dxa"/>
              <w:right w:w="144" w:type="dxa"/>
            </w:tcMar>
            <w:vAlign w:val="center"/>
          </w:tcPr>
          <w:p w14:paraId="53862019" w14:textId="77777777" w:rsidR="00000000" w:rsidRDefault="003B752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备注</w:t>
            </w:r>
          </w:p>
        </w:tc>
      </w:tr>
      <w:tr w:rsidR="00000000" w14:paraId="64941389" w14:textId="77777777">
        <w:trPr>
          <w:trHeight w:val="575"/>
          <w:jc w:val="center"/>
        </w:trPr>
        <w:tc>
          <w:tcPr>
            <w:tcW w:w="1518" w:type="dxa"/>
            <w:tcBorders>
              <w:top w:val="nil"/>
              <w:left w:val="single" w:sz="8" w:space="0" w:color="auto"/>
              <w:bottom w:val="single" w:sz="8" w:space="0" w:color="auto"/>
              <w:right w:val="single" w:sz="8" w:space="0" w:color="auto"/>
            </w:tcBorders>
            <w:tcMar>
              <w:top w:w="15" w:type="dxa"/>
              <w:left w:w="144" w:type="dxa"/>
              <w:bottom w:w="0" w:type="dxa"/>
              <w:right w:w="144" w:type="dxa"/>
            </w:tcMar>
            <w:vAlign w:val="center"/>
          </w:tcPr>
          <w:p w14:paraId="627F92D7"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税前利润</w:t>
            </w:r>
          </w:p>
        </w:tc>
        <w:tc>
          <w:tcPr>
            <w:tcW w:w="1417" w:type="dxa"/>
            <w:tcBorders>
              <w:top w:val="nil"/>
              <w:left w:val="nil"/>
              <w:bottom w:val="single" w:sz="8" w:space="0" w:color="auto"/>
              <w:right w:val="single" w:sz="8" w:space="0" w:color="auto"/>
            </w:tcBorders>
            <w:tcMar>
              <w:top w:w="15" w:type="dxa"/>
              <w:left w:w="144" w:type="dxa"/>
              <w:bottom w:w="0" w:type="dxa"/>
              <w:right w:w="144" w:type="dxa"/>
            </w:tcMar>
            <w:vAlign w:val="center"/>
          </w:tcPr>
          <w:p w14:paraId="53313EC9"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50</w:t>
            </w:r>
          </w:p>
          <w:p w14:paraId="23428874"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未审数</w:t>
            </w:r>
            <w:r>
              <w:rPr>
                <w:rFonts w:cs="Calibri" w:hint="eastAsia"/>
                <w:color w:val="333333"/>
                <w:sz w:val="21"/>
                <w:szCs w:val="21"/>
              </w:rPr>
              <w:t>)</w:t>
            </w:r>
          </w:p>
        </w:tc>
        <w:tc>
          <w:tcPr>
            <w:tcW w:w="1509" w:type="dxa"/>
            <w:tcBorders>
              <w:top w:val="nil"/>
              <w:left w:val="nil"/>
              <w:bottom w:val="single" w:sz="8" w:space="0" w:color="auto"/>
              <w:right w:val="single" w:sz="8" w:space="0" w:color="auto"/>
            </w:tcBorders>
            <w:tcMar>
              <w:top w:w="15" w:type="dxa"/>
              <w:left w:w="144" w:type="dxa"/>
              <w:bottom w:w="0" w:type="dxa"/>
              <w:right w:w="144" w:type="dxa"/>
            </w:tcMar>
            <w:vAlign w:val="center"/>
          </w:tcPr>
          <w:p w14:paraId="4A797F0A"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2000</w:t>
            </w:r>
          </w:p>
          <w:p w14:paraId="320B859D"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已审数</w:t>
            </w:r>
            <w:r>
              <w:rPr>
                <w:rFonts w:cs="Calibri" w:hint="eastAsia"/>
                <w:color w:val="333333"/>
                <w:sz w:val="21"/>
                <w:szCs w:val="21"/>
              </w:rPr>
              <w:t>)</w:t>
            </w:r>
          </w:p>
        </w:tc>
        <w:tc>
          <w:tcPr>
            <w:tcW w:w="4061" w:type="dxa"/>
            <w:tcBorders>
              <w:top w:val="nil"/>
              <w:left w:val="nil"/>
              <w:bottom w:val="single" w:sz="8" w:space="0" w:color="auto"/>
              <w:right w:val="single" w:sz="8" w:space="0" w:color="auto"/>
            </w:tcBorders>
            <w:tcMar>
              <w:top w:w="15" w:type="dxa"/>
              <w:left w:w="144" w:type="dxa"/>
              <w:bottom w:w="0" w:type="dxa"/>
              <w:right w:w="144" w:type="dxa"/>
            </w:tcMar>
            <w:vAlign w:val="center"/>
          </w:tcPr>
          <w:p w14:paraId="7F11AFD9" w14:textId="77777777" w:rsidR="00000000" w:rsidRDefault="003B752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2013</w:t>
            </w:r>
            <w:r>
              <w:rPr>
                <w:rFonts w:cs="Calibri" w:hint="eastAsia"/>
                <w:color w:val="333333"/>
                <w:sz w:val="21"/>
                <w:szCs w:val="21"/>
              </w:rPr>
              <w:t>年，降价及销售费用增长导致盈利大幅下降</w:t>
            </w:r>
          </w:p>
        </w:tc>
      </w:tr>
      <w:tr w:rsidR="00000000" w14:paraId="69E3FA51" w14:textId="77777777">
        <w:trPr>
          <w:trHeight w:val="575"/>
          <w:jc w:val="center"/>
        </w:trPr>
        <w:tc>
          <w:tcPr>
            <w:tcW w:w="1518" w:type="dxa"/>
            <w:tcBorders>
              <w:top w:val="nil"/>
              <w:left w:val="single" w:sz="8" w:space="0" w:color="auto"/>
              <w:bottom w:val="single" w:sz="8" w:space="0" w:color="auto"/>
              <w:right w:val="single" w:sz="8" w:space="0" w:color="auto"/>
            </w:tcBorders>
            <w:tcMar>
              <w:top w:w="15" w:type="dxa"/>
              <w:left w:w="144" w:type="dxa"/>
              <w:bottom w:w="0" w:type="dxa"/>
              <w:right w:w="144" w:type="dxa"/>
            </w:tcMar>
            <w:vAlign w:val="center"/>
          </w:tcPr>
          <w:p w14:paraId="1FBE6AC7"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财务报表整体的重要性</w:t>
            </w:r>
          </w:p>
        </w:tc>
        <w:tc>
          <w:tcPr>
            <w:tcW w:w="1417" w:type="dxa"/>
            <w:tcBorders>
              <w:top w:val="nil"/>
              <w:left w:val="nil"/>
              <w:bottom w:val="single" w:sz="8" w:space="0" w:color="auto"/>
              <w:right w:val="single" w:sz="8" w:space="0" w:color="auto"/>
            </w:tcBorders>
            <w:tcMar>
              <w:top w:w="15" w:type="dxa"/>
              <w:left w:w="144" w:type="dxa"/>
              <w:bottom w:w="0" w:type="dxa"/>
              <w:right w:w="144" w:type="dxa"/>
            </w:tcMar>
            <w:vAlign w:val="center"/>
          </w:tcPr>
          <w:p w14:paraId="67131F5E"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80</w:t>
            </w:r>
          </w:p>
        </w:tc>
        <w:tc>
          <w:tcPr>
            <w:tcW w:w="1509" w:type="dxa"/>
            <w:tcBorders>
              <w:top w:val="nil"/>
              <w:left w:val="nil"/>
              <w:bottom w:val="single" w:sz="8" w:space="0" w:color="auto"/>
              <w:right w:val="single" w:sz="8" w:space="0" w:color="auto"/>
            </w:tcBorders>
            <w:tcMar>
              <w:top w:w="15" w:type="dxa"/>
              <w:left w:w="144" w:type="dxa"/>
              <w:bottom w:w="0" w:type="dxa"/>
              <w:right w:w="144" w:type="dxa"/>
            </w:tcMar>
            <w:vAlign w:val="center"/>
          </w:tcPr>
          <w:p w14:paraId="63A75980"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100</w:t>
            </w:r>
          </w:p>
        </w:tc>
        <w:tc>
          <w:tcPr>
            <w:tcW w:w="4061" w:type="dxa"/>
            <w:tcBorders>
              <w:top w:val="nil"/>
              <w:left w:val="nil"/>
              <w:bottom w:val="single" w:sz="8" w:space="0" w:color="auto"/>
              <w:right w:val="single" w:sz="8" w:space="0" w:color="auto"/>
            </w:tcBorders>
            <w:tcMar>
              <w:top w:w="15" w:type="dxa"/>
              <w:left w:w="144" w:type="dxa"/>
              <w:bottom w:w="0" w:type="dxa"/>
              <w:right w:w="144" w:type="dxa"/>
            </w:tcMar>
            <w:vAlign w:val="center"/>
          </w:tcPr>
          <w:p w14:paraId="2621631C" w14:textId="77777777" w:rsidR="00000000" w:rsidRDefault="003B752F">
            <w:pPr>
              <w:rPr>
                <w:rFonts w:eastAsia="微软雅黑" w:cs="Calibri"/>
                <w:color w:val="333333"/>
                <w:szCs w:val="21"/>
              </w:rPr>
            </w:pPr>
          </w:p>
        </w:tc>
      </w:tr>
      <w:tr w:rsidR="00000000" w14:paraId="585CA1A2" w14:textId="77777777">
        <w:trPr>
          <w:trHeight w:val="575"/>
          <w:jc w:val="center"/>
        </w:trPr>
        <w:tc>
          <w:tcPr>
            <w:tcW w:w="1518" w:type="dxa"/>
            <w:tcBorders>
              <w:top w:val="nil"/>
              <w:left w:val="single" w:sz="8" w:space="0" w:color="auto"/>
              <w:bottom w:val="single" w:sz="8" w:space="0" w:color="auto"/>
              <w:right w:val="single" w:sz="8" w:space="0" w:color="auto"/>
            </w:tcBorders>
            <w:tcMar>
              <w:top w:w="15" w:type="dxa"/>
              <w:left w:w="144" w:type="dxa"/>
              <w:bottom w:w="0" w:type="dxa"/>
              <w:right w:w="144" w:type="dxa"/>
            </w:tcMar>
            <w:vAlign w:val="center"/>
          </w:tcPr>
          <w:p w14:paraId="6A06EAC3"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实际执行的重要性</w:t>
            </w:r>
          </w:p>
        </w:tc>
        <w:tc>
          <w:tcPr>
            <w:tcW w:w="1417" w:type="dxa"/>
            <w:tcBorders>
              <w:top w:val="nil"/>
              <w:left w:val="nil"/>
              <w:bottom w:val="single" w:sz="8" w:space="0" w:color="auto"/>
              <w:right w:val="single" w:sz="8" w:space="0" w:color="auto"/>
            </w:tcBorders>
            <w:tcMar>
              <w:top w:w="15" w:type="dxa"/>
              <w:left w:w="144" w:type="dxa"/>
              <w:bottom w:w="0" w:type="dxa"/>
              <w:right w:w="144" w:type="dxa"/>
            </w:tcMar>
            <w:vAlign w:val="center"/>
          </w:tcPr>
          <w:p w14:paraId="266925EA"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60</w:t>
            </w:r>
          </w:p>
        </w:tc>
        <w:tc>
          <w:tcPr>
            <w:tcW w:w="1509" w:type="dxa"/>
            <w:tcBorders>
              <w:top w:val="nil"/>
              <w:left w:val="nil"/>
              <w:bottom w:val="single" w:sz="8" w:space="0" w:color="auto"/>
              <w:right w:val="single" w:sz="8" w:space="0" w:color="auto"/>
            </w:tcBorders>
            <w:tcMar>
              <w:top w:w="15" w:type="dxa"/>
              <w:left w:w="144" w:type="dxa"/>
              <w:bottom w:w="0" w:type="dxa"/>
              <w:right w:w="144" w:type="dxa"/>
            </w:tcMar>
            <w:vAlign w:val="center"/>
          </w:tcPr>
          <w:p w14:paraId="2AE04B24"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75</w:t>
            </w:r>
          </w:p>
        </w:tc>
        <w:tc>
          <w:tcPr>
            <w:tcW w:w="4061" w:type="dxa"/>
            <w:tcBorders>
              <w:top w:val="nil"/>
              <w:left w:val="nil"/>
              <w:bottom w:val="single" w:sz="8" w:space="0" w:color="auto"/>
              <w:right w:val="single" w:sz="8" w:space="0" w:color="auto"/>
            </w:tcBorders>
            <w:tcMar>
              <w:top w:w="15" w:type="dxa"/>
              <w:left w:w="144" w:type="dxa"/>
              <w:bottom w:w="0" w:type="dxa"/>
              <w:right w:w="144" w:type="dxa"/>
            </w:tcMar>
            <w:vAlign w:val="center"/>
          </w:tcPr>
          <w:p w14:paraId="79AF6257" w14:textId="77777777" w:rsidR="00000000" w:rsidRDefault="003B752F">
            <w:pPr>
              <w:rPr>
                <w:rFonts w:eastAsia="微软雅黑" w:cs="Calibri"/>
                <w:color w:val="333333"/>
                <w:szCs w:val="21"/>
              </w:rPr>
            </w:pPr>
          </w:p>
        </w:tc>
      </w:tr>
      <w:tr w:rsidR="00000000" w14:paraId="4F568DE0" w14:textId="77777777">
        <w:trPr>
          <w:trHeight w:val="575"/>
          <w:jc w:val="center"/>
        </w:trPr>
        <w:tc>
          <w:tcPr>
            <w:tcW w:w="1518" w:type="dxa"/>
            <w:tcBorders>
              <w:top w:val="nil"/>
              <w:left w:val="single" w:sz="8" w:space="0" w:color="auto"/>
              <w:bottom w:val="single" w:sz="8" w:space="0" w:color="auto"/>
              <w:right w:val="single" w:sz="8" w:space="0" w:color="auto"/>
            </w:tcBorders>
            <w:tcMar>
              <w:top w:w="15" w:type="dxa"/>
              <w:left w:w="144" w:type="dxa"/>
              <w:bottom w:w="0" w:type="dxa"/>
              <w:right w:w="144" w:type="dxa"/>
            </w:tcMar>
            <w:vAlign w:val="center"/>
          </w:tcPr>
          <w:p w14:paraId="74B1B1C5"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明显微小错报的临界值</w:t>
            </w:r>
          </w:p>
        </w:tc>
        <w:tc>
          <w:tcPr>
            <w:tcW w:w="1417" w:type="dxa"/>
            <w:tcBorders>
              <w:top w:val="nil"/>
              <w:left w:val="nil"/>
              <w:bottom w:val="single" w:sz="8" w:space="0" w:color="auto"/>
              <w:right w:val="single" w:sz="8" w:space="0" w:color="auto"/>
            </w:tcBorders>
            <w:tcMar>
              <w:top w:w="15" w:type="dxa"/>
              <w:left w:w="144" w:type="dxa"/>
              <w:bottom w:w="0" w:type="dxa"/>
              <w:right w:w="144" w:type="dxa"/>
            </w:tcMar>
            <w:vAlign w:val="center"/>
          </w:tcPr>
          <w:p w14:paraId="5FFDBE50"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0</w:t>
            </w:r>
          </w:p>
        </w:tc>
        <w:tc>
          <w:tcPr>
            <w:tcW w:w="1509" w:type="dxa"/>
            <w:tcBorders>
              <w:top w:val="nil"/>
              <w:left w:val="nil"/>
              <w:bottom w:val="single" w:sz="8" w:space="0" w:color="auto"/>
              <w:right w:val="single" w:sz="8" w:space="0" w:color="auto"/>
            </w:tcBorders>
            <w:tcMar>
              <w:top w:w="15" w:type="dxa"/>
              <w:left w:w="144" w:type="dxa"/>
              <w:bottom w:w="0" w:type="dxa"/>
              <w:right w:w="144" w:type="dxa"/>
            </w:tcMar>
            <w:vAlign w:val="center"/>
          </w:tcPr>
          <w:p w14:paraId="247AE4B2"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4061" w:type="dxa"/>
            <w:tcBorders>
              <w:top w:val="nil"/>
              <w:left w:val="nil"/>
              <w:bottom w:val="single" w:sz="8" w:space="0" w:color="auto"/>
              <w:right w:val="single" w:sz="8" w:space="0" w:color="auto"/>
            </w:tcBorders>
            <w:tcMar>
              <w:top w:w="15" w:type="dxa"/>
              <w:left w:w="144" w:type="dxa"/>
              <w:bottom w:w="0" w:type="dxa"/>
              <w:right w:w="144" w:type="dxa"/>
            </w:tcMar>
            <w:vAlign w:val="center"/>
          </w:tcPr>
          <w:p w14:paraId="19A44E25" w14:textId="77777777" w:rsidR="00000000" w:rsidRDefault="003B752F">
            <w:pPr>
              <w:rPr>
                <w:rFonts w:eastAsia="微软雅黑" w:cs="Calibri"/>
                <w:color w:val="333333"/>
                <w:szCs w:val="21"/>
              </w:rPr>
            </w:pPr>
          </w:p>
        </w:tc>
      </w:tr>
    </w:tbl>
    <w:p w14:paraId="468D9933"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(1)2012</w:t>
      </w:r>
      <w:r>
        <w:rPr>
          <w:rFonts w:cs="Calibri" w:hint="eastAsia"/>
          <w:color w:val="3F3F3F"/>
          <w:sz w:val="21"/>
          <w:szCs w:val="21"/>
        </w:rPr>
        <w:t>年度财务报表整体的重要性以税前利润的</w:t>
      </w:r>
      <w:r>
        <w:rPr>
          <w:rFonts w:cs="Calibri" w:hint="eastAsia"/>
          <w:color w:val="3F3F3F"/>
          <w:sz w:val="21"/>
          <w:szCs w:val="21"/>
        </w:rPr>
        <w:t>5%</w:t>
      </w:r>
      <w:r>
        <w:rPr>
          <w:rFonts w:cs="Calibri" w:hint="eastAsia"/>
          <w:color w:val="3F3F3F"/>
          <w:sz w:val="21"/>
          <w:szCs w:val="21"/>
        </w:rPr>
        <w:t>计算。</w:t>
      </w:r>
      <w:r>
        <w:rPr>
          <w:rFonts w:cs="Calibri" w:hint="eastAsia"/>
          <w:color w:val="3F3F3F"/>
          <w:sz w:val="21"/>
          <w:szCs w:val="21"/>
        </w:rPr>
        <w:t>2013</w:t>
      </w:r>
      <w:r>
        <w:rPr>
          <w:rFonts w:cs="Calibri" w:hint="eastAsia"/>
          <w:color w:val="3F3F3F"/>
          <w:sz w:val="21"/>
          <w:szCs w:val="21"/>
        </w:rPr>
        <w:t>年，由于甲公司处于盈亏临界点，</w:t>
      </w:r>
      <w:r>
        <w:rPr>
          <w:rFonts w:cs="Calibri" w:hint="eastAsia"/>
          <w:color w:val="3F3F3F"/>
          <w:sz w:val="21"/>
          <w:szCs w:val="21"/>
        </w:rPr>
        <w:t>A</w:t>
      </w:r>
      <w:r>
        <w:rPr>
          <w:rFonts w:cs="Calibri" w:hint="eastAsia"/>
          <w:color w:val="3F3F3F"/>
          <w:sz w:val="21"/>
          <w:szCs w:val="21"/>
        </w:rPr>
        <w:t>注册会计师以过去三年税前利润的平均值作为基准确定财务报表整体的重要性。</w:t>
      </w:r>
    </w:p>
    <w:p w14:paraId="413B16AA"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由于</w:t>
      </w:r>
      <w:r>
        <w:rPr>
          <w:rFonts w:cs="Calibri" w:hint="eastAsia"/>
          <w:color w:val="3F3F3F"/>
          <w:sz w:val="21"/>
          <w:szCs w:val="21"/>
        </w:rPr>
        <w:t>2012</w:t>
      </w:r>
      <w:r>
        <w:rPr>
          <w:rFonts w:cs="Calibri" w:hint="eastAsia"/>
          <w:color w:val="3F3F3F"/>
          <w:sz w:val="21"/>
          <w:szCs w:val="21"/>
        </w:rPr>
        <w:t>年度审计中提出的多项审计调整建议金额均不重大，</w:t>
      </w:r>
      <w:r>
        <w:rPr>
          <w:rFonts w:cs="Calibri" w:hint="eastAsia"/>
          <w:color w:val="3F3F3F"/>
          <w:sz w:val="21"/>
          <w:szCs w:val="21"/>
        </w:rPr>
        <w:t>A</w:t>
      </w:r>
      <w:r>
        <w:rPr>
          <w:rFonts w:cs="Calibri" w:hint="eastAsia"/>
          <w:color w:val="3F3F3F"/>
          <w:sz w:val="21"/>
          <w:szCs w:val="21"/>
        </w:rPr>
        <w:t>注册会计师确定</w:t>
      </w:r>
      <w:r>
        <w:rPr>
          <w:rFonts w:cs="Calibri" w:hint="eastAsia"/>
          <w:color w:val="3F3F3F"/>
          <w:sz w:val="21"/>
          <w:szCs w:val="21"/>
        </w:rPr>
        <w:t>2013</w:t>
      </w:r>
      <w:r>
        <w:rPr>
          <w:rFonts w:cs="Calibri" w:hint="eastAsia"/>
          <w:color w:val="3F3F3F"/>
          <w:sz w:val="21"/>
          <w:szCs w:val="21"/>
        </w:rPr>
        <w:t>年度实际执行的重要性为财务报表整体重要性的</w:t>
      </w:r>
      <w:r>
        <w:rPr>
          <w:rFonts w:cs="Calibri" w:hint="eastAsia"/>
          <w:color w:val="3F3F3F"/>
          <w:sz w:val="21"/>
          <w:szCs w:val="21"/>
        </w:rPr>
        <w:t>75%</w:t>
      </w:r>
      <w:r>
        <w:rPr>
          <w:rFonts w:cs="Calibri" w:hint="eastAsia"/>
          <w:color w:val="3F3F3F"/>
          <w:sz w:val="21"/>
          <w:szCs w:val="21"/>
        </w:rPr>
        <w:t>，与</w:t>
      </w:r>
      <w:r>
        <w:rPr>
          <w:rFonts w:cs="Calibri" w:hint="eastAsia"/>
          <w:color w:val="3F3F3F"/>
          <w:sz w:val="21"/>
          <w:szCs w:val="21"/>
        </w:rPr>
        <w:t>2012</w:t>
      </w:r>
      <w:r>
        <w:rPr>
          <w:rFonts w:cs="Calibri" w:hint="eastAsia"/>
          <w:color w:val="3F3F3F"/>
          <w:sz w:val="21"/>
          <w:szCs w:val="21"/>
        </w:rPr>
        <w:t>年度保持一致。</w:t>
      </w:r>
    </w:p>
    <w:p w14:paraId="12E14922"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(3)2013</w:t>
      </w:r>
      <w:r>
        <w:rPr>
          <w:rFonts w:cs="Calibri" w:hint="eastAsia"/>
          <w:color w:val="3F3F3F"/>
          <w:sz w:val="21"/>
          <w:szCs w:val="21"/>
        </w:rPr>
        <w:t>年，治理层提出希望知悉审计过程中发现的所有错报，因此，</w:t>
      </w:r>
      <w:r>
        <w:rPr>
          <w:rFonts w:cs="Calibri" w:hint="eastAsia"/>
          <w:color w:val="3F3F3F"/>
          <w:sz w:val="21"/>
          <w:szCs w:val="21"/>
        </w:rPr>
        <w:t>A</w:t>
      </w:r>
      <w:r>
        <w:rPr>
          <w:rFonts w:cs="Calibri" w:hint="eastAsia"/>
          <w:color w:val="3F3F3F"/>
          <w:sz w:val="21"/>
          <w:szCs w:val="21"/>
        </w:rPr>
        <w:t>注册会计师确定</w:t>
      </w:r>
      <w:r>
        <w:rPr>
          <w:rFonts w:cs="Calibri" w:hint="eastAsia"/>
          <w:color w:val="3F3F3F"/>
          <w:sz w:val="21"/>
          <w:szCs w:val="21"/>
        </w:rPr>
        <w:t>2013</w:t>
      </w:r>
      <w:r>
        <w:rPr>
          <w:rFonts w:cs="Calibri" w:hint="eastAsia"/>
          <w:color w:val="3F3F3F"/>
          <w:sz w:val="21"/>
          <w:szCs w:val="21"/>
        </w:rPr>
        <w:t>年度明显微小</w:t>
      </w:r>
      <w:r>
        <w:rPr>
          <w:rFonts w:cs="Calibri" w:hint="eastAsia"/>
          <w:color w:val="3F3F3F"/>
          <w:sz w:val="21"/>
          <w:szCs w:val="21"/>
        </w:rPr>
        <w:t>错报的临界值为</w:t>
      </w:r>
      <w:r>
        <w:rPr>
          <w:rFonts w:cs="Calibri" w:hint="eastAsia"/>
          <w:color w:val="3F3F3F"/>
          <w:sz w:val="21"/>
          <w:szCs w:val="21"/>
        </w:rPr>
        <w:t>0</w:t>
      </w:r>
      <w:r>
        <w:rPr>
          <w:rFonts w:cs="Calibri" w:hint="eastAsia"/>
          <w:color w:val="3F3F3F"/>
          <w:sz w:val="21"/>
          <w:szCs w:val="21"/>
        </w:rPr>
        <w:t>。</w:t>
      </w:r>
    </w:p>
    <w:p w14:paraId="67BF5ADE"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甲公司</w:t>
      </w:r>
      <w:r>
        <w:rPr>
          <w:rFonts w:cs="Calibri" w:hint="eastAsia"/>
          <w:color w:val="3F3F3F"/>
          <w:sz w:val="21"/>
          <w:szCs w:val="21"/>
        </w:rPr>
        <w:t>2013</w:t>
      </w:r>
      <w:r>
        <w:rPr>
          <w:rFonts w:cs="Calibri" w:hint="eastAsia"/>
          <w:color w:val="3F3F3F"/>
          <w:sz w:val="21"/>
          <w:szCs w:val="21"/>
        </w:rPr>
        <w:t>年末非流动负债余额中包括一年内到期的长期借款</w:t>
      </w:r>
      <w:r>
        <w:rPr>
          <w:rFonts w:cs="Calibri" w:hint="eastAsia"/>
          <w:color w:val="3F3F3F"/>
          <w:sz w:val="21"/>
          <w:szCs w:val="21"/>
        </w:rPr>
        <w:t>2500</w:t>
      </w:r>
      <w:r>
        <w:rPr>
          <w:rFonts w:cs="Calibri" w:hint="eastAsia"/>
          <w:color w:val="3F3F3F"/>
          <w:sz w:val="21"/>
          <w:szCs w:val="21"/>
        </w:rPr>
        <w:t>万元，占非流动负债总额的</w:t>
      </w:r>
      <w:r>
        <w:rPr>
          <w:rFonts w:cs="Calibri" w:hint="eastAsia"/>
          <w:color w:val="3F3F3F"/>
          <w:sz w:val="21"/>
          <w:szCs w:val="21"/>
        </w:rPr>
        <w:t>50%</w:t>
      </w:r>
      <w:r>
        <w:rPr>
          <w:rFonts w:cs="Calibri" w:hint="eastAsia"/>
          <w:color w:val="3F3F3F"/>
          <w:sz w:val="21"/>
          <w:szCs w:val="21"/>
        </w:rPr>
        <w:t>，</w:t>
      </w:r>
      <w:r>
        <w:rPr>
          <w:rFonts w:cs="Calibri" w:hint="eastAsia"/>
          <w:color w:val="3F3F3F"/>
          <w:sz w:val="21"/>
          <w:szCs w:val="21"/>
        </w:rPr>
        <w:t>A</w:t>
      </w:r>
      <w:r>
        <w:rPr>
          <w:rFonts w:cs="Calibri" w:hint="eastAsia"/>
          <w:color w:val="3F3F3F"/>
          <w:sz w:val="21"/>
          <w:szCs w:val="21"/>
        </w:rPr>
        <w:t>注册会计师认为，该错报对利润表没有影响，不属于重大错报，同意管理层不予调整。</w:t>
      </w:r>
    </w:p>
    <w:p w14:paraId="330DD55C"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(5)A</w:t>
      </w:r>
      <w:r>
        <w:rPr>
          <w:rFonts w:cs="Calibri" w:hint="eastAsia"/>
          <w:color w:val="3F3F3F"/>
          <w:sz w:val="21"/>
          <w:szCs w:val="21"/>
        </w:rPr>
        <w:t>注册会计师仅发现一笔影响利润表的错报，即管理费用少计</w:t>
      </w:r>
      <w:r>
        <w:rPr>
          <w:rFonts w:cs="Calibri" w:hint="eastAsia"/>
          <w:color w:val="3F3F3F"/>
          <w:sz w:val="21"/>
          <w:szCs w:val="21"/>
        </w:rPr>
        <w:t>60</w:t>
      </w:r>
      <w:r>
        <w:rPr>
          <w:rFonts w:cs="Calibri" w:hint="eastAsia"/>
          <w:color w:val="3F3F3F"/>
          <w:sz w:val="21"/>
          <w:szCs w:val="21"/>
        </w:rPr>
        <w:t>万元，</w:t>
      </w:r>
      <w:r>
        <w:rPr>
          <w:rFonts w:cs="Calibri" w:hint="eastAsia"/>
          <w:color w:val="3F3F3F"/>
          <w:sz w:val="21"/>
          <w:szCs w:val="21"/>
        </w:rPr>
        <w:t>A</w:t>
      </w:r>
      <w:r>
        <w:rPr>
          <w:rFonts w:cs="Calibri" w:hint="eastAsia"/>
          <w:color w:val="3F3F3F"/>
          <w:sz w:val="21"/>
          <w:szCs w:val="21"/>
        </w:rPr>
        <w:t>注册会计师认为，该错报金额小于财务报表整体的重要性，不属于重大错报，同意管理层不予调整。</w:t>
      </w:r>
    </w:p>
    <w:p w14:paraId="34BEF4AD" w14:textId="77777777" w:rsidR="00000000" w:rsidRDefault="003B752F">
      <w:pPr>
        <w:pStyle w:val="a9"/>
        <w:shd w:val="clear" w:color="auto" w:fill="FFFFFF"/>
        <w:spacing w:before="0" w:beforeAutospacing="0" w:after="0" w:afterAutospacing="0"/>
        <w:ind w:firstLine="420"/>
        <w:jc w:val="both"/>
        <w:rPr>
          <w:rFonts w:cs="Calibri" w:hint="eastAsia"/>
          <w:color w:val="3F3F3F"/>
          <w:sz w:val="21"/>
          <w:szCs w:val="21"/>
        </w:rPr>
      </w:pPr>
      <w:r>
        <w:rPr>
          <w:rFonts w:cs="Calibri" w:hint="eastAsia"/>
          <w:color w:val="3F3F3F"/>
          <w:sz w:val="21"/>
          <w:szCs w:val="21"/>
        </w:rPr>
        <w:t>要求：针对上述第</w:t>
      </w:r>
      <w:r>
        <w:rPr>
          <w:rFonts w:cs="Calibri" w:hint="eastAsia"/>
          <w:color w:val="3F3F3F"/>
          <w:sz w:val="21"/>
          <w:szCs w:val="21"/>
        </w:rPr>
        <w:t>(1)</w:t>
      </w:r>
      <w:r>
        <w:rPr>
          <w:rFonts w:cs="Calibri" w:hint="eastAsia"/>
          <w:color w:val="3F3F3F"/>
          <w:sz w:val="21"/>
          <w:szCs w:val="21"/>
        </w:rPr>
        <w:t>至</w:t>
      </w:r>
      <w:r>
        <w:rPr>
          <w:rFonts w:cs="Calibri" w:hint="eastAsia"/>
          <w:color w:val="3F3F3F"/>
          <w:sz w:val="21"/>
          <w:szCs w:val="21"/>
        </w:rPr>
        <w:t>(5)</w:t>
      </w:r>
      <w:r>
        <w:rPr>
          <w:rFonts w:cs="Calibri" w:hint="eastAsia"/>
          <w:color w:val="3F3F3F"/>
          <w:sz w:val="21"/>
          <w:szCs w:val="21"/>
        </w:rPr>
        <w:t>项</w:t>
      </w:r>
      <w:r>
        <w:rPr>
          <w:rFonts w:cs="Calibri" w:hint="eastAsia"/>
          <w:color w:val="3F3F3F"/>
          <w:sz w:val="21"/>
          <w:szCs w:val="21"/>
        </w:rPr>
        <w:t>,</w:t>
      </w:r>
      <w:r>
        <w:rPr>
          <w:rFonts w:cs="Calibri" w:hint="eastAsia"/>
          <w:color w:val="3F3F3F"/>
          <w:sz w:val="21"/>
          <w:szCs w:val="21"/>
        </w:rPr>
        <w:t>假定不考虑其他条件</w:t>
      </w:r>
      <w:r>
        <w:rPr>
          <w:rFonts w:cs="Calibri" w:hint="eastAsia"/>
          <w:color w:val="3F3F3F"/>
          <w:sz w:val="21"/>
          <w:szCs w:val="21"/>
        </w:rPr>
        <w:t>,</w:t>
      </w:r>
      <w:r>
        <w:rPr>
          <w:rFonts w:cs="Calibri" w:hint="eastAsia"/>
          <w:color w:val="3F3F3F"/>
          <w:sz w:val="21"/>
          <w:szCs w:val="21"/>
        </w:rPr>
        <w:t>逐项指出</w:t>
      </w:r>
      <w:r>
        <w:rPr>
          <w:rFonts w:cs="Calibri" w:hint="eastAsia"/>
          <w:color w:val="3F3F3F"/>
          <w:sz w:val="21"/>
          <w:szCs w:val="21"/>
        </w:rPr>
        <w:t>A</w:t>
      </w:r>
      <w:r>
        <w:rPr>
          <w:rFonts w:cs="Calibri" w:hint="eastAsia"/>
          <w:color w:val="3F3F3F"/>
          <w:sz w:val="21"/>
          <w:szCs w:val="21"/>
        </w:rPr>
        <w:t>注册会计师的做法是否恰当。如不恰当</w:t>
      </w:r>
      <w:r>
        <w:rPr>
          <w:rFonts w:cs="Calibri" w:hint="eastAsia"/>
          <w:color w:val="3F3F3F"/>
          <w:sz w:val="21"/>
          <w:szCs w:val="21"/>
        </w:rPr>
        <w:t>,</w:t>
      </w:r>
      <w:r>
        <w:rPr>
          <w:rFonts w:cs="Calibri" w:hint="eastAsia"/>
          <w:color w:val="3F3F3F"/>
          <w:sz w:val="21"/>
          <w:szCs w:val="21"/>
        </w:rPr>
        <w:t>简要说明理由。</w:t>
      </w:r>
    </w:p>
    <w:p w14:paraId="1CBD6AEA"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pict w14:anchorId="678B3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100506更新速度" style="width:387.75pt;height:12.75pt">
            <v:fill o:detectmouseclick="t"/>
            <v:imagedata r:id="rId6" o:title="100506更新速度"/>
          </v:shape>
        </w:pict>
      </w: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p>
    <w:p w14:paraId="29BB5339"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恰当。</w:t>
      </w:r>
    </w:p>
    <w:p w14:paraId="12747EBD"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w:t>
      </w:r>
      <w:r>
        <w:rPr>
          <w:rFonts w:cs="Calibri" w:hint="eastAsia"/>
          <w:color w:val="3F3F3F"/>
          <w:sz w:val="21"/>
          <w:szCs w:val="21"/>
        </w:rPr>
        <w:t>不恰当。理由：</w:t>
      </w:r>
      <w:r>
        <w:rPr>
          <w:rFonts w:cs="Calibri" w:hint="eastAsia"/>
          <w:color w:val="3F3F3F"/>
          <w:sz w:val="21"/>
          <w:szCs w:val="21"/>
        </w:rPr>
        <w:t>2012</w:t>
      </w:r>
      <w:r>
        <w:rPr>
          <w:rFonts w:cs="Calibri" w:hint="eastAsia"/>
          <w:color w:val="3F3F3F"/>
          <w:sz w:val="21"/>
          <w:szCs w:val="21"/>
        </w:rPr>
        <w:t>年度有多项审计调整，甲公司在</w:t>
      </w:r>
      <w:r>
        <w:rPr>
          <w:rFonts w:cs="Calibri" w:hint="eastAsia"/>
          <w:color w:val="3F3F3F"/>
          <w:sz w:val="21"/>
          <w:szCs w:val="21"/>
        </w:rPr>
        <w:t>2013</w:t>
      </w:r>
      <w:r>
        <w:rPr>
          <w:rFonts w:cs="Calibri" w:hint="eastAsia"/>
          <w:color w:val="3F3F3F"/>
          <w:sz w:val="21"/>
          <w:szCs w:val="21"/>
        </w:rPr>
        <w:t>年面临较大市场压力，显示项目总体风险较高，将实际执行的重要性确定为财务报表整体重要性的</w:t>
      </w:r>
      <w:r>
        <w:rPr>
          <w:rFonts w:cs="Calibri" w:hint="eastAsia"/>
          <w:color w:val="3F3F3F"/>
          <w:sz w:val="21"/>
          <w:szCs w:val="21"/>
        </w:rPr>
        <w:t>75%</w:t>
      </w:r>
      <w:r>
        <w:rPr>
          <w:rFonts w:cs="Calibri" w:hint="eastAsia"/>
          <w:color w:val="3F3F3F"/>
          <w:sz w:val="21"/>
          <w:szCs w:val="21"/>
        </w:rPr>
        <w:t>不恰当。</w:t>
      </w:r>
    </w:p>
    <w:p w14:paraId="1A2EC1A6"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恰当。</w:t>
      </w:r>
    </w:p>
    <w:p w14:paraId="0EC7BE7F"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不恰当。理由：该分类错报对其所影响的账户重大</w:t>
      </w:r>
      <w:r>
        <w:rPr>
          <w:rFonts w:cs="Calibri" w:hint="eastAsia"/>
          <w:color w:val="3F3F3F"/>
          <w:sz w:val="21"/>
          <w:szCs w:val="21"/>
        </w:rPr>
        <w:t>/</w:t>
      </w:r>
      <w:r>
        <w:rPr>
          <w:rFonts w:cs="Calibri" w:hint="eastAsia"/>
          <w:color w:val="3F3F3F"/>
          <w:sz w:val="21"/>
          <w:szCs w:val="21"/>
        </w:rPr>
        <w:t>很可能影响关键财务指标（如营运资金），应作为重大错报。</w:t>
      </w:r>
    </w:p>
    <w:p w14:paraId="1FE3C2AA"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不恰当。理由：该错报虽然小于财务报表整体的重要性，但会使甲公司税前利润由盈利转为亏损，属于重大错报。</w:t>
      </w:r>
    </w:p>
    <w:p w14:paraId="7FAFB3E5"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w:t>
      </w:r>
      <w:r>
        <w:rPr>
          <w:rFonts w:cs="Calibri" w:hint="eastAsia"/>
          <w:b/>
          <w:bCs/>
          <w:color w:val="3F3F3F"/>
          <w:sz w:val="21"/>
          <w:szCs w:val="21"/>
        </w:rPr>
        <w:t>2015</w:t>
      </w:r>
      <w:r>
        <w:rPr>
          <w:rFonts w:cs="Calibri" w:hint="eastAsia"/>
          <w:b/>
          <w:bCs/>
          <w:color w:val="3F3F3F"/>
          <w:sz w:val="21"/>
          <w:szCs w:val="21"/>
        </w:rPr>
        <w:t>年真题】</w:t>
      </w:r>
    </w:p>
    <w:p w14:paraId="1295449E"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会计师事务所首次接受委托，审计甲公司</w:t>
      </w:r>
      <w:r>
        <w:rPr>
          <w:rFonts w:cs="Calibri" w:hint="eastAsia"/>
          <w:color w:val="3F3F3F"/>
          <w:sz w:val="21"/>
          <w:szCs w:val="21"/>
        </w:rPr>
        <w:t>2014</w:t>
      </w:r>
      <w:r>
        <w:rPr>
          <w:rFonts w:cs="Calibri" w:hint="eastAsia"/>
          <w:color w:val="3F3F3F"/>
          <w:sz w:val="21"/>
          <w:szCs w:val="21"/>
        </w:rPr>
        <w:t>年度财务报表，甲公司处于新兴行业，面临较大竞</w:t>
      </w:r>
      <w:r>
        <w:rPr>
          <w:rFonts w:cs="Calibri" w:hint="eastAsia"/>
          <w:color w:val="3F3F3F"/>
          <w:sz w:val="21"/>
          <w:szCs w:val="21"/>
        </w:rPr>
        <w:t>争压力，目前侧重于抢占市场份额，审计工作底稿中与重要性和错报评价相关的部分内容摘录如下：</w:t>
      </w:r>
    </w:p>
    <w:p w14:paraId="03760E96"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考虑到甲公司所处市场环境，财务报表使用者最为关注收入指标，审计项目组将营业收入作为确定财务报表整体重要性的基准。</w:t>
      </w:r>
    </w:p>
    <w:p w14:paraId="631A31E9"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经与前任注册会计师沟通，审计项目组了解到甲公司以前年度内部控制运行良好、审计调整较少，因此，将实际执行的重要性确定为财务报表整体重要性的</w:t>
      </w:r>
      <w:r>
        <w:rPr>
          <w:rFonts w:cs="Calibri" w:hint="eastAsia"/>
          <w:color w:val="3F3F3F"/>
          <w:sz w:val="21"/>
          <w:szCs w:val="21"/>
        </w:rPr>
        <w:t>75%</w:t>
      </w:r>
      <w:r>
        <w:rPr>
          <w:rFonts w:cs="Calibri" w:hint="eastAsia"/>
          <w:color w:val="3F3F3F"/>
          <w:sz w:val="21"/>
          <w:szCs w:val="21"/>
        </w:rPr>
        <w:t>。</w:t>
      </w:r>
    </w:p>
    <w:p w14:paraId="7EF991EE"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审计项目组将明显微小错报的临界值确定为财务报表整体重要性的</w:t>
      </w:r>
      <w:r>
        <w:rPr>
          <w:rFonts w:cs="Calibri" w:hint="eastAsia"/>
          <w:color w:val="3F3F3F"/>
          <w:sz w:val="21"/>
          <w:szCs w:val="21"/>
        </w:rPr>
        <w:t>3%</w:t>
      </w:r>
      <w:r>
        <w:rPr>
          <w:rFonts w:cs="Calibri" w:hint="eastAsia"/>
          <w:color w:val="3F3F3F"/>
          <w:sz w:val="21"/>
          <w:szCs w:val="21"/>
        </w:rPr>
        <w:t>，该临界值也适用于重分类错报。</w:t>
      </w:r>
    </w:p>
    <w:p w14:paraId="476052F1"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(4)</w:t>
      </w:r>
      <w:r>
        <w:rPr>
          <w:rFonts w:cs="Calibri" w:hint="eastAsia"/>
          <w:color w:val="3F3F3F"/>
          <w:sz w:val="21"/>
          <w:szCs w:val="21"/>
        </w:rPr>
        <w:t>审计项目组认为无需对金额低于实际执行的重要性</w:t>
      </w:r>
      <w:r>
        <w:rPr>
          <w:rFonts w:cs="Calibri" w:hint="eastAsia"/>
          <w:color w:val="3F3F3F"/>
          <w:sz w:val="21"/>
          <w:szCs w:val="21"/>
        </w:rPr>
        <w:t>的财务报表项目实施进一步审计程序。</w:t>
      </w:r>
    </w:p>
    <w:p w14:paraId="555ACE94"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在运用审计抽样实施细节测试时，考虑到评估的重大错报风险水平为低，审计项目组将可容忍错报的金额设定为实际执行的重要性的</w:t>
      </w:r>
      <w:r>
        <w:rPr>
          <w:rFonts w:cs="Calibri" w:hint="eastAsia"/>
          <w:color w:val="3F3F3F"/>
          <w:sz w:val="21"/>
          <w:szCs w:val="21"/>
        </w:rPr>
        <w:t>120%</w:t>
      </w:r>
      <w:r>
        <w:rPr>
          <w:rFonts w:cs="Calibri" w:hint="eastAsia"/>
          <w:color w:val="3F3F3F"/>
          <w:sz w:val="21"/>
          <w:szCs w:val="21"/>
        </w:rPr>
        <w:t>。</w:t>
      </w:r>
    </w:p>
    <w:p w14:paraId="17B3D43E"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w:t>
      </w:r>
      <w:r>
        <w:rPr>
          <w:rFonts w:cs="Calibri" w:hint="eastAsia"/>
          <w:color w:val="3F3F3F"/>
          <w:sz w:val="21"/>
          <w:szCs w:val="21"/>
        </w:rPr>
        <w:t>甲公司某项应付账款被误计入其他应付款，其金额高于财务报表整体的重要性，因此项错报不影响甲公司的经营业绩和关键财务指标，审计项目组同意管理层不予调整。</w:t>
      </w:r>
    </w:p>
    <w:p w14:paraId="68E20525"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要求：针对以下第（</w:t>
      </w:r>
      <w:r>
        <w:rPr>
          <w:rFonts w:cs="Calibri" w:hint="eastAsia"/>
          <w:color w:val="3F3F3F"/>
          <w:sz w:val="21"/>
          <w:szCs w:val="21"/>
        </w:rPr>
        <w:t>1</w:t>
      </w:r>
      <w:r>
        <w:rPr>
          <w:rFonts w:cs="Calibri" w:hint="eastAsia"/>
          <w:color w:val="3F3F3F"/>
          <w:sz w:val="21"/>
          <w:szCs w:val="21"/>
        </w:rPr>
        <w:t>）至（</w:t>
      </w:r>
      <w:r>
        <w:rPr>
          <w:rFonts w:cs="Calibri" w:hint="eastAsia"/>
          <w:color w:val="3F3F3F"/>
          <w:sz w:val="21"/>
          <w:szCs w:val="21"/>
        </w:rPr>
        <w:t>6</w:t>
      </w:r>
      <w:r>
        <w:rPr>
          <w:rFonts w:cs="Calibri" w:hint="eastAsia"/>
          <w:color w:val="3F3F3F"/>
          <w:sz w:val="21"/>
          <w:szCs w:val="21"/>
        </w:rPr>
        <w:t>）项，逐项指出审计项目组的做法是否恰当。如不恰当，简要说明理由。</w:t>
      </w:r>
    </w:p>
    <w:p w14:paraId="41EC463E"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p>
    <w:p w14:paraId="204F7E49"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恰当。</w:t>
      </w:r>
    </w:p>
    <w:p w14:paraId="24AC6E1E"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不恰当。理由：因为</w:t>
      </w:r>
      <w:r>
        <w:rPr>
          <w:rFonts w:cs="Calibri" w:hint="eastAsia"/>
          <w:color w:val="3F3F3F"/>
          <w:sz w:val="21"/>
          <w:szCs w:val="21"/>
        </w:rPr>
        <w:t>ABC</w:t>
      </w:r>
      <w:r>
        <w:rPr>
          <w:rFonts w:cs="Calibri" w:hint="eastAsia"/>
          <w:color w:val="3F3F3F"/>
          <w:sz w:val="21"/>
          <w:szCs w:val="21"/>
        </w:rPr>
        <w:t>会计师事务所首次接受委托，甲公司处于新</w:t>
      </w:r>
      <w:r>
        <w:rPr>
          <w:rFonts w:cs="Calibri" w:hint="eastAsia"/>
          <w:color w:val="3F3F3F"/>
          <w:sz w:val="21"/>
          <w:szCs w:val="21"/>
        </w:rPr>
        <w:t>兴行业，属于高风险行业，且面临较大的竞争压力，应考虑选择较低的百分比来确定实际执行的重要性，如</w:t>
      </w:r>
      <w:r>
        <w:rPr>
          <w:rFonts w:cs="Calibri" w:hint="eastAsia"/>
          <w:color w:val="3F3F3F"/>
          <w:sz w:val="21"/>
          <w:szCs w:val="21"/>
        </w:rPr>
        <w:t>50%</w:t>
      </w:r>
      <w:r>
        <w:rPr>
          <w:rFonts w:cs="Calibri" w:hint="eastAsia"/>
          <w:color w:val="3F3F3F"/>
          <w:sz w:val="21"/>
          <w:szCs w:val="21"/>
        </w:rPr>
        <w:t>。</w:t>
      </w:r>
    </w:p>
    <w:p w14:paraId="06094633"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恰当。</w:t>
      </w:r>
    </w:p>
    <w:p w14:paraId="2CD6C914"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不恰当。理由：可能需要对金额低于实际执行的重要性的财务报表项目实施进一步审计程序，比如单个低于实际执行的重要性项目汇总起来可能金额重大、对于存在低估风险的财务报表项目，或者识别出存在舞弊风险的财务报表项目。</w:t>
      </w:r>
    </w:p>
    <w:p w14:paraId="46ECC0BC"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不恰当。理由：在运用审计抽样实施细节测试时，注册会计师可以将可容忍错报的金额设定为等于或低于实际执行的重要性。</w:t>
      </w:r>
    </w:p>
    <w:p w14:paraId="03AAB62E"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w:t>
      </w:r>
      <w:r>
        <w:rPr>
          <w:rFonts w:cs="Calibri" w:hint="eastAsia"/>
          <w:color w:val="3F3F3F"/>
          <w:sz w:val="21"/>
          <w:szCs w:val="21"/>
        </w:rPr>
        <w:t>恰当。【确定一项分类错报是否重大，需要进行定性评估。例如</w:t>
      </w:r>
      <w:r>
        <w:rPr>
          <w:rFonts w:cs="Calibri" w:hint="eastAsia"/>
          <w:color w:val="3F3F3F"/>
          <w:sz w:val="21"/>
          <w:szCs w:val="21"/>
        </w:rPr>
        <w:t>，注册会计师识别出某项应付账款误计入其他应付款的错报，金额超过财务报表整体的重要性。由于该错报不影响经营业绩和关键财务指标，注册会计师认为该项错报不重大。】</w:t>
      </w:r>
    </w:p>
    <w:p w14:paraId="471BB9EF"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四、错报</w:t>
      </w:r>
    </w:p>
    <w:p w14:paraId="0DB8DAA5"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定义</w:t>
      </w:r>
      <w:r>
        <w:rPr>
          <w:rFonts w:cs="Calibri" w:hint="eastAsia"/>
          <w:b/>
          <w:bCs/>
          <w:color w:val="FF0000"/>
          <w:sz w:val="21"/>
          <w:szCs w:val="21"/>
        </w:rPr>
        <w:t>[</w:t>
      </w:r>
      <w:r>
        <w:rPr>
          <w:rFonts w:cs="Calibri" w:hint="eastAsia"/>
          <w:b/>
          <w:bCs/>
          <w:color w:val="FF0000"/>
          <w:sz w:val="21"/>
          <w:szCs w:val="21"/>
        </w:rPr>
        <w:t>双重含义</w:t>
      </w:r>
      <w:r>
        <w:rPr>
          <w:rFonts w:cs="Calibri" w:hint="eastAsia"/>
          <w:b/>
          <w:bCs/>
          <w:color w:val="FF0000"/>
          <w:sz w:val="21"/>
          <w:szCs w:val="21"/>
        </w:rPr>
        <w:t>]</w:t>
      </w:r>
    </w:p>
    <w:p w14:paraId="07A8B719"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指某一财务报表项目的</w:t>
      </w:r>
      <w:r>
        <w:rPr>
          <w:rFonts w:cs="Calibri" w:hint="eastAsia"/>
          <w:b/>
          <w:bCs/>
          <w:color w:val="FF0000"/>
          <w:sz w:val="21"/>
          <w:szCs w:val="21"/>
        </w:rPr>
        <w:t>金额、分类、列报或披露</w:t>
      </w:r>
      <w:r>
        <w:rPr>
          <w:rFonts w:cs="Calibri" w:hint="eastAsia"/>
          <w:color w:val="3F3F3F"/>
          <w:sz w:val="21"/>
          <w:szCs w:val="21"/>
        </w:rPr>
        <w:t>，与按适用的财务报告编制基础应列示的金额、分类、列报或披露之间存在的</w:t>
      </w:r>
      <w:r>
        <w:rPr>
          <w:rFonts w:cs="Calibri" w:hint="eastAsia"/>
          <w:b/>
          <w:bCs/>
          <w:color w:val="FF0000"/>
          <w:sz w:val="21"/>
          <w:szCs w:val="21"/>
        </w:rPr>
        <w:t>差异</w:t>
      </w:r>
      <w:r>
        <w:rPr>
          <w:rFonts w:cs="Calibri" w:hint="eastAsia"/>
          <w:color w:val="3F3F3F"/>
          <w:sz w:val="21"/>
          <w:szCs w:val="21"/>
        </w:rPr>
        <w:t>；</w:t>
      </w:r>
    </w:p>
    <w:p w14:paraId="6E84F4AC"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或根据注册会计师的</w:t>
      </w:r>
      <w:r>
        <w:rPr>
          <w:rFonts w:cs="Calibri" w:hint="eastAsia"/>
          <w:b/>
          <w:bCs/>
          <w:color w:val="FF0000"/>
          <w:sz w:val="21"/>
          <w:szCs w:val="21"/>
        </w:rPr>
        <w:t>判断</w:t>
      </w:r>
      <w:r>
        <w:rPr>
          <w:rFonts w:cs="Calibri" w:hint="eastAsia"/>
          <w:color w:val="3F3F3F"/>
          <w:sz w:val="21"/>
          <w:szCs w:val="21"/>
        </w:rPr>
        <w:t>，为使财务报表在所有重大方面实现公允反映，需要对金额、分类、列报或披露作出必要的调整。</w:t>
      </w:r>
    </w:p>
    <w:p w14:paraId="7DAB6C55"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来源</w:t>
      </w:r>
    </w:p>
    <w:p w14:paraId="3467F0D7"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错报来源于舞弊或错误。</w:t>
      </w:r>
    </w:p>
    <w:p w14:paraId="128F3A9B"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类型</w:t>
      </w:r>
      <w:r>
        <w:rPr>
          <w:rFonts w:cs="Calibri" w:hint="eastAsia"/>
          <w:b/>
          <w:bCs/>
          <w:color w:val="FF0000"/>
          <w:sz w:val="21"/>
          <w:szCs w:val="21"/>
        </w:rPr>
        <w:t>【单选题高频考点】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094"/>
        <w:gridCol w:w="1262"/>
        <w:gridCol w:w="20"/>
        <w:gridCol w:w="6132"/>
      </w:tblGrid>
      <w:tr w:rsidR="00000000" w14:paraId="0DBDE176" w14:textId="77777777">
        <w:trPr>
          <w:trHeight w:val="195"/>
          <w:jc w:val="center"/>
        </w:trPr>
        <w:tc>
          <w:tcPr>
            <w:tcW w:w="2356" w:type="dxa"/>
            <w:gridSpan w:val="2"/>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1BC7FF43"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类型</w:t>
            </w:r>
          </w:p>
        </w:tc>
        <w:tc>
          <w:tcPr>
            <w:tcW w:w="6149" w:type="dxa"/>
            <w:gridSpan w:val="2"/>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62987498"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6159756E" w14:textId="77777777">
        <w:trPr>
          <w:trHeight w:val="628"/>
          <w:jc w:val="center"/>
        </w:trPr>
        <w:tc>
          <w:tcPr>
            <w:tcW w:w="1094"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87F111B"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事实</w:t>
            </w:r>
          </w:p>
          <w:p w14:paraId="4DC01D36"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错报</w:t>
            </w:r>
          </w:p>
        </w:tc>
        <w:tc>
          <w:tcPr>
            <w:tcW w:w="1262" w:type="dxa"/>
            <w:tcBorders>
              <w:top w:val="nil"/>
              <w:left w:val="nil"/>
              <w:bottom w:val="single" w:sz="8" w:space="0" w:color="auto"/>
              <w:right w:val="single" w:sz="8" w:space="0" w:color="auto"/>
            </w:tcBorders>
            <w:tcMar>
              <w:top w:w="15" w:type="dxa"/>
              <w:left w:w="108" w:type="dxa"/>
              <w:bottom w:w="0" w:type="dxa"/>
              <w:right w:w="108" w:type="dxa"/>
            </w:tcMar>
            <w:vAlign w:val="center"/>
          </w:tcPr>
          <w:p w14:paraId="5E2D89BD"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定义</w:t>
            </w:r>
          </w:p>
        </w:tc>
        <w:tc>
          <w:tcPr>
            <w:tcW w:w="6149" w:type="dxa"/>
            <w:gridSpan w:val="2"/>
            <w:tcBorders>
              <w:top w:val="nil"/>
              <w:left w:val="nil"/>
              <w:bottom w:val="single" w:sz="8" w:space="0" w:color="auto"/>
              <w:right w:val="single" w:sz="8" w:space="0" w:color="auto"/>
            </w:tcBorders>
            <w:tcMar>
              <w:top w:w="15" w:type="dxa"/>
              <w:left w:w="108" w:type="dxa"/>
              <w:bottom w:w="0" w:type="dxa"/>
              <w:right w:w="108" w:type="dxa"/>
            </w:tcMar>
            <w:vAlign w:val="center"/>
          </w:tcPr>
          <w:p w14:paraId="140A11CC" w14:textId="77777777" w:rsidR="00000000" w:rsidRDefault="003B752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收集或处理数据错误，或舞弊导致的对事实的误解或忽略，或故意舞弊行为；本质是违反客观事实</w:t>
            </w:r>
          </w:p>
        </w:tc>
      </w:tr>
      <w:tr w:rsidR="00000000" w14:paraId="41152D2E" w14:textId="77777777">
        <w:trPr>
          <w:trHeight w:val="412"/>
          <w:jc w:val="center"/>
        </w:trPr>
        <w:tc>
          <w:tcPr>
            <w:tcW w:w="1094" w:type="dxa"/>
            <w:vMerge/>
            <w:tcBorders>
              <w:top w:val="nil"/>
              <w:left w:val="single" w:sz="8" w:space="0" w:color="auto"/>
              <w:bottom w:val="single" w:sz="8" w:space="0" w:color="auto"/>
              <w:right w:val="single" w:sz="8" w:space="0" w:color="auto"/>
            </w:tcBorders>
            <w:vAlign w:val="center"/>
          </w:tcPr>
          <w:p w14:paraId="3FFAF140" w14:textId="77777777" w:rsidR="00000000" w:rsidRDefault="003B752F">
            <w:pPr>
              <w:rPr>
                <w:rFonts w:eastAsia="微软雅黑" w:cs="Calibri"/>
                <w:color w:val="333333"/>
                <w:szCs w:val="21"/>
              </w:rPr>
            </w:pPr>
          </w:p>
        </w:tc>
        <w:tc>
          <w:tcPr>
            <w:tcW w:w="1262" w:type="dxa"/>
            <w:tcBorders>
              <w:top w:val="nil"/>
              <w:left w:val="nil"/>
              <w:bottom w:val="single" w:sz="8" w:space="0" w:color="auto"/>
              <w:right w:val="single" w:sz="8" w:space="0" w:color="auto"/>
            </w:tcBorders>
            <w:tcMar>
              <w:top w:w="15" w:type="dxa"/>
              <w:left w:w="108" w:type="dxa"/>
              <w:bottom w:w="0" w:type="dxa"/>
              <w:right w:w="108" w:type="dxa"/>
            </w:tcMar>
            <w:vAlign w:val="center"/>
          </w:tcPr>
          <w:p w14:paraId="1905FA7F"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举例</w:t>
            </w:r>
          </w:p>
        </w:tc>
        <w:tc>
          <w:tcPr>
            <w:tcW w:w="6149" w:type="dxa"/>
            <w:gridSpan w:val="2"/>
            <w:tcBorders>
              <w:top w:val="nil"/>
              <w:left w:val="nil"/>
              <w:bottom w:val="single" w:sz="8" w:space="0" w:color="auto"/>
              <w:right w:val="single" w:sz="8" w:space="0" w:color="auto"/>
            </w:tcBorders>
            <w:tcMar>
              <w:top w:w="15" w:type="dxa"/>
              <w:left w:w="108" w:type="dxa"/>
              <w:bottom w:w="0" w:type="dxa"/>
              <w:right w:w="108" w:type="dxa"/>
            </w:tcMar>
            <w:vAlign w:val="center"/>
          </w:tcPr>
          <w:p w14:paraId="1567903D" w14:textId="77777777" w:rsidR="00000000" w:rsidRDefault="003B752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存货、固定资产的入账价值录入错误，与发票、合同等不符</w:t>
            </w:r>
          </w:p>
        </w:tc>
      </w:tr>
      <w:tr w:rsidR="00000000" w14:paraId="454FA6FA" w14:textId="77777777">
        <w:trPr>
          <w:trHeight w:val="648"/>
          <w:jc w:val="center"/>
        </w:trPr>
        <w:tc>
          <w:tcPr>
            <w:tcW w:w="1094"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4732051"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判断</w:t>
            </w:r>
          </w:p>
          <w:p w14:paraId="2FAB9EC4"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错报</w:t>
            </w:r>
          </w:p>
        </w:tc>
        <w:tc>
          <w:tcPr>
            <w:tcW w:w="1279" w:type="dxa"/>
            <w:gridSpan w:val="2"/>
            <w:tcBorders>
              <w:top w:val="nil"/>
              <w:left w:val="nil"/>
              <w:bottom w:val="single" w:sz="8" w:space="0" w:color="auto"/>
              <w:right w:val="single" w:sz="8" w:space="0" w:color="auto"/>
            </w:tcBorders>
            <w:tcMar>
              <w:top w:w="15" w:type="dxa"/>
              <w:left w:w="108" w:type="dxa"/>
              <w:bottom w:w="0" w:type="dxa"/>
              <w:right w:w="108" w:type="dxa"/>
            </w:tcMar>
            <w:vAlign w:val="center"/>
          </w:tcPr>
          <w:p w14:paraId="65F688C9"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定义</w:t>
            </w:r>
          </w:p>
          <w:p w14:paraId="3DEA8114"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w:t>
            </w:r>
            <w:r>
              <w:rPr>
                <w:rFonts w:cs="Calibri" w:hint="eastAsia"/>
                <w:b/>
                <w:bCs/>
                <w:color w:val="FF0000"/>
                <w:sz w:val="21"/>
                <w:szCs w:val="21"/>
              </w:rPr>
              <w:t>易考</w:t>
            </w:r>
            <w:r>
              <w:rPr>
                <w:rFonts w:cs="Calibri" w:hint="eastAsia"/>
                <w:b/>
                <w:bCs/>
                <w:color w:val="FF0000"/>
                <w:sz w:val="21"/>
                <w:szCs w:val="21"/>
              </w:rPr>
              <w:t>]</w:t>
            </w:r>
          </w:p>
        </w:tc>
        <w:tc>
          <w:tcPr>
            <w:tcW w:w="6132" w:type="dxa"/>
            <w:tcBorders>
              <w:top w:val="nil"/>
              <w:left w:val="nil"/>
              <w:bottom w:val="single" w:sz="8" w:space="0" w:color="auto"/>
              <w:right w:val="single" w:sz="8" w:space="0" w:color="auto"/>
            </w:tcBorders>
            <w:tcMar>
              <w:top w:w="15" w:type="dxa"/>
              <w:left w:w="108" w:type="dxa"/>
              <w:bottom w:w="0" w:type="dxa"/>
              <w:right w:w="108" w:type="dxa"/>
            </w:tcMar>
            <w:vAlign w:val="center"/>
          </w:tcPr>
          <w:p w14:paraId="6866B1FB" w14:textId="77777777" w:rsidR="00000000" w:rsidRDefault="003B752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注册会计师认为由以下情形而导致的差异：</w:t>
            </w:r>
          </w:p>
          <w:p w14:paraId="46C6E298" w14:textId="77777777" w:rsidR="00000000" w:rsidRDefault="003B752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管理层对</w:t>
            </w:r>
            <w:r>
              <w:rPr>
                <w:rFonts w:cs="Calibri" w:hint="eastAsia"/>
                <w:b/>
                <w:bCs/>
                <w:color w:val="FF0000"/>
                <w:sz w:val="21"/>
                <w:szCs w:val="21"/>
              </w:rPr>
              <w:t>会计估计</w:t>
            </w:r>
            <w:r>
              <w:rPr>
                <w:rFonts w:cs="Calibri" w:hint="eastAsia"/>
                <w:color w:val="333333"/>
                <w:sz w:val="21"/>
                <w:szCs w:val="21"/>
              </w:rPr>
              <w:t>作出不合理的判断</w:t>
            </w:r>
          </w:p>
          <w:p w14:paraId="56EFB716" w14:textId="77777777" w:rsidR="00000000" w:rsidRDefault="003B752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不恰当地选择和运用</w:t>
            </w:r>
            <w:r>
              <w:rPr>
                <w:rFonts w:cs="Calibri" w:hint="eastAsia"/>
                <w:b/>
                <w:bCs/>
                <w:color w:val="FF0000"/>
                <w:sz w:val="21"/>
                <w:szCs w:val="21"/>
              </w:rPr>
              <w:t>会计政策</w:t>
            </w:r>
          </w:p>
        </w:tc>
      </w:tr>
      <w:tr w:rsidR="00000000" w14:paraId="5CB14BD9" w14:textId="77777777">
        <w:trPr>
          <w:trHeight w:val="425"/>
          <w:jc w:val="center"/>
        </w:trPr>
        <w:tc>
          <w:tcPr>
            <w:tcW w:w="1094" w:type="dxa"/>
            <w:vMerge/>
            <w:tcBorders>
              <w:top w:val="nil"/>
              <w:left w:val="single" w:sz="8" w:space="0" w:color="auto"/>
              <w:bottom w:val="single" w:sz="8" w:space="0" w:color="auto"/>
              <w:right w:val="single" w:sz="8" w:space="0" w:color="auto"/>
            </w:tcBorders>
            <w:vAlign w:val="center"/>
          </w:tcPr>
          <w:p w14:paraId="1BC59273" w14:textId="77777777" w:rsidR="00000000" w:rsidRDefault="003B752F">
            <w:pPr>
              <w:rPr>
                <w:rFonts w:eastAsia="微软雅黑" w:cs="Calibri"/>
                <w:color w:val="333333"/>
                <w:szCs w:val="21"/>
              </w:rPr>
            </w:pPr>
          </w:p>
        </w:tc>
        <w:tc>
          <w:tcPr>
            <w:tcW w:w="1279" w:type="dxa"/>
            <w:gridSpan w:val="2"/>
            <w:tcBorders>
              <w:top w:val="nil"/>
              <w:left w:val="nil"/>
              <w:bottom w:val="single" w:sz="8" w:space="0" w:color="auto"/>
              <w:right w:val="single" w:sz="8" w:space="0" w:color="auto"/>
            </w:tcBorders>
            <w:tcMar>
              <w:top w:w="15" w:type="dxa"/>
              <w:left w:w="108" w:type="dxa"/>
              <w:bottom w:w="0" w:type="dxa"/>
              <w:right w:w="108" w:type="dxa"/>
            </w:tcMar>
            <w:vAlign w:val="center"/>
          </w:tcPr>
          <w:p w14:paraId="05900026"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举例</w:t>
            </w:r>
          </w:p>
        </w:tc>
        <w:tc>
          <w:tcPr>
            <w:tcW w:w="6132" w:type="dxa"/>
            <w:tcBorders>
              <w:top w:val="nil"/>
              <w:left w:val="nil"/>
              <w:bottom w:val="single" w:sz="8" w:space="0" w:color="auto"/>
              <w:right w:val="single" w:sz="8" w:space="0" w:color="auto"/>
            </w:tcBorders>
            <w:tcMar>
              <w:top w:w="15" w:type="dxa"/>
              <w:left w:w="108" w:type="dxa"/>
              <w:bottom w:w="0" w:type="dxa"/>
              <w:right w:w="108" w:type="dxa"/>
            </w:tcMar>
            <w:vAlign w:val="center"/>
          </w:tcPr>
          <w:p w14:paraId="00627864" w14:textId="77777777" w:rsidR="00000000" w:rsidRDefault="003B752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投资性房地产公允价值不合理；存货发出采用后进先出法核算</w:t>
            </w:r>
          </w:p>
        </w:tc>
      </w:tr>
      <w:tr w:rsidR="00000000" w14:paraId="28827A8D" w14:textId="77777777">
        <w:trPr>
          <w:trHeight w:val="425"/>
          <w:jc w:val="center"/>
        </w:trPr>
        <w:tc>
          <w:tcPr>
            <w:tcW w:w="1094"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8B7B487"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推断</w:t>
            </w:r>
          </w:p>
          <w:p w14:paraId="5A956819"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错报</w:t>
            </w:r>
          </w:p>
        </w:tc>
        <w:tc>
          <w:tcPr>
            <w:tcW w:w="1279" w:type="dxa"/>
            <w:gridSpan w:val="2"/>
            <w:tcBorders>
              <w:top w:val="nil"/>
              <w:left w:val="nil"/>
              <w:bottom w:val="single" w:sz="8" w:space="0" w:color="auto"/>
              <w:right w:val="single" w:sz="8" w:space="0" w:color="auto"/>
            </w:tcBorders>
            <w:tcMar>
              <w:top w:w="15" w:type="dxa"/>
              <w:left w:w="108" w:type="dxa"/>
              <w:bottom w:w="0" w:type="dxa"/>
              <w:right w:w="108" w:type="dxa"/>
            </w:tcMar>
            <w:vAlign w:val="center"/>
          </w:tcPr>
          <w:p w14:paraId="30C764BE"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定义</w:t>
            </w:r>
          </w:p>
          <w:p w14:paraId="6C70A8CF"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w:t>
            </w:r>
            <w:r>
              <w:rPr>
                <w:rFonts w:cs="Calibri" w:hint="eastAsia"/>
                <w:b/>
                <w:bCs/>
                <w:color w:val="FF0000"/>
                <w:sz w:val="21"/>
                <w:szCs w:val="21"/>
              </w:rPr>
              <w:t>易考</w:t>
            </w:r>
            <w:r>
              <w:rPr>
                <w:rFonts w:cs="Calibri" w:hint="eastAsia"/>
                <w:b/>
                <w:bCs/>
                <w:color w:val="FF0000"/>
                <w:sz w:val="21"/>
                <w:szCs w:val="21"/>
              </w:rPr>
              <w:t>]</w:t>
            </w:r>
          </w:p>
        </w:tc>
        <w:tc>
          <w:tcPr>
            <w:tcW w:w="6132" w:type="dxa"/>
            <w:tcBorders>
              <w:top w:val="nil"/>
              <w:left w:val="nil"/>
              <w:bottom w:val="single" w:sz="8" w:space="0" w:color="auto"/>
              <w:right w:val="single" w:sz="8" w:space="0" w:color="auto"/>
            </w:tcBorders>
            <w:tcMar>
              <w:top w:w="15" w:type="dxa"/>
              <w:left w:w="108" w:type="dxa"/>
              <w:bottom w:w="0" w:type="dxa"/>
              <w:right w:w="108" w:type="dxa"/>
            </w:tcMar>
            <w:vAlign w:val="center"/>
          </w:tcPr>
          <w:p w14:paraId="3908FA98" w14:textId="77777777" w:rsidR="00000000" w:rsidRDefault="003B752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通常指根据样本推断的总体错报</w:t>
            </w:r>
          </w:p>
        </w:tc>
      </w:tr>
      <w:tr w:rsidR="00000000" w14:paraId="175367D9" w14:textId="77777777">
        <w:trPr>
          <w:trHeight w:val="648"/>
          <w:jc w:val="center"/>
        </w:trPr>
        <w:tc>
          <w:tcPr>
            <w:tcW w:w="1094" w:type="dxa"/>
            <w:vMerge/>
            <w:tcBorders>
              <w:top w:val="nil"/>
              <w:left w:val="single" w:sz="8" w:space="0" w:color="auto"/>
              <w:bottom w:val="single" w:sz="8" w:space="0" w:color="auto"/>
              <w:right w:val="single" w:sz="8" w:space="0" w:color="auto"/>
            </w:tcBorders>
            <w:vAlign w:val="center"/>
          </w:tcPr>
          <w:p w14:paraId="30A44B31" w14:textId="77777777" w:rsidR="00000000" w:rsidRDefault="003B752F">
            <w:pPr>
              <w:rPr>
                <w:rFonts w:eastAsia="微软雅黑" w:cs="Calibri"/>
                <w:color w:val="333333"/>
                <w:szCs w:val="21"/>
              </w:rPr>
            </w:pPr>
          </w:p>
        </w:tc>
        <w:tc>
          <w:tcPr>
            <w:tcW w:w="1279" w:type="dxa"/>
            <w:gridSpan w:val="2"/>
            <w:tcBorders>
              <w:top w:val="nil"/>
              <w:left w:val="nil"/>
              <w:bottom w:val="single" w:sz="8" w:space="0" w:color="auto"/>
              <w:right w:val="single" w:sz="8" w:space="0" w:color="auto"/>
            </w:tcBorders>
            <w:tcMar>
              <w:top w:w="15" w:type="dxa"/>
              <w:left w:w="108" w:type="dxa"/>
              <w:bottom w:w="0" w:type="dxa"/>
              <w:right w:w="108" w:type="dxa"/>
            </w:tcMar>
            <w:vAlign w:val="center"/>
          </w:tcPr>
          <w:p w14:paraId="29E553B8" w14:textId="77777777" w:rsidR="00000000" w:rsidRDefault="003B752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举例</w:t>
            </w:r>
          </w:p>
        </w:tc>
        <w:tc>
          <w:tcPr>
            <w:tcW w:w="6132" w:type="dxa"/>
            <w:tcBorders>
              <w:top w:val="nil"/>
              <w:left w:val="nil"/>
              <w:bottom w:val="single" w:sz="8" w:space="0" w:color="auto"/>
              <w:right w:val="single" w:sz="8" w:space="0" w:color="auto"/>
            </w:tcBorders>
            <w:tcMar>
              <w:top w:w="15" w:type="dxa"/>
              <w:left w:w="108" w:type="dxa"/>
              <w:bottom w:w="0" w:type="dxa"/>
              <w:right w:w="108" w:type="dxa"/>
            </w:tcMar>
            <w:vAlign w:val="center"/>
          </w:tcPr>
          <w:p w14:paraId="5DC9872B" w14:textId="77777777" w:rsidR="00000000" w:rsidRDefault="003B752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运用</w:t>
            </w:r>
            <w:r>
              <w:rPr>
                <w:rFonts w:cs="Calibri" w:hint="eastAsia"/>
                <w:b/>
                <w:bCs/>
                <w:color w:val="FF0000"/>
                <w:sz w:val="21"/>
                <w:szCs w:val="21"/>
              </w:rPr>
              <w:t>审计抽样</w:t>
            </w:r>
            <w:r>
              <w:rPr>
                <w:rFonts w:cs="Calibri" w:hint="eastAsia"/>
                <w:color w:val="333333"/>
                <w:sz w:val="21"/>
                <w:szCs w:val="21"/>
              </w:rPr>
              <w:t>，通过测试样本估计出的总体的错报减去在测试中发现的已经识</w:t>
            </w:r>
            <w:r>
              <w:rPr>
                <w:rFonts w:cs="Calibri" w:hint="eastAsia"/>
                <w:color w:val="333333"/>
                <w:sz w:val="21"/>
                <w:szCs w:val="21"/>
              </w:rPr>
              <w:t>别的具体错报</w:t>
            </w:r>
          </w:p>
        </w:tc>
      </w:tr>
      <w:tr w:rsidR="00000000" w14:paraId="6E2B944D" w14:textId="77777777">
        <w:trPr>
          <w:jc w:val="center"/>
        </w:trPr>
        <w:tc>
          <w:tcPr>
            <w:tcW w:w="1094" w:type="dxa"/>
            <w:tcBorders>
              <w:top w:val="nil"/>
              <w:left w:val="nil"/>
              <w:bottom w:val="nil"/>
              <w:right w:val="nil"/>
            </w:tcBorders>
            <w:vAlign w:val="center"/>
          </w:tcPr>
          <w:p w14:paraId="75C3A088" w14:textId="77777777" w:rsidR="00000000" w:rsidRDefault="003B752F">
            <w:pPr>
              <w:rPr>
                <w:rFonts w:eastAsia="微软雅黑" w:cs="Calibri"/>
                <w:color w:val="333333"/>
                <w:szCs w:val="21"/>
              </w:rPr>
            </w:pPr>
          </w:p>
        </w:tc>
        <w:tc>
          <w:tcPr>
            <w:tcW w:w="1262" w:type="dxa"/>
            <w:tcBorders>
              <w:top w:val="nil"/>
              <w:left w:val="nil"/>
              <w:bottom w:val="nil"/>
              <w:right w:val="nil"/>
            </w:tcBorders>
            <w:vAlign w:val="center"/>
          </w:tcPr>
          <w:p w14:paraId="6CF28427" w14:textId="77777777" w:rsidR="00000000" w:rsidRDefault="003B752F">
            <w:pPr>
              <w:rPr>
                <w:rFonts w:ascii="Times New Roman" w:eastAsia="Times New Roman" w:hAnsi="Times New Roman"/>
                <w:sz w:val="20"/>
                <w:szCs w:val="20"/>
              </w:rPr>
            </w:pPr>
          </w:p>
        </w:tc>
        <w:tc>
          <w:tcPr>
            <w:tcW w:w="17" w:type="dxa"/>
            <w:tcBorders>
              <w:top w:val="nil"/>
              <w:left w:val="nil"/>
              <w:bottom w:val="nil"/>
              <w:right w:val="nil"/>
            </w:tcBorders>
            <w:vAlign w:val="center"/>
          </w:tcPr>
          <w:p w14:paraId="2EC4CB06" w14:textId="77777777" w:rsidR="00000000" w:rsidRDefault="003B752F">
            <w:pPr>
              <w:rPr>
                <w:rFonts w:ascii="Times New Roman" w:eastAsia="Times New Roman" w:hAnsi="Times New Roman"/>
                <w:sz w:val="20"/>
                <w:szCs w:val="20"/>
              </w:rPr>
            </w:pPr>
          </w:p>
        </w:tc>
        <w:tc>
          <w:tcPr>
            <w:tcW w:w="6132" w:type="dxa"/>
            <w:tcBorders>
              <w:top w:val="nil"/>
              <w:left w:val="nil"/>
              <w:bottom w:val="nil"/>
              <w:right w:val="nil"/>
            </w:tcBorders>
            <w:vAlign w:val="center"/>
          </w:tcPr>
          <w:p w14:paraId="4EAD6C96" w14:textId="77777777" w:rsidR="00000000" w:rsidRDefault="003B752F">
            <w:pPr>
              <w:rPr>
                <w:rFonts w:ascii="Times New Roman" w:eastAsia="Times New Roman" w:hAnsi="Times New Roman"/>
                <w:sz w:val="20"/>
                <w:szCs w:val="20"/>
              </w:rPr>
            </w:pPr>
          </w:p>
        </w:tc>
      </w:tr>
    </w:tbl>
    <w:p w14:paraId="18E537B3" w14:textId="77777777" w:rsidR="00000000" w:rsidRDefault="003B752F">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"http://webupload.admin.dongao.com/biz/handout/img/2019/20190419/20190419093347909001.png"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2" o:spid="_x0000_i1027" type="#_x0000_t75" style="width:420pt;height:370.5pt;mso-wrap-style:square;mso-position-horizontal-relative:page;mso-position-vertical-relative:page">
            <v:imagedata r:id="rId7" r:href="rId8"/>
          </v:shape>
        </w:pict>
      </w:r>
      <w:r>
        <w:rPr>
          <w:rFonts w:ascii="Calibri" w:eastAsia="微软雅黑" w:hAnsi="Calibri" w:cs="Calibri"/>
          <w:color w:val="3F3F3F"/>
          <w:sz w:val="21"/>
          <w:szCs w:val="21"/>
        </w:rPr>
        <w:fldChar w:fldCharType="end"/>
      </w:r>
    </w:p>
    <w:p w14:paraId="2C968CE5"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6A7EFE1"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13AA578B"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以下关于判断错报的说法中，正确的有（　　）。</w:t>
      </w:r>
    </w:p>
    <w:p w14:paraId="08ED29F2"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判断错报是管理层和注册会计师对会计估计值的判断差异</w:t>
      </w:r>
    </w:p>
    <w:p w14:paraId="0D6ED01B"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判断错报通常是指通过测试样本估计出的总体错报减去在测试中发现的已识别的具体错报</w:t>
      </w:r>
    </w:p>
    <w:p w14:paraId="6F324F35"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判断错报是管理层和注册会计师对选择和运用会计政策的判断差异</w:t>
      </w:r>
    </w:p>
    <w:p w14:paraId="78159551"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判断错报是由于收集和处理数据产生的错误</w:t>
      </w:r>
    </w:p>
    <w:p w14:paraId="6F0E485F"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AC</w:t>
      </w:r>
    </w:p>
    <w:p w14:paraId="11FB5FC6"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属于推断错报；选项</w:t>
      </w:r>
      <w:r>
        <w:rPr>
          <w:rFonts w:cs="Calibri" w:hint="eastAsia"/>
          <w:color w:val="3F3F3F"/>
          <w:sz w:val="21"/>
          <w:szCs w:val="21"/>
        </w:rPr>
        <w:t>D</w:t>
      </w:r>
      <w:r>
        <w:rPr>
          <w:rFonts w:cs="Calibri" w:hint="eastAsia"/>
          <w:color w:val="3F3F3F"/>
          <w:sz w:val="21"/>
          <w:szCs w:val="21"/>
        </w:rPr>
        <w:t>属于事实错报。</w:t>
      </w:r>
    </w:p>
    <w:p w14:paraId="7395DAC3"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识别</w:t>
      </w:r>
    </w:p>
    <w:p w14:paraId="56F64EA5"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错报可能</w:t>
      </w:r>
      <w:r>
        <w:rPr>
          <w:rFonts w:cs="Calibri" w:hint="eastAsia"/>
          <w:b/>
          <w:bCs/>
          <w:color w:val="FF0000"/>
          <w:sz w:val="21"/>
          <w:szCs w:val="21"/>
        </w:rPr>
        <w:t>不会孤立</w:t>
      </w:r>
      <w:r>
        <w:rPr>
          <w:rFonts w:cs="Calibri" w:hint="eastAsia"/>
          <w:color w:val="3F3F3F"/>
          <w:sz w:val="21"/>
          <w:szCs w:val="21"/>
        </w:rPr>
        <w:t>发生，一项错报的发生还可能表明存在其他错报；</w:t>
      </w:r>
    </w:p>
    <w:p w14:paraId="4233E7AF"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抽样风险和非抽样风险可能导致某些错报未被发现。审计过程中累积错报的汇总数</w:t>
      </w:r>
      <w:r>
        <w:rPr>
          <w:rFonts w:cs="Calibri" w:hint="eastAsia"/>
          <w:b/>
          <w:bCs/>
          <w:color w:val="FF0000"/>
          <w:sz w:val="21"/>
          <w:szCs w:val="21"/>
        </w:rPr>
        <w:t>接近</w:t>
      </w:r>
      <w:r>
        <w:rPr>
          <w:rFonts w:cs="Calibri" w:hint="eastAsia"/>
          <w:color w:val="3F3F3F"/>
          <w:sz w:val="21"/>
          <w:szCs w:val="21"/>
        </w:rPr>
        <w:t>重要性，表明存在比可接受的低风险</w:t>
      </w:r>
      <w:r>
        <w:rPr>
          <w:rFonts w:cs="Calibri" w:hint="eastAsia"/>
          <w:b/>
          <w:bCs/>
          <w:color w:val="FF0000"/>
          <w:sz w:val="21"/>
          <w:szCs w:val="21"/>
        </w:rPr>
        <w:t>更大</w:t>
      </w:r>
      <w:r>
        <w:rPr>
          <w:rFonts w:cs="Calibri" w:hint="eastAsia"/>
          <w:color w:val="3F3F3F"/>
          <w:sz w:val="21"/>
          <w:szCs w:val="21"/>
        </w:rPr>
        <w:t>的风险，即可能</w:t>
      </w:r>
      <w:r>
        <w:rPr>
          <w:rFonts w:cs="Calibri" w:hint="eastAsia"/>
          <w:b/>
          <w:bCs/>
          <w:color w:val="FF0000"/>
          <w:sz w:val="21"/>
          <w:szCs w:val="21"/>
        </w:rPr>
        <w:t>未被发现</w:t>
      </w:r>
      <w:r>
        <w:rPr>
          <w:rFonts w:cs="Calibri" w:hint="eastAsia"/>
          <w:color w:val="3F3F3F"/>
          <w:sz w:val="21"/>
          <w:szCs w:val="21"/>
        </w:rPr>
        <w:t>的错报连同审计过程中累积错报的汇总数，可能超过重要性。</w:t>
      </w:r>
    </w:p>
    <w:p w14:paraId="5C4BF2F3"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8B42DF7"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2012</w:t>
      </w:r>
      <w:r>
        <w:rPr>
          <w:rFonts w:cs="Calibri" w:hint="eastAsia"/>
          <w:b/>
          <w:bCs/>
          <w:color w:val="3F3F3F"/>
          <w:sz w:val="21"/>
          <w:szCs w:val="21"/>
        </w:rPr>
        <w:t>年真题】</w:t>
      </w:r>
    </w:p>
    <w:p w14:paraId="635446D4"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下列关于错报的说</w:t>
      </w:r>
      <w:r>
        <w:rPr>
          <w:rFonts w:cs="Calibri" w:hint="eastAsia"/>
          <w:color w:val="3F3F3F"/>
          <w:sz w:val="21"/>
          <w:szCs w:val="21"/>
        </w:rPr>
        <w:t>法中，错误的是（　　）。</w:t>
      </w:r>
    </w:p>
    <w:p w14:paraId="332E14A6"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明显微小错报不需要累积</w:t>
      </w:r>
    </w:p>
    <w:p w14:paraId="09DAF1C9"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错报可能是由于错误或舞弊导致的</w:t>
      </w:r>
    </w:p>
    <w:p w14:paraId="2F7A5874"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错报仅指某一财务报表项目金额与按照企业会计准则应当列示的金额之间的差异</w:t>
      </w:r>
    </w:p>
    <w:p w14:paraId="03A028F8"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判断错报是指由于管理层对会计估计作出不合理的判断或不恰当地选择和运用会计政策而导致的差异</w:t>
      </w:r>
    </w:p>
    <w:p w14:paraId="325068DE"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w:t>
      </w:r>
    </w:p>
    <w:p w14:paraId="51D3DE05"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本题的四个选项均为错报相关的重要概念，同学们要掌握这些核心观点；同时，选项</w:t>
      </w:r>
      <w:r>
        <w:rPr>
          <w:rFonts w:cs="Calibri" w:hint="eastAsia"/>
          <w:color w:val="3F3F3F"/>
          <w:sz w:val="21"/>
          <w:szCs w:val="21"/>
        </w:rPr>
        <w:t>C</w:t>
      </w:r>
      <w:r>
        <w:rPr>
          <w:rFonts w:cs="Calibri" w:hint="eastAsia"/>
          <w:color w:val="3F3F3F"/>
          <w:sz w:val="21"/>
          <w:szCs w:val="21"/>
        </w:rPr>
        <w:t>中，需要根据错报的“双重含义”作出判断。</w:t>
      </w:r>
    </w:p>
    <w:p w14:paraId="47F949B2"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更正</w:t>
      </w:r>
    </w:p>
    <w:p w14:paraId="418D1060"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通常，注册会计师应当及时将审计过程中</w:t>
      </w:r>
      <w:r>
        <w:rPr>
          <w:rFonts w:cs="Calibri" w:hint="eastAsia"/>
          <w:b/>
          <w:bCs/>
          <w:color w:val="FF0000"/>
          <w:sz w:val="21"/>
          <w:szCs w:val="21"/>
        </w:rPr>
        <w:t>累积的所有错报</w:t>
      </w:r>
      <w:r>
        <w:rPr>
          <w:rFonts w:cs="Calibri" w:hint="eastAsia"/>
          <w:color w:val="3F3F3F"/>
          <w:sz w:val="21"/>
          <w:szCs w:val="21"/>
        </w:rPr>
        <w:t>与适当层级的管理层进行沟通，还应当要求管理层</w:t>
      </w:r>
      <w:r>
        <w:rPr>
          <w:rFonts w:cs="Calibri" w:hint="eastAsia"/>
          <w:b/>
          <w:bCs/>
          <w:color w:val="FF0000"/>
          <w:sz w:val="21"/>
          <w:szCs w:val="21"/>
        </w:rPr>
        <w:t>更正</w:t>
      </w:r>
      <w:r>
        <w:rPr>
          <w:rFonts w:cs="Calibri" w:hint="eastAsia"/>
          <w:color w:val="3F3F3F"/>
          <w:sz w:val="21"/>
          <w:szCs w:val="21"/>
        </w:rPr>
        <w:t>这些错</w:t>
      </w:r>
      <w:r>
        <w:rPr>
          <w:rFonts w:cs="Calibri" w:hint="eastAsia"/>
          <w:color w:val="3F3F3F"/>
          <w:sz w:val="21"/>
          <w:szCs w:val="21"/>
        </w:rPr>
        <w:t>报。</w:t>
      </w:r>
      <w:r>
        <w:rPr>
          <w:rFonts w:cs="Calibri" w:hint="eastAsia"/>
          <w:b/>
          <w:bCs/>
          <w:color w:val="FF0000"/>
          <w:sz w:val="21"/>
          <w:szCs w:val="21"/>
        </w:rPr>
        <w:t>[</w:t>
      </w:r>
      <w:r>
        <w:rPr>
          <w:rFonts w:cs="Calibri" w:hint="eastAsia"/>
          <w:b/>
          <w:bCs/>
          <w:color w:val="FF0000"/>
          <w:sz w:val="21"/>
          <w:szCs w:val="21"/>
        </w:rPr>
        <w:t>易错点</w:t>
      </w:r>
      <w:r>
        <w:rPr>
          <w:rFonts w:cs="Calibri" w:hint="eastAsia"/>
          <w:b/>
          <w:bCs/>
          <w:color w:val="FF0000"/>
          <w:sz w:val="21"/>
          <w:szCs w:val="21"/>
        </w:rPr>
        <w:t>]</w:t>
      </w:r>
    </w:p>
    <w:p w14:paraId="5BB9FD21"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930B50E"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2013</w:t>
      </w:r>
      <w:r>
        <w:rPr>
          <w:rFonts w:cs="Calibri" w:hint="eastAsia"/>
          <w:b/>
          <w:bCs/>
          <w:color w:val="3F3F3F"/>
          <w:sz w:val="21"/>
          <w:szCs w:val="21"/>
        </w:rPr>
        <w:t>年真题】</w:t>
      </w:r>
    </w:p>
    <w:p w14:paraId="2C9E9A4D"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对于审计过程中累积的错报，下列做法中，正确的是（　　）。</w:t>
      </w:r>
    </w:p>
    <w:p w14:paraId="5B9248FF"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如果错报单独或汇总起来未超过财务报表整体的重要性，注册会计师可以不要求管理层更正</w:t>
      </w:r>
    </w:p>
    <w:p w14:paraId="1607545A"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如果错报单独或汇总起来未超过实际执行的重要性，注册会计师可以不要求管理层更正</w:t>
      </w:r>
    </w:p>
    <w:p w14:paraId="323BC1E2"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如果错报不影响确定财务报表整体的重要性时选定的基准，注册会计师可以不要求管理层更正</w:t>
      </w:r>
    </w:p>
    <w:p w14:paraId="3989D5FE"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注册会计师应当要求管理层更正审计过程中累积的所有错报</w:t>
      </w:r>
    </w:p>
    <w:p w14:paraId="77E33169"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D</w:t>
      </w:r>
    </w:p>
    <w:p w14:paraId="61EB7590" w14:textId="77777777" w:rsidR="00000000" w:rsidRDefault="003B752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本题具有迷惑性，尤其选项</w:t>
      </w:r>
      <w:r>
        <w:rPr>
          <w:rFonts w:cs="Calibri" w:hint="eastAsia"/>
          <w:color w:val="3F3F3F"/>
          <w:sz w:val="21"/>
          <w:szCs w:val="21"/>
        </w:rPr>
        <w:t>D</w:t>
      </w:r>
      <w:r>
        <w:rPr>
          <w:rFonts w:cs="Calibri" w:hint="eastAsia"/>
          <w:color w:val="3F3F3F"/>
          <w:sz w:val="21"/>
          <w:szCs w:val="21"/>
        </w:rPr>
        <w:t>，同学们要注意，“累积”的错报</w:t>
      </w:r>
      <w:r>
        <w:rPr>
          <w:rFonts w:cs="Calibri" w:hint="eastAsia"/>
          <w:color w:val="3F3F3F"/>
          <w:sz w:val="21"/>
          <w:szCs w:val="21"/>
        </w:rPr>
        <w:t>均超过了明显微小错报的临界值，通常，注册会计师应当及时将审计过程中累积的所有错报与适当层级的管理层进行沟通，还应当要求管理层更正这些错报。</w:t>
      </w:r>
    </w:p>
    <w:p w14:paraId="210A0F39" w14:textId="77777777" w:rsidR="00000000" w:rsidRDefault="003B752F">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19F6C57E" w14:textId="77777777" w:rsidR="00000000" w:rsidRDefault="003B752F">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"http://webupload.admin.dongao.com/biz/handout/img/2019/20190419/20190419093347885002.png" \* MERGEFORMATINET </w:instrText>
      </w:r>
      <w:r>
        <w:rPr>
          <w:rFonts w:cs="Calibri"/>
          <w:color w:val="3F3F3F"/>
          <w:sz w:val="21"/>
          <w:szCs w:val="21"/>
        </w:rPr>
        <w:fldChar w:fldCharType="separate"/>
      </w:r>
      <w:r>
        <w:rPr>
          <w:rFonts w:cs="Calibri"/>
          <w:color w:val="3F3F3F"/>
          <w:sz w:val="21"/>
          <w:szCs w:val="21"/>
        </w:rPr>
        <w:pict>
          <v:shape id="图片 3" o:spid="_x0000_i1028" type="#_x0000_t75" style="width:420pt;height:366pt;mso-wrap-style:square;mso-position-horizontal-relative:page;mso-position-vertical-relative:page">
            <v:imagedata r:id="rId9" r:href="rId10"/>
          </v:shape>
        </w:pict>
      </w:r>
      <w:r>
        <w:rPr>
          <w:rFonts w:cs="Calibri"/>
          <w:color w:val="3F3F3F"/>
          <w:sz w:val="21"/>
          <w:szCs w:val="21"/>
        </w:rPr>
        <w:fldChar w:fldCharType="end"/>
      </w:r>
    </w:p>
    <w:p w14:paraId="2B0326B3" w14:textId="77777777" w:rsidR="00000000" w:rsidRDefault="003B752F">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w:instrText>
      </w:r>
      <w:r>
        <w:rPr>
          <w:rFonts w:cs="Calibri"/>
          <w:color w:val="3F3F3F"/>
          <w:sz w:val="21"/>
          <w:szCs w:val="21"/>
        </w:rPr>
        <w:instrText xml:space="preserve">om/biz/handout/img/2019/20190419/20190419093348688003.png" \* MERGEFORMATINET </w:instrText>
      </w:r>
      <w:r>
        <w:rPr>
          <w:rFonts w:cs="Calibri"/>
          <w:color w:val="3F3F3F"/>
          <w:sz w:val="21"/>
          <w:szCs w:val="21"/>
        </w:rPr>
        <w:fldChar w:fldCharType="separate"/>
      </w:r>
      <w:r>
        <w:rPr>
          <w:rFonts w:cs="Calibri"/>
          <w:color w:val="3F3F3F"/>
          <w:sz w:val="21"/>
          <w:szCs w:val="21"/>
        </w:rPr>
        <w:pict>
          <v:shape id="图片 4" o:spid="_x0000_i1029" type="#_x0000_t75" style="width:420pt;height:325.5pt;mso-wrap-style:square;mso-position-horizontal-relative:page;mso-position-vertical-relative:page">
            <v:imagedata r:id="rId11" r:href="rId12"/>
          </v:shape>
        </w:pict>
      </w:r>
      <w:r>
        <w:rPr>
          <w:rFonts w:cs="Calibri"/>
          <w:color w:val="3F3F3F"/>
          <w:sz w:val="21"/>
          <w:szCs w:val="21"/>
        </w:rPr>
        <w:fldChar w:fldCharType="end"/>
      </w:r>
    </w:p>
    <w:p w14:paraId="32F07626"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4DF15078"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3DA8DC11" w14:textId="77777777" w:rsidR="00000000" w:rsidRDefault="003B752F">
      <w:pPr>
        <w:pStyle w:val="a9"/>
        <w:shd w:val="clear" w:color="auto" w:fill="FFFFFF"/>
        <w:spacing w:before="0" w:beforeAutospacing="0" w:after="0" w:afterAutospacing="0"/>
        <w:ind w:left="840" w:hanging="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阅读审计业务约定书和总体审计策略相关内容的课程讲义。</w:t>
      </w:r>
    </w:p>
    <w:p w14:paraId="120F552A" w14:textId="77777777" w:rsidR="00000000" w:rsidRDefault="003B752F">
      <w:pPr>
        <w:pStyle w:val="a9"/>
        <w:shd w:val="clear" w:color="auto" w:fill="FFFFFF"/>
        <w:spacing w:before="0" w:beforeAutospacing="0" w:after="0" w:afterAutospacing="0"/>
        <w:ind w:left="840" w:hanging="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对初步业务活动、重要性的相关概念进行识记。</w:t>
      </w:r>
    </w:p>
    <w:p w14:paraId="7142EFB1" w14:textId="77777777" w:rsidR="00000000" w:rsidRDefault="003B752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第二轮：</w:t>
      </w:r>
    </w:p>
    <w:p w14:paraId="2FF2456C" w14:textId="77777777" w:rsidR="00000000" w:rsidRDefault="003B752F">
      <w:pPr>
        <w:pStyle w:val="a9"/>
        <w:shd w:val="clear" w:color="auto" w:fill="FFFFFF"/>
        <w:spacing w:before="0" w:beforeAutospacing="0" w:after="0" w:afterAutospacing="0"/>
        <w:ind w:left="840" w:hanging="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复习重要性的相关内容。</w:t>
      </w:r>
    </w:p>
    <w:p w14:paraId="7C5E1E44" w14:textId="77777777" w:rsidR="00000000" w:rsidRDefault="003B752F">
      <w:pPr>
        <w:pStyle w:val="a9"/>
        <w:shd w:val="clear" w:color="auto" w:fill="FFFFFF"/>
        <w:spacing w:before="0" w:beforeAutospacing="0" w:after="0" w:afterAutospacing="0"/>
        <w:ind w:left="840" w:hanging="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练习本章基础班讲义中的真题和模拟题。</w:t>
      </w:r>
    </w:p>
    <w:p w14:paraId="41BC1555" w14:textId="77777777" w:rsidR="00000000" w:rsidRDefault="003B752F">
      <w:pPr>
        <w:rPr>
          <w:rFonts w:hint="eastAsia"/>
        </w:rPr>
      </w:pPr>
      <w:r>
        <w:rPr>
          <w:rFonts w:hint="eastAsia"/>
        </w:rPr>
        <w:pict>
          <v:shape id="图片 6" o:spid="_x0000_i1030" type="#_x0000_t75" alt="100506更新速度" style="width:387.75pt;height:12.75pt">
            <v:fill o:detectmouseclick="t"/>
            <v:imagedata r:id="rId6" o:title="100506更新速度"/>
          </v:shape>
        </w:pict>
      </w:r>
    </w:p>
    <w:sectPr w:rsidR="00000000">
      <w:headerReference w:type="default" r:id="rId13"/>
      <w:footerReference w:type="default" r:id="rId14"/>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E8779" w14:textId="77777777" w:rsidR="00000000" w:rsidRDefault="003B752F">
      <w:r>
        <w:separator/>
      </w:r>
    </w:p>
  </w:endnote>
  <w:endnote w:type="continuationSeparator" w:id="0">
    <w:p w14:paraId="1DD72C2B" w14:textId="77777777" w:rsidR="00000000" w:rsidRDefault="003B7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5EDADE68" w14:textId="77777777">
      <w:trPr>
        <w:trHeight w:val="274"/>
      </w:trPr>
      <w:tc>
        <w:tcPr>
          <w:tcW w:w="2050" w:type="dxa"/>
          <w:vAlign w:val="center"/>
        </w:tcPr>
        <w:p w14:paraId="60000BF6" w14:textId="77777777" w:rsidR="00000000" w:rsidRDefault="003B752F">
          <w:pPr>
            <w:jc w:val="left"/>
            <w:rPr>
              <w:rFonts w:ascii="楷体" w:eastAsia="楷体" w:hAnsi="楷体"/>
              <w:b/>
              <w:sz w:val="28"/>
              <w:szCs w:val="28"/>
            </w:rPr>
          </w:pPr>
          <w:r>
            <w:rPr>
              <w:lang w:val="en-US" w:eastAsia="zh-CN"/>
            </w:rPr>
            <w:pict w14:anchorId="6309F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mso-wrap-style:square;mso-position-horizontal-relative:page;mso-position-vertical-relative:page">
                <v:imagedata r:id="rId1" o:title=""/>
              </v:shape>
            </w:pict>
          </w:r>
        </w:p>
      </w:tc>
      <w:tc>
        <w:tcPr>
          <w:tcW w:w="3742" w:type="dxa"/>
          <w:vAlign w:val="center"/>
        </w:tcPr>
        <w:p w14:paraId="7CD7D54D" w14:textId="77777777" w:rsidR="00000000" w:rsidRDefault="003B752F">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7F1EE241" w14:textId="77777777" w:rsidR="00000000" w:rsidRDefault="003B752F">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0D93334C" w14:textId="77777777" w:rsidR="00000000" w:rsidRDefault="003B752F">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2E111" w14:textId="77777777" w:rsidR="00000000" w:rsidRDefault="003B752F">
      <w:r>
        <w:separator/>
      </w:r>
    </w:p>
  </w:footnote>
  <w:footnote w:type="continuationSeparator" w:id="0">
    <w:p w14:paraId="04814FC4" w14:textId="77777777" w:rsidR="00000000" w:rsidRDefault="003B7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5C9ABEF3" w14:textId="77777777">
      <w:trPr>
        <w:trHeight w:val="501"/>
      </w:trPr>
      <w:tc>
        <w:tcPr>
          <w:tcW w:w="4272" w:type="dxa"/>
          <w:vAlign w:val="center"/>
        </w:tcPr>
        <w:p w14:paraId="6560D438" w14:textId="77777777" w:rsidR="00000000" w:rsidRDefault="003B752F">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4EBA4FF8" w14:textId="77777777" w:rsidR="00000000" w:rsidRDefault="003B752F">
          <w:pPr>
            <w:wordWrap w:val="0"/>
            <w:jc w:val="right"/>
            <w:rPr>
              <w:rFonts w:ascii="微软雅黑" w:eastAsia="微软雅黑" w:hAnsi="微软雅黑"/>
              <w:sz w:val="24"/>
              <w:szCs w:val="24"/>
            </w:rPr>
          </w:pPr>
          <w:r>
            <w:rPr>
              <w:rFonts w:ascii="微软雅黑" w:eastAsia="微软雅黑" w:hAnsi="微软雅黑" w:hint="eastAsia"/>
              <w:sz w:val="24"/>
              <w:szCs w:val="24"/>
            </w:rPr>
            <w:t>第二章</w:t>
          </w:r>
          <w:r>
            <w:rPr>
              <w:rFonts w:ascii="微软雅黑" w:eastAsia="微软雅黑" w:hAnsi="微软雅黑"/>
              <w:sz w:val="24"/>
              <w:szCs w:val="24"/>
            </w:rPr>
            <w:t>+</w:t>
          </w:r>
          <w:r>
            <w:rPr>
              <w:rFonts w:ascii="微软雅黑" w:eastAsia="微软雅黑" w:hAnsi="微软雅黑"/>
              <w:sz w:val="24"/>
              <w:szCs w:val="24"/>
            </w:rPr>
            <w:t>审计计划</w:t>
          </w:r>
        </w:p>
      </w:tc>
    </w:tr>
  </w:tbl>
  <w:p w14:paraId="379C52A9" w14:textId="77777777" w:rsidR="00000000" w:rsidRDefault="003B752F">
    <w:pPr>
      <w:pStyle w:val="a6"/>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207831"/>
    <w:rsid w:val="0025687E"/>
    <w:rsid w:val="00257ECB"/>
    <w:rsid w:val="002608F5"/>
    <w:rsid w:val="00271D8C"/>
    <w:rsid w:val="002F4B62"/>
    <w:rsid w:val="00354CB5"/>
    <w:rsid w:val="00361200"/>
    <w:rsid w:val="00396A53"/>
    <w:rsid w:val="00397E03"/>
    <w:rsid w:val="003B752F"/>
    <w:rsid w:val="00484FE7"/>
    <w:rsid w:val="00494359"/>
    <w:rsid w:val="004D41D2"/>
    <w:rsid w:val="004D61E7"/>
    <w:rsid w:val="00522B52"/>
    <w:rsid w:val="00530F5E"/>
    <w:rsid w:val="0056699B"/>
    <w:rsid w:val="00587FA0"/>
    <w:rsid w:val="005C437E"/>
    <w:rsid w:val="005F2973"/>
    <w:rsid w:val="005F76A7"/>
    <w:rsid w:val="00601F3F"/>
    <w:rsid w:val="0065531D"/>
    <w:rsid w:val="00680B91"/>
    <w:rsid w:val="00743946"/>
    <w:rsid w:val="00777971"/>
    <w:rsid w:val="007A0F56"/>
    <w:rsid w:val="007A684A"/>
    <w:rsid w:val="007B0BFD"/>
    <w:rsid w:val="007B5B2A"/>
    <w:rsid w:val="00831407"/>
    <w:rsid w:val="008C2E60"/>
    <w:rsid w:val="008D6C45"/>
    <w:rsid w:val="0093134D"/>
    <w:rsid w:val="0095204A"/>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57E7585E"/>
    <w:rsid w:val="7EDA4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01A93C29"/>
  <w15:chartTrackingRefBased/>
  <w15:docId w15:val="{99E2C95A-0D40-4950-ACD9-A803B1C6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sz w:val="18"/>
      <w:szCs w:val="18"/>
    </w:rPr>
  </w:style>
  <w:style w:type="character" w:customStyle="1" w:styleId="a5">
    <w:name w:val="页眉 字符"/>
    <w:link w:val="a6"/>
    <w:uiPriority w:val="99"/>
    <w:rPr>
      <w:sz w:val="18"/>
      <w:szCs w:val="18"/>
    </w:rPr>
  </w:style>
  <w:style w:type="character" w:customStyle="1" w:styleId="a7">
    <w:name w:val="页脚 字符"/>
    <w:link w:val="a8"/>
    <w:uiPriority w:val="99"/>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Balloon Text"/>
    <w:basedOn w:val="a"/>
    <w:link w:val="a3"/>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419/20190419093347909001.png"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http://webupload.admin.dongao.com/biz/handout/img/2019/20190419/20190419093348688003.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http://webupload.admin.dongao.com/biz/handout/img/2019/20190419/20190419093347885002.png"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