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D92E" w14:textId="77777777" w:rsidR="00000000" w:rsidRDefault="00FD4EEC">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17</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审计程序</w:t>
      </w:r>
    </w:p>
    <w:p w14:paraId="03F2B3A0" w14:textId="77777777" w:rsidR="00000000" w:rsidRDefault="00FD4EEC">
      <w:pPr>
        <w:pStyle w:val="a9"/>
        <w:spacing w:before="312" w:beforeAutospacing="0" w:after="312" w:afterAutospacing="0"/>
        <w:jc w:val="center"/>
        <w:rPr>
          <w:rFonts w:ascii="Calibri" w:eastAsia="微软雅黑" w:hAnsi="Calibri" w:cs="Calibri" w:hint="eastAsia"/>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第三章</w:t>
      </w:r>
      <w:r>
        <w:rPr>
          <w:rFonts w:cs="Calibri" w:hint="eastAsia"/>
          <w:b/>
          <w:bCs/>
          <w:color w:val="3F3F3F"/>
          <w:sz w:val="52"/>
          <w:szCs w:val="52"/>
        </w:rPr>
        <w:t>•</w:t>
      </w:r>
      <w:r>
        <w:rPr>
          <w:rFonts w:ascii="楷体" w:eastAsia="楷体" w:hAnsi="楷体" w:cs="Calibri" w:hint="eastAsia"/>
          <w:b/>
          <w:bCs/>
          <w:color w:val="3F3F3F"/>
          <w:sz w:val="52"/>
          <w:szCs w:val="52"/>
        </w:rPr>
        <w:t>审计证据</w:t>
      </w:r>
    </w:p>
    <w:p w14:paraId="10E1A29F" w14:textId="77777777" w:rsidR="00000000" w:rsidRDefault="00FD4EEC">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B2868A8" w14:textId="77777777" w:rsidR="00000000" w:rsidRDefault="00FD4EEC">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审计程序</w:t>
      </w:r>
    </w:p>
    <w:p w14:paraId="1843C608"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一、检查</w:t>
      </w:r>
    </w:p>
    <w:p w14:paraId="7B10E1F1"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二、观察</w:t>
      </w:r>
    </w:p>
    <w:p w14:paraId="51B8CDDD"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三、询问</w:t>
      </w:r>
    </w:p>
    <w:p w14:paraId="39BE861B"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四、函证</w:t>
      </w:r>
    </w:p>
    <w:p w14:paraId="5D2B8616"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五、重新计算</w:t>
      </w:r>
    </w:p>
    <w:p w14:paraId="69C3D062"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六、重新执行</w:t>
      </w:r>
    </w:p>
    <w:p w14:paraId="181E2A01"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七、分析程序</w:t>
      </w:r>
    </w:p>
    <w:p w14:paraId="583E1924" w14:textId="77777777" w:rsidR="00000000" w:rsidRDefault="00FD4EEC">
      <w:pPr>
        <w:pStyle w:val="a9"/>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61575D6E"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有关审计程序的主要决策，包括三方面的内容：</w:t>
      </w:r>
    </w:p>
    <w:p w14:paraId="6FA83F9E"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选用何种审计程序；</w:t>
      </w:r>
    </w:p>
    <w:p w14:paraId="249D7780"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样本规模和选取哪些样本；</w:t>
      </w:r>
    </w:p>
    <w:p w14:paraId="47FE40F1"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何时执行。</w:t>
      </w:r>
    </w:p>
    <w:p w14:paraId="000E366C"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这其实就是我们这本书中的高频词汇，所谓审计程序的</w:t>
      </w:r>
      <w:r>
        <w:rPr>
          <w:rFonts w:cs="Calibri" w:hint="eastAsia"/>
          <w:b/>
          <w:bCs/>
          <w:color w:val="FF0000"/>
          <w:sz w:val="21"/>
          <w:szCs w:val="21"/>
        </w:rPr>
        <w:t>性质</w:t>
      </w:r>
      <w:r>
        <w:rPr>
          <w:rFonts w:cs="Calibri" w:hint="eastAsia"/>
          <w:color w:val="3F3F3F"/>
          <w:sz w:val="21"/>
          <w:szCs w:val="21"/>
        </w:rPr>
        <w:t>、</w:t>
      </w:r>
      <w:r>
        <w:rPr>
          <w:rFonts w:cs="Calibri" w:hint="eastAsia"/>
          <w:b/>
          <w:bCs/>
          <w:color w:val="FF0000"/>
          <w:sz w:val="21"/>
          <w:szCs w:val="21"/>
        </w:rPr>
        <w:t>范围</w:t>
      </w:r>
      <w:r>
        <w:rPr>
          <w:rFonts w:cs="Calibri" w:hint="eastAsia"/>
          <w:color w:val="3F3F3F"/>
          <w:sz w:val="21"/>
          <w:szCs w:val="21"/>
        </w:rPr>
        <w:t>和</w:t>
      </w:r>
      <w:r>
        <w:rPr>
          <w:rFonts w:cs="Calibri" w:hint="eastAsia"/>
          <w:b/>
          <w:bCs/>
          <w:color w:val="FF0000"/>
          <w:sz w:val="21"/>
          <w:szCs w:val="21"/>
        </w:rPr>
        <w:t>时间安排</w:t>
      </w:r>
      <w:r>
        <w:rPr>
          <w:rFonts w:cs="Calibri" w:hint="eastAsia"/>
          <w:color w:val="3F3F3F"/>
          <w:sz w:val="21"/>
          <w:szCs w:val="21"/>
        </w:rPr>
        <w:t>。</w:t>
      </w:r>
    </w:p>
    <w:p w14:paraId="3C4A6AAF"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审计程序主要有七类：</w:t>
      </w:r>
    </w:p>
    <w:p w14:paraId="0DEB7DD1" w14:textId="77777777" w:rsidR="00000000" w:rsidRDefault="00FD4EEC">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w:instrText>
      </w:r>
      <w:r>
        <w:rPr>
          <w:rFonts w:ascii="Calibri" w:eastAsia="微软雅黑" w:hAnsi="Calibri" w:cs="Calibri"/>
          <w:color w:val="3F3F3F"/>
          <w:sz w:val="21"/>
          <w:szCs w:val="21"/>
        </w:rPr>
        <w:instrText xml:space="preserve">t/img/2019/20190423/20190423174132310001.jpg"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56D1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234pt;height:158.25pt">
            <v:imagedata r:id="rId6" r:href="rId7"/>
          </v:shape>
        </w:pict>
      </w:r>
      <w:r>
        <w:rPr>
          <w:rFonts w:ascii="Calibri" w:eastAsia="微软雅黑" w:hAnsi="Calibri" w:cs="Calibri"/>
          <w:color w:val="3F3F3F"/>
          <w:sz w:val="21"/>
          <w:szCs w:val="21"/>
        </w:rPr>
        <w:fldChar w:fldCharType="end"/>
      </w:r>
    </w:p>
    <w:p w14:paraId="1E466B8E"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一、检查</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495EF3E8" w14:textId="77777777">
        <w:trPr>
          <w:trHeight w:val="149"/>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E98FC02"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088EE7"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2281FEE3" w14:textId="77777777">
        <w:trPr>
          <w:trHeight w:val="841"/>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BFE9C4"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对象</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0F77DFEB"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“物”</w:t>
            </w:r>
          </w:p>
          <w:p w14:paraId="04D5FA70"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记录和文件</w:t>
            </w:r>
            <w:r>
              <w:rPr>
                <w:rFonts w:cs="Calibri" w:hint="eastAsia"/>
                <w:color w:val="333333"/>
                <w:sz w:val="21"/>
                <w:szCs w:val="21"/>
              </w:rPr>
              <w:t>(</w:t>
            </w:r>
            <w:r>
              <w:rPr>
                <w:rFonts w:cs="Calibri" w:hint="eastAsia"/>
                <w:color w:val="333333"/>
                <w:sz w:val="21"/>
                <w:szCs w:val="21"/>
              </w:rPr>
              <w:t>纸质、电子或其他介质</w:t>
            </w:r>
            <w:r>
              <w:rPr>
                <w:rFonts w:cs="Calibri" w:hint="eastAsia"/>
                <w:color w:val="333333"/>
                <w:sz w:val="21"/>
                <w:szCs w:val="21"/>
              </w:rPr>
              <w:t>)</w:t>
            </w:r>
          </w:p>
          <w:p w14:paraId="1FF559C8"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实物</w:t>
            </w:r>
            <w:r>
              <w:rPr>
                <w:rFonts w:cs="Calibri" w:hint="eastAsia"/>
                <w:color w:val="333333"/>
                <w:sz w:val="21"/>
                <w:szCs w:val="21"/>
              </w:rPr>
              <w:t>(</w:t>
            </w:r>
            <w:r>
              <w:rPr>
                <w:rFonts w:cs="Calibri" w:hint="eastAsia"/>
                <w:color w:val="333333"/>
                <w:sz w:val="21"/>
                <w:szCs w:val="21"/>
              </w:rPr>
              <w:t>固定资产、存货、现金、应收票据等</w:t>
            </w:r>
            <w:r>
              <w:rPr>
                <w:rFonts w:cs="Calibri" w:hint="eastAsia"/>
                <w:color w:val="333333"/>
                <w:sz w:val="21"/>
                <w:szCs w:val="21"/>
              </w:rPr>
              <w:t>)</w:t>
            </w:r>
          </w:p>
        </w:tc>
      </w:tr>
      <w:tr w:rsidR="00000000" w14:paraId="37AE6B42" w14:textId="77777777">
        <w:trPr>
          <w:trHeight w:val="132"/>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01C0AE7"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可靠性</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EDB21D9"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取决于相关内部控制的有效性</w:t>
            </w:r>
          </w:p>
        </w:tc>
      </w:tr>
      <w:tr w:rsidR="00000000" w14:paraId="5F3EFA06" w14:textId="77777777">
        <w:trPr>
          <w:trHeight w:val="274"/>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9558C55"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21F56C0D"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风险评估程序</w:t>
            </w:r>
            <w:r>
              <w:rPr>
                <w:rFonts w:cs="Calibri" w:hint="eastAsia"/>
                <w:color w:val="333333"/>
                <w:sz w:val="21"/>
                <w:szCs w:val="21"/>
              </w:rPr>
              <w:t>/</w:t>
            </w:r>
            <w:r>
              <w:rPr>
                <w:rFonts w:cs="Calibri" w:hint="eastAsia"/>
                <w:color w:val="333333"/>
                <w:sz w:val="21"/>
                <w:szCs w:val="21"/>
              </w:rPr>
              <w:t>控制测试</w:t>
            </w:r>
            <w:r>
              <w:rPr>
                <w:rFonts w:cs="Calibri" w:hint="eastAsia"/>
                <w:color w:val="333333"/>
                <w:sz w:val="21"/>
                <w:szCs w:val="21"/>
              </w:rPr>
              <w:t>/</w:t>
            </w:r>
            <w:r>
              <w:rPr>
                <w:rFonts w:cs="Calibri" w:hint="eastAsia"/>
                <w:color w:val="333333"/>
                <w:sz w:val="21"/>
                <w:szCs w:val="21"/>
              </w:rPr>
              <w:t>实质性程序</w:t>
            </w:r>
          </w:p>
        </w:tc>
      </w:tr>
    </w:tbl>
    <w:p w14:paraId="0E0AA714"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二、观察</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135906AE" w14:textId="77777777">
        <w:trPr>
          <w:trHeight w:val="175"/>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9B85726"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F41F14"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4A9A0EC2" w14:textId="77777777">
        <w:trPr>
          <w:trHeight w:val="703"/>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961EE77"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对象</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1D064059"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“人”</w:t>
            </w:r>
          </w:p>
          <w:p w14:paraId="13DF4624"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相关人员正在从事的</w:t>
            </w:r>
            <w:r>
              <w:rPr>
                <w:rFonts w:cs="Calibri" w:hint="eastAsia"/>
                <w:b/>
                <w:bCs/>
                <w:color w:val="FF0000"/>
                <w:sz w:val="21"/>
                <w:szCs w:val="21"/>
              </w:rPr>
              <w:t>活动</w:t>
            </w:r>
            <w:r>
              <w:rPr>
                <w:rFonts w:cs="Calibri" w:hint="eastAsia"/>
                <w:color w:val="333333"/>
                <w:sz w:val="21"/>
                <w:szCs w:val="21"/>
              </w:rPr>
              <w:t>（盘点）</w:t>
            </w:r>
          </w:p>
          <w:p w14:paraId="77928234"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相关人员正在实施的</w:t>
            </w:r>
            <w:r>
              <w:rPr>
                <w:rFonts w:cs="Calibri" w:hint="eastAsia"/>
                <w:b/>
                <w:bCs/>
                <w:color w:val="FF0000"/>
                <w:sz w:val="21"/>
                <w:szCs w:val="21"/>
              </w:rPr>
              <w:t>程序</w:t>
            </w:r>
            <w:r>
              <w:rPr>
                <w:rFonts w:cs="Calibri" w:hint="eastAsia"/>
                <w:color w:val="333333"/>
                <w:sz w:val="21"/>
                <w:szCs w:val="21"/>
              </w:rPr>
              <w:t>（专家）</w:t>
            </w:r>
          </w:p>
        </w:tc>
      </w:tr>
      <w:tr w:rsidR="00000000" w14:paraId="1B667F3A" w14:textId="77777777">
        <w:trPr>
          <w:trHeight w:val="60"/>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350AB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可靠性</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4E8A09C"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仅限于观察时点；被观察人员的行为可能受到被</w:t>
            </w:r>
            <w:r>
              <w:rPr>
                <w:rFonts w:cs="Calibri" w:hint="eastAsia"/>
                <w:color w:val="333333"/>
                <w:sz w:val="21"/>
                <w:szCs w:val="21"/>
              </w:rPr>
              <w:t>观察的影响</w:t>
            </w:r>
          </w:p>
        </w:tc>
      </w:tr>
      <w:tr w:rsidR="00000000" w14:paraId="52344567" w14:textId="77777777">
        <w:trPr>
          <w:trHeight w:val="281"/>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2BA5F8"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138AE307"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风险评估程序</w:t>
            </w:r>
            <w:r>
              <w:rPr>
                <w:rFonts w:cs="Calibri" w:hint="eastAsia"/>
                <w:color w:val="333333"/>
                <w:sz w:val="21"/>
                <w:szCs w:val="21"/>
              </w:rPr>
              <w:t>/</w:t>
            </w:r>
            <w:r>
              <w:rPr>
                <w:rFonts w:cs="Calibri" w:hint="eastAsia"/>
                <w:color w:val="333333"/>
                <w:sz w:val="21"/>
                <w:szCs w:val="21"/>
              </w:rPr>
              <w:t>控制测试</w:t>
            </w:r>
            <w:r>
              <w:rPr>
                <w:rFonts w:cs="Calibri" w:hint="eastAsia"/>
                <w:color w:val="333333"/>
                <w:sz w:val="21"/>
                <w:szCs w:val="21"/>
              </w:rPr>
              <w:t>/</w:t>
            </w:r>
            <w:r>
              <w:rPr>
                <w:rFonts w:cs="Calibri" w:hint="eastAsia"/>
                <w:color w:val="333333"/>
                <w:sz w:val="21"/>
                <w:szCs w:val="21"/>
              </w:rPr>
              <w:t>实质性程序</w:t>
            </w:r>
          </w:p>
        </w:tc>
      </w:tr>
    </w:tbl>
    <w:p w14:paraId="3A5773A9"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三、询问</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12D9C3A1" w14:textId="77777777">
        <w:trPr>
          <w:trHeight w:val="309"/>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7FCDBCF"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A895DA1"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5074ED0D" w14:textId="77777777">
        <w:trPr>
          <w:trHeight w:val="285"/>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732BEAC"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方式</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00C99565"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书面或口头；对答复进行评价</w:t>
            </w:r>
          </w:p>
        </w:tc>
      </w:tr>
      <w:tr w:rsidR="00000000" w14:paraId="4A7A2848" w14:textId="77777777">
        <w:trPr>
          <w:trHeight w:val="516"/>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0B6EFC1"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对象</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51890DB"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w:t>
            </w:r>
            <w:r>
              <w:rPr>
                <w:rFonts w:cs="Calibri" w:hint="eastAsia"/>
                <w:b/>
                <w:bCs/>
                <w:color w:val="FF0000"/>
                <w:sz w:val="21"/>
                <w:szCs w:val="21"/>
              </w:rPr>
              <w:t>内部</w:t>
            </w:r>
            <w:r>
              <w:rPr>
                <w:rFonts w:cs="Calibri" w:hint="eastAsia"/>
                <w:color w:val="333333"/>
                <w:sz w:val="21"/>
                <w:szCs w:val="21"/>
              </w:rPr>
              <w:t>(</w:t>
            </w:r>
            <w:r>
              <w:rPr>
                <w:rFonts w:cs="Calibri" w:hint="eastAsia"/>
                <w:color w:val="333333"/>
                <w:sz w:val="21"/>
                <w:szCs w:val="21"/>
              </w:rPr>
              <w:t>业务</w:t>
            </w:r>
            <w:r>
              <w:rPr>
                <w:rFonts w:cs="Calibri" w:hint="eastAsia"/>
                <w:color w:val="333333"/>
                <w:sz w:val="21"/>
                <w:szCs w:val="21"/>
              </w:rPr>
              <w:t>/</w:t>
            </w:r>
            <w:r>
              <w:rPr>
                <w:rFonts w:cs="Calibri" w:hint="eastAsia"/>
                <w:color w:val="333333"/>
                <w:sz w:val="21"/>
                <w:szCs w:val="21"/>
              </w:rPr>
              <w:t>财务</w:t>
            </w:r>
            <w:r>
              <w:rPr>
                <w:rFonts w:cs="Calibri" w:hint="eastAsia"/>
                <w:color w:val="333333"/>
                <w:sz w:val="21"/>
                <w:szCs w:val="21"/>
              </w:rPr>
              <w:t>/</w:t>
            </w:r>
            <w:r>
              <w:rPr>
                <w:rFonts w:cs="Calibri" w:hint="eastAsia"/>
                <w:color w:val="333333"/>
                <w:sz w:val="21"/>
                <w:szCs w:val="21"/>
              </w:rPr>
              <w:t>内审</w:t>
            </w:r>
            <w:r>
              <w:rPr>
                <w:rFonts w:cs="Calibri" w:hint="eastAsia"/>
                <w:color w:val="333333"/>
                <w:sz w:val="21"/>
                <w:szCs w:val="21"/>
              </w:rPr>
              <w:t>/</w:t>
            </w:r>
            <w:r>
              <w:rPr>
                <w:rFonts w:cs="Calibri" w:hint="eastAsia"/>
                <w:color w:val="333333"/>
                <w:sz w:val="21"/>
                <w:szCs w:val="21"/>
              </w:rPr>
              <w:t>管理层等</w:t>
            </w:r>
            <w:r>
              <w:rPr>
                <w:rFonts w:cs="Calibri" w:hint="eastAsia"/>
                <w:color w:val="333333"/>
                <w:sz w:val="21"/>
                <w:szCs w:val="21"/>
              </w:rPr>
              <w:t>)</w:t>
            </w:r>
            <w:r>
              <w:rPr>
                <w:rFonts w:cs="Calibri" w:hint="eastAsia"/>
                <w:color w:val="333333"/>
                <w:sz w:val="21"/>
                <w:szCs w:val="21"/>
              </w:rPr>
              <w:t>或</w:t>
            </w:r>
            <w:r>
              <w:rPr>
                <w:rFonts w:cs="Calibri" w:hint="eastAsia"/>
                <w:b/>
                <w:bCs/>
                <w:color w:val="FF0000"/>
                <w:sz w:val="21"/>
                <w:szCs w:val="21"/>
              </w:rPr>
              <w:t>外部</w:t>
            </w:r>
            <w:r>
              <w:rPr>
                <w:rFonts w:cs="Calibri" w:hint="eastAsia"/>
                <w:color w:val="333333"/>
                <w:sz w:val="21"/>
                <w:szCs w:val="21"/>
              </w:rPr>
              <w:t>(</w:t>
            </w:r>
            <w:r>
              <w:rPr>
                <w:rFonts w:cs="Calibri" w:hint="eastAsia"/>
                <w:color w:val="333333"/>
                <w:sz w:val="21"/>
                <w:szCs w:val="21"/>
              </w:rPr>
              <w:t>供应商</w:t>
            </w:r>
            <w:r>
              <w:rPr>
                <w:rFonts w:cs="Calibri" w:hint="eastAsia"/>
                <w:color w:val="333333"/>
                <w:sz w:val="21"/>
                <w:szCs w:val="21"/>
              </w:rPr>
              <w:t>/</w:t>
            </w:r>
            <w:r>
              <w:rPr>
                <w:rFonts w:cs="Calibri" w:hint="eastAsia"/>
                <w:color w:val="333333"/>
                <w:sz w:val="21"/>
                <w:szCs w:val="21"/>
              </w:rPr>
              <w:t>客户</w:t>
            </w:r>
            <w:r>
              <w:rPr>
                <w:rFonts w:cs="Calibri" w:hint="eastAsia"/>
                <w:color w:val="333333"/>
                <w:sz w:val="21"/>
                <w:szCs w:val="21"/>
              </w:rPr>
              <w:t>/</w:t>
            </w:r>
            <w:r>
              <w:rPr>
                <w:rFonts w:cs="Calibri" w:hint="eastAsia"/>
                <w:color w:val="333333"/>
                <w:sz w:val="21"/>
                <w:szCs w:val="21"/>
              </w:rPr>
              <w:t>律师</w:t>
            </w:r>
            <w:r>
              <w:rPr>
                <w:rFonts w:cs="Calibri" w:hint="eastAsia"/>
                <w:color w:val="333333"/>
                <w:sz w:val="21"/>
                <w:szCs w:val="21"/>
              </w:rPr>
              <w:t>/</w:t>
            </w:r>
            <w:r>
              <w:rPr>
                <w:rFonts w:cs="Calibri" w:hint="eastAsia"/>
                <w:color w:val="333333"/>
                <w:sz w:val="21"/>
                <w:szCs w:val="21"/>
              </w:rPr>
              <w:t>专家等</w:t>
            </w:r>
            <w:r>
              <w:rPr>
                <w:rFonts w:cs="Calibri" w:hint="eastAsia"/>
                <w:color w:val="333333"/>
                <w:sz w:val="21"/>
                <w:szCs w:val="21"/>
              </w:rPr>
              <w:t>)</w:t>
            </w:r>
            <w:r>
              <w:rPr>
                <w:rFonts w:cs="Calibri" w:hint="eastAsia"/>
                <w:color w:val="333333"/>
                <w:sz w:val="21"/>
                <w:szCs w:val="21"/>
              </w:rPr>
              <w:t>的知情人员获取</w:t>
            </w:r>
            <w:r>
              <w:rPr>
                <w:rFonts w:cs="Calibri" w:hint="eastAsia"/>
                <w:b/>
                <w:bCs/>
                <w:color w:val="FF0000"/>
                <w:sz w:val="21"/>
                <w:szCs w:val="21"/>
              </w:rPr>
              <w:t>财务</w:t>
            </w:r>
            <w:r>
              <w:rPr>
                <w:rFonts w:cs="Calibri" w:hint="eastAsia"/>
                <w:color w:val="333333"/>
                <w:sz w:val="21"/>
                <w:szCs w:val="21"/>
              </w:rPr>
              <w:t>信息和</w:t>
            </w:r>
            <w:r>
              <w:rPr>
                <w:rFonts w:cs="Calibri" w:hint="eastAsia"/>
                <w:b/>
                <w:bCs/>
                <w:color w:val="FF0000"/>
                <w:sz w:val="21"/>
                <w:szCs w:val="21"/>
              </w:rPr>
              <w:t>非财务</w:t>
            </w:r>
            <w:r>
              <w:rPr>
                <w:rFonts w:cs="Calibri" w:hint="eastAsia"/>
                <w:color w:val="333333"/>
                <w:sz w:val="21"/>
                <w:szCs w:val="21"/>
              </w:rPr>
              <w:t>信息</w:t>
            </w:r>
          </w:p>
        </w:tc>
      </w:tr>
      <w:tr w:rsidR="00000000" w14:paraId="282551D5" w14:textId="77777777">
        <w:trPr>
          <w:trHeight w:val="313"/>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681C69"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可靠性</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416C235"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询问</w:t>
            </w:r>
            <w:r>
              <w:rPr>
                <w:rFonts w:cs="Calibri" w:hint="eastAsia"/>
                <w:color w:val="333333"/>
                <w:sz w:val="21"/>
                <w:szCs w:val="21"/>
              </w:rPr>
              <w:t>可能本身不足以提供充分、适当的审计证据；必要时获取书面声明</w:t>
            </w:r>
          </w:p>
        </w:tc>
      </w:tr>
      <w:tr w:rsidR="00000000" w14:paraId="6E9E016D" w14:textId="77777777">
        <w:trPr>
          <w:trHeight w:val="261"/>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AC1257B"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7B601"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风险评估程序</w:t>
            </w:r>
            <w:r>
              <w:rPr>
                <w:rFonts w:cs="Calibri" w:hint="eastAsia"/>
                <w:color w:val="333333"/>
                <w:sz w:val="21"/>
                <w:szCs w:val="21"/>
              </w:rPr>
              <w:t>/</w:t>
            </w:r>
            <w:r>
              <w:rPr>
                <w:rFonts w:cs="Calibri" w:hint="eastAsia"/>
                <w:color w:val="333333"/>
                <w:sz w:val="21"/>
                <w:szCs w:val="21"/>
              </w:rPr>
              <w:t>控制测试</w:t>
            </w:r>
            <w:r>
              <w:rPr>
                <w:rFonts w:cs="Calibri" w:hint="eastAsia"/>
                <w:color w:val="333333"/>
                <w:sz w:val="21"/>
                <w:szCs w:val="21"/>
              </w:rPr>
              <w:t>/</w:t>
            </w:r>
            <w:r>
              <w:rPr>
                <w:rFonts w:cs="Calibri" w:hint="eastAsia"/>
                <w:color w:val="333333"/>
                <w:sz w:val="21"/>
                <w:szCs w:val="21"/>
              </w:rPr>
              <w:t>实质性程序</w:t>
            </w:r>
          </w:p>
        </w:tc>
      </w:tr>
    </w:tbl>
    <w:p w14:paraId="3EA9B439"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四、函证</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395BA93D" w14:textId="77777777">
        <w:trPr>
          <w:trHeight w:val="199"/>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F73D1D7"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945E47E"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1F83D704" w14:textId="77777777">
        <w:trPr>
          <w:trHeight w:val="289"/>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785F7B"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对象</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00F3AEC1"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向第三方</w:t>
            </w:r>
            <w:r>
              <w:rPr>
                <w:rFonts w:cs="Calibri" w:hint="eastAsia"/>
                <w:color w:val="333333"/>
                <w:sz w:val="21"/>
                <w:szCs w:val="21"/>
              </w:rPr>
              <w:t>(</w:t>
            </w:r>
            <w:r>
              <w:rPr>
                <w:rFonts w:cs="Calibri" w:hint="eastAsia"/>
                <w:color w:val="333333"/>
                <w:sz w:val="21"/>
                <w:szCs w:val="21"/>
              </w:rPr>
              <w:t>被询证人</w:t>
            </w:r>
            <w:r>
              <w:rPr>
                <w:rFonts w:cs="Calibri" w:hint="eastAsia"/>
                <w:color w:val="333333"/>
                <w:sz w:val="21"/>
                <w:szCs w:val="21"/>
              </w:rPr>
              <w:t>)</w:t>
            </w:r>
            <w:r>
              <w:rPr>
                <w:rFonts w:cs="Calibri" w:hint="eastAsia"/>
                <w:color w:val="333333"/>
                <w:sz w:val="21"/>
                <w:szCs w:val="21"/>
              </w:rPr>
              <w:t>获取书面答复</w:t>
            </w:r>
          </w:p>
        </w:tc>
      </w:tr>
      <w:tr w:rsidR="00000000" w14:paraId="52768F8D" w14:textId="77777777">
        <w:trPr>
          <w:trHeight w:val="265"/>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FDC7113"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66EAA2DB"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账户余额</w:t>
            </w:r>
            <w:r>
              <w:rPr>
                <w:rFonts w:cs="Calibri" w:hint="eastAsia"/>
                <w:color w:val="333333"/>
                <w:sz w:val="21"/>
                <w:szCs w:val="21"/>
              </w:rPr>
              <w:t>/</w:t>
            </w:r>
            <w:r>
              <w:rPr>
                <w:rFonts w:cs="Calibri" w:hint="eastAsia"/>
                <w:color w:val="333333"/>
                <w:sz w:val="21"/>
                <w:szCs w:val="21"/>
              </w:rPr>
              <w:t>协议和交易</w:t>
            </w:r>
          </w:p>
        </w:tc>
      </w:tr>
      <w:tr w:rsidR="00000000" w14:paraId="7BCF2F02" w14:textId="77777777">
        <w:trPr>
          <w:trHeight w:val="85"/>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6DEA3E"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8C01414"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实质性程序</w:t>
            </w:r>
          </w:p>
        </w:tc>
      </w:tr>
    </w:tbl>
    <w:p w14:paraId="564B67B8"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五、重新计算</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67090A3A" w14:textId="77777777">
        <w:trPr>
          <w:trHeight w:val="137"/>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5D6F1C2"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205793E"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1E9B1976" w14:textId="77777777">
        <w:trPr>
          <w:trHeight w:val="254"/>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DA3094"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2D8691FB"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以</w:t>
            </w:r>
            <w:r>
              <w:rPr>
                <w:rFonts w:cs="Calibri" w:hint="eastAsia"/>
                <w:color w:val="333333"/>
                <w:sz w:val="21"/>
                <w:szCs w:val="21"/>
              </w:rPr>
              <w:t>人工或电子的方式，对记录或文件中的数据</w:t>
            </w:r>
            <w:r>
              <w:rPr>
                <w:rFonts w:cs="Calibri" w:hint="eastAsia"/>
                <w:b/>
                <w:bCs/>
                <w:color w:val="FF0000"/>
                <w:sz w:val="21"/>
                <w:szCs w:val="21"/>
              </w:rPr>
              <w:t>计算的准确性</w:t>
            </w:r>
            <w:r>
              <w:rPr>
                <w:rFonts w:cs="Calibri" w:hint="eastAsia"/>
                <w:color w:val="333333"/>
                <w:sz w:val="21"/>
                <w:szCs w:val="21"/>
              </w:rPr>
              <w:t>进行核对</w:t>
            </w:r>
          </w:p>
        </w:tc>
      </w:tr>
      <w:tr w:rsidR="00000000" w14:paraId="4B437320" w14:textId="77777777">
        <w:trPr>
          <w:trHeight w:val="217"/>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2C7E1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EDF101"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实质性程序</w:t>
            </w:r>
          </w:p>
        </w:tc>
      </w:tr>
    </w:tbl>
    <w:p w14:paraId="75A48291"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六、重新执行</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5E289D9C" w14:textId="77777777">
        <w:trPr>
          <w:trHeight w:val="135"/>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331DCC0"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EE9720"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4A5F94CD" w14:textId="77777777">
        <w:trPr>
          <w:trHeight w:val="225"/>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7335498"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67412CC6"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重新独立执行作为被审计单位内部控制组成部分的程序或控制</w:t>
            </w:r>
          </w:p>
        </w:tc>
      </w:tr>
      <w:tr w:rsidR="00000000" w14:paraId="5E833FF3" w14:textId="77777777">
        <w:trPr>
          <w:trHeight w:val="343"/>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FDC5364"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5277F1C7"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控制测试</w:t>
            </w:r>
          </w:p>
        </w:tc>
      </w:tr>
    </w:tbl>
    <w:p w14:paraId="6C393341"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七、分析程序</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55DF3009" w14:textId="77777777">
        <w:trPr>
          <w:trHeight w:val="201"/>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970269E" w14:textId="77777777" w:rsidR="00000000" w:rsidRDefault="00FD4E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E866BB8"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3A9E1269" w14:textId="77777777">
        <w:trPr>
          <w:trHeight w:val="446"/>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4299F7"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对象</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0C198AA0"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不同财务数据</w:t>
            </w:r>
            <w:r>
              <w:rPr>
                <w:rFonts w:cs="Calibri" w:hint="eastAsia"/>
                <w:color w:val="333333"/>
                <w:sz w:val="21"/>
                <w:szCs w:val="21"/>
              </w:rPr>
              <w:t>之间的内在关系</w:t>
            </w:r>
          </w:p>
          <w:p w14:paraId="4AE7D332"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财务数据</w:t>
            </w:r>
            <w:r>
              <w:rPr>
                <w:rFonts w:cs="Calibri" w:hint="eastAsia"/>
                <w:color w:val="333333"/>
                <w:sz w:val="21"/>
                <w:szCs w:val="21"/>
              </w:rPr>
              <w:t>与</w:t>
            </w:r>
            <w:r>
              <w:rPr>
                <w:rFonts w:cs="Calibri" w:hint="eastAsia"/>
                <w:b/>
                <w:bCs/>
                <w:color w:val="FF0000"/>
                <w:sz w:val="21"/>
                <w:szCs w:val="21"/>
              </w:rPr>
              <w:t>非财务数据</w:t>
            </w:r>
            <w:r>
              <w:rPr>
                <w:rFonts w:cs="Calibri" w:hint="eastAsia"/>
                <w:color w:val="333333"/>
                <w:sz w:val="21"/>
                <w:szCs w:val="21"/>
              </w:rPr>
              <w:t>之间的内在关系</w:t>
            </w:r>
          </w:p>
        </w:tc>
      </w:tr>
      <w:tr w:rsidR="00000000" w14:paraId="7A842322" w14:textId="77777777">
        <w:trPr>
          <w:trHeight w:val="60"/>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D35198A"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5921A357"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评价和调查</w:t>
            </w:r>
          </w:p>
        </w:tc>
      </w:tr>
      <w:tr w:rsidR="00000000" w14:paraId="11FAE718" w14:textId="77777777">
        <w:trPr>
          <w:trHeight w:val="205"/>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A44CA1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运用环节</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7C0975D8" w14:textId="77777777" w:rsidR="00000000" w:rsidRDefault="00FD4EE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风险评估程序</w:t>
            </w:r>
            <w:r>
              <w:rPr>
                <w:rFonts w:cs="Calibri" w:hint="eastAsia"/>
                <w:color w:val="333333"/>
                <w:sz w:val="21"/>
                <w:szCs w:val="21"/>
              </w:rPr>
              <w:t>/</w:t>
            </w:r>
            <w:r>
              <w:rPr>
                <w:rFonts w:cs="Calibri" w:hint="eastAsia"/>
                <w:color w:val="333333"/>
                <w:sz w:val="21"/>
                <w:szCs w:val="21"/>
              </w:rPr>
              <w:t>实质性程序</w:t>
            </w:r>
          </w:p>
        </w:tc>
      </w:tr>
    </w:tbl>
    <w:p w14:paraId="61802E80" w14:textId="77777777" w:rsidR="00000000" w:rsidRDefault="00FD4EEC">
      <w:pPr>
        <w:pStyle w:val="a9"/>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0D84D9D7"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本节内容是基础和综述性的内容，可考性比较强的是七类程序运用的环节，可以命制多选题。</w:t>
      </w:r>
    </w:p>
    <w:tbl>
      <w:tblPr>
        <w:tblW w:w="0" w:type="auto"/>
        <w:jc w:val="center"/>
        <w:tblInd w:w="0" w:type="dxa"/>
        <w:tblLayout w:type="fixed"/>
        <w:tblCellMar>
          <w:left w:w="0" w:type="dxa"/>
          <w:right w:w="0" w:type="dxa"/>
        </w:tblCellMar>
        <w:tblLook w:val="0000" w:firstRow="0" w:lastRow="0" w:firstColumn="0" w:lastColumn="0" w:noHBand="0" w:noVBand="0"/>
      </w:tblPr>
      <w:tblGrid>
        <w:gridCol w:w="2002"/>
        <w:gridCol w:w="2126"/>
        <w:gridCol w:w="2251"/>
        <w:gridCol w:w="2126"/>
      </w:tblGrid>
      <w:tr w:rsidR="00000000" w14:paraId="1DC3FA5D" w14:textId="77777777">
        <w:trPr>
          <w:trHeight w:val="150"/>
          <w:jc w:val="center"/>
        </w:trPr>
        <w:tc>
          <w:tcPr>
            <w:tcW w:w="20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CA5D1D1" w14:textId="77777777" w:rsidR="00000000" w:rsidRDefault="00FD4EEC">
            <w:pPr>
              <w:rPr>
                <w:rFonts w:eastAsia="微软雅黑" w:cs="Calibri"/>
                <w:color w:val="3F3F3F"/>
                <w:szCs w:val="21"/>
              </w:rPr>
            </w:pP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06F080E"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风险评估</w:t>
            </w:r>
          </w:p>
        </w:tc>
        <w:tc>
          <w:tcPr>
            <w:tcW w:w="2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E94E5B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控制测试</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13D752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实质性程序</w:t>
            </w:r>
          </w:p>
        </w:tc>
      </w:tr>
      <w:tr w:rsidR="00000000" w14:paraId="644868C1"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68872C"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检查</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7F165E19"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1824F15A"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5C4BD572" w14:textId="77777777" w:rsidR="00000000" w:rsidRDefault="00FD4EEC">
            <w:pPr>
              <w:rPr>
                <w:rFonts w:ascii="Times New Roman" w:eastAsia="Times New Roman" w:hAnsi="Times New Roman"/>
                <w:sz w:val="20"/>
                <w:szCs w:val="20"/>
              </w:rPr>
            </w:pPr>
          </w:p>
        </w:tc>
      </w:tr>
      <w:tr w:rsidR="00000000" w14:paraId="570E5375"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8E794FF"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观察</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774BCF27"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3257072D"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4FBB1480" w14:textId="77777777" w:rsidR="00000000" w:rsidRDefault="00FD4EEC">
            <w:pPr>
              <w:rPr>
                <w:rFonts w:ascii="Times New Roman" w:eastAsia="Times New Roman" w:hAnsi="Times New Roman"/>
                <w:sz w:val="20"/>
                <w:szCs w:val="20"/>
              </w:rPr>
            </w:pPr>
          </w:p>
        </w:tc>
      </w:tr>
      <w:tr w:rsidR="00000000" w14:paraId="4DBD59CF"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BA48AFD"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询问</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527503CB"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6E1F748F"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47C78EC8" w14:textId="77777777" w:rsidR="00000000" w:rsidRDefault="00FD4EEC">
            <w:pPr>
              <w:rPr>
                <w:rFonts w:ascii="Times New Roman" w:eastAsia="Times New Roman" w:hAnsi="Times New Roman"/>
                <w:sz w:val="20"/>
                <w:szCs w:val="20"/>
              </w:rPr>
            </w:pPr>
          </w:p>
        </w:tc>
      </w:tr>
      <w:tr w:rsidR="00000000" w14:paraId="33C026CF"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2B3B27"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函证</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39894905"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62C31669"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713FB2ED" w14:textId="77777777" w:rsidR="00000000" w:rsidRDefault="00FD4EEC">
            <w:pPr>
              <w:rPr>
                <w:rFonts w:ascii="Times New Roman" w:eastAsia="Times New Roman" w:hAnsi="Times New Roman"/>
                <w:sz w:val="20"/>
                <w:szCs w:val="20"/>
              </w:rPr>
            </w:pPr>
          </w:p>
        </w:tc>
      </w:tr>
      <w:tr w:rsidR="00000000" w14:paraId="08D8E6CD"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9D9EA6"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重新计算</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52DC4322"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670860DE"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4779059B" w14:textId="77777777" w:rsidR="00000000" w:rsidRDefault="00FD4EEC">
            <w:pPr>
              <w:rPr>
                <w:rFonts w:ascii="Times New Roman" w:eastAsia="Times New Roman" w:hAnsi="Times New Roman"/>
                <w:sz w:val="20"/>
                <w:szCs w:val="20"/>
              </w:rPr>
            </w:pPr>
          </w:p>
        </w:tc>
      </w:tr>
      <w:tr w:rsidR="00000000" w14:paraId="750DC120" w14:textId="77777777">
        <w:trPr>
          <w:trHeight w:val="64"/>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41AF1A3"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重新执行</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18B49F4F"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645049CD"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772C2ED6" w14:textId="77777777" w:rsidR="00000000" w:rsidRDefault="00FD4EEC">
            <w:pPr>
              <w:rPr>
                <w:rFonts w:ascii="Times New Roman" w:eastAsia="Times New Roman" w:hAnsi="Times New Roman"/>
                <w:sz w:val="20"/>
                <w:szCs w:val="20"/>
              </w:rPr>
            </w:pPr>
          </w:p>
        </w:tc>
      </w:tr>
      <w:tr w:rsidR="00000000" w14:paraId="79624FC2" w14:textId="77777777">
        <w:trPr>
          <w:trHeight w:val="60"/>
          <w:jc w:val="center"/>
        </w:trPr>
        <w:tc>
          <w:tcPr>
            <w:tcW w:w="20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B6CC5B" w14:textId="77777777" w:rsidR="00000000" w:rsidRDefault="00FD4EE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分析程序</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A8FE9" w14:textId="77777777" w:rsidR="00000000" w:rsidRDefault="00FD4EEC">
            <w:pPr>
              <w:rPr>
                <w:rFonts w:eastAsia="微软雅黑" w:cs="Calibri"/>
                <w:color w:val="333333"/>
                <w:szCs w:val="21"/>
              </w:rPr>
            </w:pP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5BFF90BF" w14:textId="77777777" w:rsidR="00000000" w:rsidRDefault="00FD4EEC">
            <w:pPr>
              <w:rPr>
                <w:rFonts w:ascii="Times New Roman" w:eastAsia="Times New Roman" w:hAnsi="Times New Roman"/>
                <w:sz w:val="20"/>
                <w:szCs w:val="20"/>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7660C494" w14:textId="77777777" w:rsidR="00000000" w:rsidRDefault="00FD4EEC">
            <w:pPr>
              <w:rPr>
                <w:rFonts w:ascii="Times New Roman" w:eastAsia="Times New Roman" w:hAnsi="Times New Roman"/>
                <w:sz w:val="20"/>
                <w:szCs w:val="20"/>
              </w:rPr>
            </w:pPr>
          </w:p>
        </w:tc>
      </w:tr>
    </w:tbl>
    <w:p w14:paraId="4B9AB831"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9990D3D"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4F9DA40B"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以下审计程序中，可以运用在控制测试和细节测试实质性程序中的是（　　）。</w:t>
      </w:r>
    </w:p>
    <w:p w14:paraId="6DAB0D64"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重新计算</w:t>
      </w:r>
    </w:p>
    <w:p w14:paraId="562D9589"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重新执行</w:t>
      </w:r>
    </w:p>
    <w:p w14:paraId="2DCE8B4D"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w:t>
      </w:r>
      <w:r>
        <w:rPr>
          <w:rFonts w:cs="Calibri" w:hint="eastAsia"/>
          <w:color w:val="3F3F3F"/>
          <w:sz w:val="21"/>
          <w:szCs w:val="21"/>
        </w:rPr>
        <w:t>分析</w:t>
      </w:r>
    </w:p>
    <w:p w14:paraId="67C2DD57"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观察</w:t>
      </w:r>
    </w:p>
    <w:p w14:paraId="39B240AD"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668002C"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在学习本章时，同学们可能还会混淆，需要对七类程序死记硬背，其实不必担心，后续章节会频繁与他们见面，逐步加深理解，从而转化为常识。</w:t>
      </w:r>
    </w:p>
    <w:p w14:paraId="5EDB4ADC" w14:textId="77777777" w:rsidR="00000000" w:rsidRDefault="00FD4EEC">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1DD3C093"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下列有关询问程序的说法中，错误的是（　　）。</w:t>
      </w:r>
    </w:p>
    <w:p w14:paraId="5F8F9B65"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询问适用于风险评估、控制测</w:t>
      </w:r>
      <w:r>
        <w:rPr>
          <w:rFonts w:cs="Calibri" w:hint="eastAsia"/>
          <w:color w:val="3F3F3F"/>
          <w:sz w:val="21"/>
          <w:szCs w:val="21"/>
        </w:rPr>
        <w:t>试和实质性程序</w:t>
      </w:r>
    </w:p>
    <w:p w14:paraId="23496349"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询问可以以口头或书面方式进行</w:t>
      </w:r>
    </w:p>
    <w:p w14:paraId="5172A915"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注册会计师应当就管理层对询问作出的口头答复获取书面声明</w:t>
      </w:r>
    </w:p>
    <w:p w14:paraId="36CD61FF"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询问是指注册会计师向被审计单位内部或外部的知情人员获取财务信息和非财务信息，并对答复进行评价的过程</w:t>
      </w:r>
    </w:p>
    <w:p w14:paraId="0035458A"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16B960B4" w14:textId="77777777" w:rsidR="00000000" w:rsidRDefault="00FD4EEC">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执行询问程序，并不必然要求注册会计师就管理层对询问作出的口头答复获取书面声明。</w:t>
      </w:r>
    </w:p>
    <w:p w14:paraId="60BF9B41" w14:textId="77777777" w:rsidR="00000000" w:rsidRDefault="00FD4EEC">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1B3E7DC" w14:textId="77777777" w:rsidR="00000000" w:rsidRDefault="00FD4EEC">
      <w:pPr>
        <w:pStyle w:val="a9"/>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"http://webupload.admin.dongao.com/biz/handout/img/2019/20190423/20190423174</w:instrText>
      </w:r>
      <w:r>
        <w:rPr>
          <w:rFonts w:cs="Calibri"/>
          <w:color w:val="7030A0"/>
          <w:sz w:val="21"/>
          <w:szCs w:val="21"/>
        </w:rPr>
        <w:instrText xml:space="preserve">132144002.png" \* MERGEFORMATINET </w:instrText>
      </w:r>
      <w:r>
        <w:rPr>
          <w:rFonts w:cs="Calibri"/>
          <w:color w:val="7030A0"/>
          <w:sz w:val="21"/>
          <w:szCs w:val="21"/>
        </w:rPr>
        <w:fldChar w:fldCharType="separate"/>
      </w:r>
      <w:r>
        <w:rPr>
          <w:rFonts w:cs="Calibri"/>
          <w:color w:val="7030A0"/>
          <w:sz w:val="21"/>
          <w:szCs w:val="21"/>
        </w:rPr>
        <w:pict>
          <v:shape id="图片 11" o:spid="_x0000_i1027" type="#_x0000_t75" style="width:323.25pt;height:181.5pt">
            <v:imagedata r:id="rId8" r:href="rId9"/>
          </v:shape>
        </w:pict>
      </w:r>
      <w:r>
        <w:rPr>
          <w:rFonts w:cs="Calibri"/>
          <w:color w:val="7030A0"/>
          <w:sz w:val="21"/>
          <w:szCs w:val="21"/>
        </w:rPr>
        <w:fldChar w:fldCharType="end"/>
      </w:r>
    </w:p>
    <w:p w14:paraId="5DD2A768" w14:textId="77777777" w:rsidR="00000000" w:rsidRDefault="00FD4EEC">
      <w:pPr>
        <w:rPr>
          <w:rFonts w:hint="eastAsia"/>
        </w:rPr>
      </w:pPr>
    </w:p>
    <w:sectPr w:rsidR="00000000">
      <w:headerReference w:type="default" r:id="rId10"/>
      <w:footerReference w:type="default" r:id="rId11"/>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16528" w14:textId="77777777" w:rsidR="00000000" w:rsidRDefault="00FD4EEC">
      <w:r>
        <w:separator/>
      </w:r>
    </w:p>
  </w:endnote>
  <w:endnote w:type="continuationSeparator" w:id="0">
    <w:p w14:paraId="62D8060C" w14:textId="77777777" w:rsidR="00000000" w:rsidRDefault="00FD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CA1E6CF" w14:textId="77777777">
      <w:trPr>
        <w:trHeight w:val="274"/>
      </w:trPr>
      <w:tc>
        <w:tcPr>
          <w:tcW w:w="2050" w:type="dxa"/>
          <w:vAlign w:val="center"/>
        </w:tcPr>
        <w:p w14:paraId="1307989E" w14:textId="77777777" w:rsidR="00000000" w:rsidRDefault="00FD4EEC">
          <w:pPr>
            <w:jc w:val="left"/>
            <w:rPr>
              <w:rFonts w:ascii="楷体" w:eastAsia="楷体" w:hAnsi="楷体"/>
              <w:b/>
              <w:sz w:val="28"/>
              <w:szCs w:val="28"/>
            </w:rPr>
          </w:pPr>
          <w:r>
            <w:rPr>
              <w:lang w:val="en-US" w:eastAsia="zh-CN"/>
            </w:rPr>
            <w:pict w14:anchorId="6188E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257691FC" w14:textId="77777777" w:rsidR="00000000" w:rsidRDefault="00FD4EEC">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0CB26F2" w14:textId="77777777" w:rsidR="00000000" w:rsidRDefault="00FD4EEC">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A206553" w14:textId="77777777" w:rsidR="00000000" w:rsidRDefault="00FD4EEC">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D623" w14:textId="77777777" w:rsidR="00000000" w:rsidRDefault="00FD4EEC">
      <w:r>
        <w:separator/>
      </w:r>
    </w:p>
  </w:footnote>
  <w:footnote w:type="continuationSeparator" w:id="0">
    <w:p w14:paraId="64231ACE" w14:textId="77777777" w:rsidR="00000000" w:rsidRDefault="00FD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5221C4D" w14:textId="77777777">
      <w:trPr>
        <w:trHeight w:val="501"/>
      </w:trPr>
      <w:tc>
        <w:tcPr>
          <w:tcW w:w="4272" w:type="dxa"/>
          <w:vAlign w:val="center"/>
        </w:tcPr>
        <w:p w14:paraId="30F27939" w14:textId="77777777" w:rsidR="00000000" w:rsidRDefault="00FD4EEC">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61214A09" w14:textId="77777777" w:rsidR="00000000" w:rsidRDefault="00FD4EEC">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18A4986E" w14:textId="77777777" w:rsidR="00000000" w:rsidRDefault="00FD4EEC">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43842"/>
    <w:rsid w:val="00587FA0"/>
    <w:rsid w:val="00595BEE"/>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D4EEC"/>
    <w:rsid w:val="0E1B20DC"/>
    <w:rsid w:val="465B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31B53E7"/>
  <w15:chartTrackingRefBased/>
  <w15:docId w15:val="{BFF994DF-EBF5-4868-BB18-8582E2CD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423/20190423174132310001.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http://webupload.admin.dongao.com/biz/handout/img/2019/20190423/20190423174132144002.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