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BDB21" w14:textId="77777777" w:rsidR="006A570F" w:rsidRDefault="006A570F" w:rsidP="006A57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第二编</w:t>
      </w:r>
      <w:r>
        <w:rPr>
          <w:rFonts w:cs="Calibri" w:hint="eastAsia"/>
          <w:b/>
          <w:bCs/>
          <w:color w:val="3F3F3F"/>
          <w:sz w:val="50"/>
          <w:szCs w:val="50"/>
        </w:rPr>
        <w:t>•</w:t>
      </w:r>
      <w:r>
        <w:rPr>
          <w:rFonts w:ascii="楷体" w:eastAsia="楷体" w:hAnsi="楷体" w:cs="Calibri" w:hint="eastAsia"/>
          <w:b/>
          <w:bCs/>
          <w:color w:val="3F3F3F"/>
          <w:sz w:val="50"/>
          <w:szCs w:val="50"/>
        </w:rPr>
        <w:t>第八章</w:t>
      </w:r>
      <w:r>
        <w:rPr>
          <w:rFonts w:cs="Calibri" w:hint="eastAsia"/>
          <w:b/>
          <w:bCs/>
          <w:color w:val="3F3F3F"/>
          <w:sz w:val="50"/>
          <w:szCs w:val="50"/>
        </w:rPr>
        <w:t>•</w:t>
      </w:r>
      <w:r>
        <w:rPr>
          <w:rFonts w:ascii="楷体" w:eastAsia="楷体" w:hAnsi="楷体" w:cs="Calibri" w:hint="eastAsia"/>
          <w:b/>
          <w:bCs/>
          <w:color w:val="3F3F3F"/>
          <w:sz w:val="50"/>
          <w:szCs w:val="50"/>
        </w:rPr>
        <w:t>风险应对</w:t>
      </w:r>
    </w:p>
    <w:p w14:paraId="2A22641F" w14:textId="77777777" w:rsidR="006A570F" w:rsidRDefault="006A570F" w:rsidP="006A570F">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0467B8A8" w14:textId="77777777" w:rsidR="006A570F" w:rsidRDefault="006A570F" w:rsidP="006A570F">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1A23ABC6" w14:textId="77777777" w:rsidR="006A570F" w:rsidRDefault="006A570F" w:rsidP="006A570F">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65817AE2" w14:textId="77777777" w:rsidR="006A570F" w:rsidRDefault="006A570F" w:rsidP="006A570F">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813"/>
        <w:gridCol w:w="6692"/>
      </w:tblGrid>
      <w:tr w:rsidR="006A570F" w14:paraId="712B3A19" w14:textId="77777777" w:rsidTr="006A570F">
        <w:trPr>
          <w:trHeight w:val="125"/>
          <w:jc w:val="center"/>
        </w:trPr>
        <w:tc>
          <w:tcPr>
            <w:tcW w:w="18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541388"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B7E23AB"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5分/卷</w:t>
            </w:r>
          </w:p>
        </w:tc>
      </w:tr>
      <w:tr w:rsidR="006A570F" w14:paraId="3F659925" w14:textId="77777777" w:rsidTr="006A570F">
        <w:trPr>
          <w:trHeight w:val="125"/>
          <w:jc w:val="center"/>
        </w:trPr>
        <w:tc>
          <w:tcPr>
            <w:tcW w:w="18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60CF43"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C12AE"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w:t>
            </w:r>
          </w:p>
        </w:tc>
      </w:tr>
      <w:tr w:rsidR="006A570F" w14:paraId="4D1116E5" w14:textId="77777777" w:rsidTr="006A570F">
        <w:trPr>
          <w:trHeight w:val="125"/>
          <w:jc w:val="center"/>
        </w:trPr>
        <w:tc>
          <w:tcPr>
            <w:tcW w:w="18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B0E4B4"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429314"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6A570F" w14:paraId="5785CCCB" w14:textId="77777777" w:rsidTr="006A570F">
        <w:trPr>
          <w:trHeight w:val="677"/>
          <w:jc w:val="center"/>
        </w:trPr>
        <w:tc>
          <w:tcPr>
            <w:tcW w:w="18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A8249D"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915136"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本章的考题侧重于对教材理论知识的考核，实务性和灵活性均较低，但涉及比较多细碎的概念和知识点需要考生识记</w:t>
            </w:r>
          </w:p>
          <w:p w14:paraId="55E5449B"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本章内容涉及的审计程序，非实务的同学们会觉得陌生，需要与第9-12章前后联系</w:t>
            </w:r>
          </w:p>
        </w:tc>
      </w:tr>
    </w:tbl>
    <w:p w14:paraId="430E6375" w14:textId="77777777" w:rsidR="006A570F" w:rsidRDefault="006A570F" w:rsidP="006A57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A0A65EF" w14:textId="77777777" w:rsidR="006A570F" w:rsidRDefault="006A570F" w:rsidP="006A57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针对财务报表层次重大错报风险的总体应对措施</w:t>
      </w:r>
    </w:p>
    <w:p w14:paraId="1BF540EB" w14:textId="77777777" w:rsidR="006A570F" w:rsidRDefault="006A570F" w:rsidP="006A57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"http://webupload.admin.dongao.com/biz/handout/img/2019/20190502/20190502091225875001.png"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407.25pt">
            <v:imagedata r:id="rId7" r:href="rId8"/>
          </v:shape>
        </w:pict>
      </w:r>
      <w:r>
        <w:rPr>
          <w:rFonts w:ascii="Calibri" w:eastAsia="微软雅黑" w:hAnsi="Calibri" w:cs="Calibri"/>
          <w:color w:val="3F3F3F"/>
          <w:sz w:val="21"/>
          <w:szCs w:val="21"/>
        </w:rPr>
        <w:fldChar w:fldCharType="end"/>
      </w:r>
    </w:p>
    <w:p w14:paraId="2AC8289A"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一、总体应对措施</w:t>
      </w:r>
      <w:r>
        <w:rPr>
          <w:rFonts w:cs="Calibri" w:hint="eastAsia"/>
          <w:b/>
          <w:bCs/>
          <w:color w:val="FF0000"/>
          <w:sz w:val="21"/>
          <w:szCs w:val="21"/>
        </w:rPr>
        <w:t>（※※）</w:t>
      </w:r>
    </w:p>
    <w:p w14:paraId="5BCA5C62"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二、增加审计程序不可预见性的方法</w:t>
      </w:r>
      <w:r>
        <w:rPr>
          <w:rFonts w:cs="Calibri" w:hint="eastAsia"/>
          <w:b/>
          <w:bCs/>
          <w:color w:val="FF0000"/>
          <w:sz w:val="21"/>
          <w:szCs w:val="21"/>
        </w:rPr>
        <w:t>（※※）</w:t>
      </w:r>
    </w:p>
    <w:p w14:paraId="7D46FD88"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三、总体应对措施对进一步程序总体方案的影响</w:t>
      </w:r>
      <w:r>
        <w:rPr>
          <w:rFonts w:cs="Calibri" w:hint="eastAsia"/>
          <w:b/>
          <w:bCs/>
          <w:color w:val="FF0000"/>
          <w:sz w:val="21"/>
          <w:szCs w:val="21"/>
        </w:rPr>
        <w:t>（※）</w:t>
      </w:r>
    </w:p>
    <w:p w14:paraId="277933C2"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一、总体应对措施</w:t>
      </w:r>
      <w:r>
        <w:rPr>
          <w:rFonts w:cs="Calibri" w:hint="eastAsia"/>
          <w:b/>
          <w:bCs/>
          <w:color w:val="FF0000"/>
          <w:sz w:val="21"/>
          <w:szCs w:val="21"/>
        </w:rPr>
        <w:t>【多选题考点】</w:t>
      </w:r>
    </w:p>
    <w:tbl>
      <w:tblPr>
        <w:tblW w:w="8505" w:type="dxa"/>
        <w:jc w:val="center"/>
        <w:tblCellMar>
          <w:left w:w="0" w:type="dxa"/>
          <w:right w:w="0" w:type="dxa"/>
        </w:tblCellMar>
        <w:tblLook w:val="04A0" w:firstRow="1" w:lastRow="0" w:firstColumn="1" w:lastColumn="0" w:noHBand="0" w:noVBand="1"/>
      </w:tblPr>
      <w:tblGrid>
        <w:gridCol w:w="2227"/>
        <w:gridCol w:w="1438"/>
        <w:gridCol w:w="4840"/>
      </w:tblGrid>
      <w:tr w:rsidR="006A570F" w14:paraId="34AAE473" w14:textId="77777777" w:rsidTr="006A570F">
        <w:trPr>
          <w:trHeight w:val="199"/>
          <w:jc w:val="center"/>
        </w:trPr>
        <w:tc>
          <w:tcPr>
            <w:tcW w:w="8505"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C35BEF"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1.向审计项目组强调保持</w:t>
            </w:r>
            <w:r>
              <w:rPr>
                <w:rFonts w:cs="Calibri" w:hint="eastAsia"/>
                <w:b/>
                <w:bCs/>
                <w:color w:val="FF0000"/>
                <w:sz w:val="21"/>
                <w:szCs w:val="21"/>
              </w:rPr>
              <w:t>职业怀疑</w:t>
            </w:r>
            <w:r>
              <w:rPr>
                <w:rFonts w:cs="Calibri" w:hint="eastAsia"/>
                <w:color w:val="333333"/>
                <w:sz w:val="21"/>
                <w:szCs w:val="21"/>
              </w:rPr>
              <w:t>的必要性</w:t>
            </w:r>
          </w:p>
        </w:tc>
      </w:tr>
      <w:tr w:rsidR="006A570F" w14:paraId="09DCC4AA" w14:textId="77777777" w:rsidTr="006A570F">
        <w:trPr>
          <w:trHeight w:val="199"/>
          <w:jc w:val="center"/>
        </w:trPr>
        <w:tc>
          <w:tcPr>
            <w:tcW w:w="85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0AD6BD"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2.分派更有</w:t>
            </w:r>
            <w:r>
              <w:rPr>
                <w:rFonts w:cs="Calibri" w:hint="eastAsia"/>
                <w:b/>
                <w:bCs/>
                <w:color w:val="FF0000"/>
                <w:sz w:val="21"/>
                <w:szCs w:val="21"/>
              </w:rPr>
              <w:t>经验</w:t>
            </w:r>
            <w:r>
              <w:rPr>
                <w:rFonts w:cs="Calibri" w:hint="eastAsia"/>
                <w:color w:val="333333"/>
                <w:sz w:val="21"/>
                <w:szCs w:val="21"/>
              </w:rPr>
              <w:t>或具有特殊技能的审计人员，或利用专家工作</w:t>
            </w:r>
          </w:p>
        </w:tc>
      </w:tr>
      <w:tr w:rsidR="006A570F" w14:paraId="1A024897" w14:textId="77777777" w:rsidTr="006A570F">
        <w:trPr>
          <w:trHeight w:val="199"/>
          <w:jc w:val="center"/>
        </w:trPr>
        <w:tc>
          <w:tcPr>
            <w:tcW w:w="85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1637A"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3.提供更多的</w:t>
            </w:r>
            <w:r>
              <w:rPr>
                <w:rFonts w:cs="Calibri" w:hint="eastAsia"/>
                <w:b/>
                <w:bCs/>
                <w:color w:val="FF0000"/>
                <w:sz w:val="21"/>
                <w:szCs w:val="21"/>
              </w:rPr>
              <w:t>督导</w:t>
            </w:r>
          </w:p>
        </w:tc>
      </w:tr>
      <w:tr w:rsidR="006A570F" w14:paraId="0CC067DC" w14:textId="77777777" w:rsidTr="006A570F">
        <w:trPr>
          <w:trHeight w:val="199"/>
          <w:jc w:val="center"/>
        </w:trPr>
        <w:tc>
          <w:tcPr>
            <w:tcW w:w="850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A799B4"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4.在选择进一步审计程序时融入更多的</w:t>
            </w:r>
            <w:r>
              <w:rPr>
                <w:rFonts w:cs="Calibri" w:hint="eastAsia"/>
                <w:b/>
                <w:bCs/>
                <w:color w:val="FF0000"/>
                <w:sz w:val="21"/>
                <w:szCs w:val="21"/>
              </w:rPr>
              <w:t>不可预见</w:t>
            </w:r>
            <w:r>
              <w:rPr>
                <w:rFonts w:cs="Calibri" w:hint="eastAsia"/>
                <w:color w:val="333333"/>
                <w:sz w:val="21"/>
                <w:szCs w:val="21"/>
              </w:rPr>
              <w:t>的因素</w:t>
            </w:r>
          </w:p>
        </w:tc>
      </w:tr>
      <w:tr w:rsidR="006A570F" w14:paraId="7F14EF04" w14:textId="77777777" w:rsidTr="006A570F">
        <w:trPr>
          <w:trHeight w:val="341"/>
          <w:jc w:val="center"/>
        </w:trPr>
        <w:tc>
          <w:tcPr>
            <w:tcW w:w="222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5D11C0"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5.对拟实施审计程序的性质、时间安排或范围作出</w:t>
            </w:r>
            <w:r>
              <w:rPr>
                <w:rFonts w:cs="Calibri" w:hint="eastAsia"/>
                <w:b/>
                <w:bCs/>
                <w:color w:val="FF0000"/>
                <w:sz w:val="21"/>
                <w:szCs w:val="21"/>
              </w:rPr>
              <w:t>总体修改</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7EE0BF"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性质</w:t>
            </w:r>
          </w:p>
        </w:tc>
        <w:tc>
          <w:tcPr>
            <w:tcW w:w="4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0CBBE"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通过实施实质性程序获取更广泛的审计证据</w:t>
            </w:r>
          </w:p>
        </w:tc>
      </w:tr>
      <w:tr w:rsidR="006A570F" w14:paraId="20F70670" w14:textId="77777777" w:rsidTr="006A570F">
        <w:trPr>
          <w:trHeight w:val="341"/>
          <w:jc w:val="center"/>
        </w:trPr>
        <w:tc>
          <w:tcPr>
            <w:tcW w:w="0" w:type="auto"/>
            <w:vMerge/>
            <w:tcBorders>
              <w:top w:val="nil"/>
              <w:left w:val="single" w:sz="8" w:space="0" w:color="auto"/>
              <w:bottom w:val="single" w:sz="8" w:space="0" w:color="auto"/>
              <w:right w:val="single" w:sz="8" w:space="0" w:color="auto"/>
            </w:tcBorders>
            <w:vAlign w:val="center"/>
            <w:hideMark/>
          </w:tcPr>
          <w:p w14:paraId="61227918" w14:textId="77777777" w:rsidR="006A570F" w:rsidRDefault="006A570F" w:rsidP="006A570F">
            <w:pPr>
              <w:rPr>
                <w:rFonts w:eastAsia="微软雅黑" w:cs="Calibri"/>
                <w:color w:val="333333"/>
                <w:szCs w:val="21"/>
              </w:rPr>
            </w:pP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8C6550"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时间安排</w:t>
            </w:r>
          </w:p>
        </w:tc>
        <w:tc>
          <w:tcPr>
            <w:tcW w:w="4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176E80"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在期末而非期中实施更多的审计程序</w:t>
            </w:r>
          </w:p>
        </w:tc>
      </w:tr>
      <w:tr w:rsidR="006A570F" w14:paraId="490DFED3" w14:textId="77777777" w:rsidTr="006A570F">
        <w:trPr>
          <w:trHeight w:val="136"/>
          <w:jc w:val="center"/>
        </w:trPr>
        <w:tc>
          <w:tcPr>
            <w:tcW w:w="0" w:type="auto"/>
            <w:vMerge/>
            <w:tcBorders>
              <w:top w:val="nil"/>
              <w:left w:val="single" w:sz="8" w:space="0" w:color="auto"/>
              <w:bottom w:val="single" w:sz="8" w:space="0" w:color="auto"/>
              <w:right w:val="single" w:sz="8" w:space="0" w:color="auto"/>
            </w:tcBorders>
            <w:vAlign w:val="center"/>
            <w:hideMark/>
          </w:tcPr>
          <w:p w14:paraId="3FBEAA50" w14:textId="77777777" w:rsidR="006A570F" w:rsidRDefault="006A570F" w:rsidP="006A570F">
            <w:pPr>
              <w:rPr>
                <w:rFonts w:eastAsia="微软雅黑" w:cs="Calibri"/>
                <w:color w:val="333333"/>
                <w:szCs w:val="21"/>
              </w:rPr>
            </w:pP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989EAD" w14:textId="77777777" w:rsidR="006A570F" w:rsidRDefault="006A570F" w:rsidP="006A570F">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范围</w:t>
            </w:r>
          </w:p>
        </w:tc>
        <w:tc>
          <w:tcPr>
            <w:tcW w:w="4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0BFDA2" w14:textId="77777777" w:rsidR="006A570F" w:rsidRDefault="006A570F" w:rsidP="006A570F">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增加拟纳入审计范围的经营地点的数量</w:t>
            </w:r>
          </w:p>
        </w:tc>
      </w:tr>
    </w:tbl>
    <w:p w14:paraId="38F5CFBA" w14:textId="77777777" w:rsidR="006A570F" w:rsidRDefault="006A570F" w:rsidP="006A57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"http://webupload.admin.dongao.com/biz/handout/img/2019/20190502/20190502091225488002.png"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422.25pt">
            <v:imagedata r:id="rId9" r:href="rId10"/>
          </v:shape>
        </w:pict>
      </w:r>
      <w:r>
        <w:rPr>
          <w:rFonts w:ascii="Calibri" w:eastAsia="微软雅黑" w:hAnsi="Calibri" w:cs="Calibri"/>
          <w:color w:val="3F3F3F"/>
          <w:sz w:val="21"/>
          <w:szCs w:val="21"/>
        </w:rPr>
        <w:fldChar w:fldCharType="end"/>
      </w:r>
    </w:p>
    <w:p w14:paraId="492EDBB3"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5AF46A8"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单项选择题【2016年真题】</w:t>
      </w:r>
    </w:p>
    <w:p w14:paraId="503672B2"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下列各项措施中，不能应对财务报表层次重大错报风险的是（　　）。</w:t>
      </w:r>
    </w:p>
    <w:p w14:paraId="53DB046F"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A.在期末而非期中实施更多的审计程序</w:t>
      </w:r>
    </w:p>
    <w:p w14:paraId="1445F42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B.扩大控制测试的范围</w:t>
      </w:r>
    </w:p>
    <w:p w14:paraId="5AB3A61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C.增加拟纳入审计范围的经营地点的数量</w:t>
      </w:r>
    </w:p>
    <w:p w14:paraId="38F70C0E"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D.增加审计程序的不可预见性</w:t>
      </w:r>
    </w:p>
    <w:p w14:paraId="7896572A"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[答案]B</w:t>
      </w:r>
    </w:p>
    <w:p w14:paraId="3A9ADD8B"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[点评]选项B中，控制测试是为了获取关于控制防止或发现并纠正认定层次的重大错报的有效性而实施的测试，不能应对财务报表层次的重大错报风险。</w:t>
      </w:r>
    </w:p>
    <w:p w14:paraId="6231FDED"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单项选择题【2013年真题】</w:t>
      </w:r>
    </w:p>
    <w:p w14:paraId="32E76489"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注册会计师应当针对评估的由于舞弊导致的财务报表层次重大错报风险确定总体应对措施。下列各项措施中，错误的是（　　）。</w:t>
      </w:r>
    </w:p>
    <w:p w14:paraId="7208A3C6"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A.评价被审计单位对会计政策的选择和运用</w:t>
      </w:r>
    </w:p>
    <w:p w14:paraId="507FD21F"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B.指派更有经验、知识、技能和能力的项目组成员</w:t>
      </w:r>
    </w:p>
    <w:p w14:paraId="52ACDE61"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C.修改财务报表整体的重要性</w:t>
      </w:r>
    </w:p>
    <w:p w14:paraId="4CDC176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D.在确定审计程序的性质、时间安排或范围时，增加审计程序的不可预见性</w:t>
      </w:r>
    </w:p>
    <w:p w14:paraId="327A1D3D"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[答案]C</w:t>
      </w:r>
    </w:p>
    <w:p w14:paraId="11C072B2"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[点评]总体应对措施的5点内容，同学们要准确记忆，同时要注意理解其旨在应对财务报表层次的重大错报风险；选项C中，注册会计师不能人为地修改财务报表整体的重要性来应对重大错报风险，这是</w:t>
      </w:r>
      <w:r>
        <w:rPr>
          <w:rFonts w:cs="Calibri" w:hint="eastAsia"/>
          <w:b/>
          <w:bCs/>
          <w:color w:val="FF0000"/>
          <w:sz w:val="21"/>
          <w:szCs w:val="21"/>
        </w:rPr>
        <w:t>易考易错点</w:t>
      </w:r>
      <w:r>
        <w:rPr>
          <w:rFonts w:cs="Calibri" w:hint="eastAsia"/>
          <w:color w:val="3F3F3F"/>
          <w:sz w:val="21"/>
          <w:szCs w:val="21"/>
        </w:rPr>
        <w:t>。</w:t>
      </w:r>
    </w:p>
    <w:p w14:paraId="1EFCDFB9"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661F7381"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以下关于控制环境对总体应对措施的影响，注册会计师王俊凯认为正确的有（　　）。</w:t>
      </w:r>
    </w:p>
    <w:p w14:paraId="5F9EF7A6"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A.注册会计师对控制环境的了解影响其对财务报表层次重大错报风险的评估，从而影响所采取的总体应对措施</w:t>
      </w:r>
    </w:p>
    <w:p w14:paraId="708F88B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B.如果控制环境有效，注册会计师可以在期中而非期末实施某些审计程序</w:t>
      </w:r>
    </w:p>
    <w:p w14:paraId="4D7C1C5C"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C.为应对控制环境的缺陷，注册会计师应考虑依赖内部控制，而非主要依赖实质性程序获取审计证据</w:t>
      </w:r>
    </w:p>
    <w:p w14:paraId="2D58CD77"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D.为应对控制环境的缺陷，注册会计师可以考虑增加拟纳入审计范围的经营地点的数量</w:t>
      </w:r>
    </w:p>
    <w:p w14:paraId="42CF121E"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[答案]ABD</w:t>
      </w:r>
    </w:p>
    <w:p w14:paraId="1CF6D21B"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[点评]为应对</w:t>
      </w:r>
      <w:r>
        <w:rPr>
          <w:rFonts w:cs="Calibri" w:hint="eastAsia"/>
          <w:b/>
          <w:bCs/>
          <w:color w:val="FF0000"/>
          <w:sz w:val="21"/>
          <w:szCs w:val="21"/>
        </w:rPr>
        <w:t>控制环境的缺陷</w:t>
      </w:r>
      <w:r>
        <w:rPr>
          <w:rFonts w:cs="Calibri" w:hint="eastAsia"/>
          <w:color w:val="3F3F3F"/>
          <w:sz w:val="21"/>
          <w:szCs w:val="21"/>
        </w:rPr>
        <w:t>，注册会计师应考虑对拟实施审计程序的性质、时间安排或范围做出总体修改，可以采取的措施包括：（1）在期末而非期中实施更多的审计程序；（2）通过实施实质性程序获取更广泛的审计证据；（3）增加拟纳入审计范围的经营地点的数量。本题存在一定的难度，是对总体应对措施的变形考查，同学们要注意在</w:t>
      </w:r>
      <w:r>
        <w:rPr>
          <w:rFonts w:cs="Calibri" w:hint="eastAsia"/>
          <w:b/>
          <w:bCs/>
          <w:color w:val="FF0000"/>
          <w:sz w:val="21"/>
          <w:szCs w:val="21"/>
        </w:rPr>
        <w:t>理解的基础上</w:t>
      </w:r>
      <w:r>
        <w:rPr>
          <w:rFonts w:cs="Calibri" w:hint="eastAsia"/>
          <w:color w:val="3F3F3F"/>
          <w:sz w:val="21"/>
          <w:szCs w:val="21"/>
        </w:rPr>
        <w:t>记忆。</w:t>
      </w:r>
    </w:p>
    <w:p w14:paraId="43E71B0B"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二、增加审计程序不可预见性的方法</w:t>
      </w:r>
    </w:p>
    <w:p w14:paraId="1405488B"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1.思路</w:t>
      </w:r>
      <w:r>
        <w:rPr>
          <w:rFonts w:cs="Calibri" w:hint="eastAsia"/>
          <w:b/>
          <w:bCs/>
          <w:color w:val="FF0000"/>
          <w:sz w:val="21"/>
          <w:szCs w:val="21"/>
        </w:rPr>
        <w:t>【多选题考点】</w:t>
      </w:r>
    </w:p>
    <w:tbl>
      <w:tblPr>
        <w:tblW w:w="8148" w:type="dxa"/>
        <w:jc w:val="center"/>
        <w:tblCellMar>
          <w:left w:w="0" w:type="dxa"/>
          <w:right w:w="0" w:type="dxa"/>
        </w:tblCellMar>
        <w:tblLook w:val="04A0" w:firstRow="1" w:lastRow="0" w:firstColumn="1" w:lastColumn="0" w:noHBand="0" w:noVBand="1"/>
      </w:tblPr>
      <w:tblGrid>
        <w:gridCol w:w="8148"/>
      </w:tblGrid>
      <w:tr w:rsidR="006A570F" w14:paraId="49C2B215" w14:textId="77777777" w:rsidTr="006A570F">
        <w:trPr>
          <w:trHeight w:val="295"/>
          <w:jc w:val="center"/>
        </w:trPr>
        <w:tc>
          <w:tcPr>
            <w:tcW w:w="8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BCC447" w14:textId="77777777" w:rsidR="006A570F" w:rsidRDefault="006A570F" w:rsidP="006A57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（1）对某些</w:t>
            </w:r>
            <w:r>
              <w:rPr>
                <w:rFonts w:cs="Calibri" w:hint="eastAsia"/>
                <w:b/>
                <w:bCs/>
                <w:color w:val="FF0000"/>
                <w:sz w:val="21"/>
                <w:szCs w:val="21"/>
              </w:rPr>
              <w:t>未测试</w:t>
            </w:r>
            <w:r>
              <w:rPr>
                <w:rFonts w:cs="Calibri" w:hint="eastAsia"/>
                <w:color w:val="333333"/>
                <w:sz w:val="21"/>
                <w:szCs w:val="21"/>
              </w:rPr>
              <w:t>过的</w:t>
            </w:r>
            <w:r>
              <w:rPr>
                <w:rFonts w:cs="Calibri" w:hint="eastAsia"/>
                <w:b/>
                <w:bCs/>
                <w:color w:val="FF0000"/>
                <w:sz w:val="21"/>
                <w:szCs w:val="21"/>
              </w:rPr>
              <w:t>低于</w:t>
            </w:r>
            <w:r>
              <w:rPr>
                <w:rFonts w:cs="Calibri" w:hint="eastAsia"/>
                <w:color w:val="333333"/>
                <w:sz w:val="21"/>
                <w:szCs w:val="21"/>
              </w:rPr>
              <w:t>重要性水平或</w:t>
            </w:r>
            <w:r>
              <w:rPr>
                <w:rFonts w:cs="Calibri" w:hint="eastAsia"/>
                <w:b/>
                <w:bCs/>
                <w:color w:val="FF0000"/>
                <w:sz w:val="21"/>
                <w:szCs w:val="21"/>
              </w:rPr>
              <w:t>风险较小</w:t>
            </w:r>
            <w:r>
              <w:rPr>
                <w:rFonts w:cs="Calibri" w:hint="eastAsia"/>
                <w:color w:val="333333"/>
                <w:sz w:val="21"/>
                <w:szCs w:val="21"/>
              </w:rPr>
              <w:t>的账户余额和认定实施实质性程序</w:t>
            </w:r>
          </w:p>
        </w:tc>
      </w:tr>
      <w:tr w:rsidR="006A570F" w14:paraId="445B1A6A" w14:textId="77777777" w:rsidTr="006A570F">
        <w:trPr>
          <w:trHeight w:val="164"/>
          <w:jc w:val="center"/>
        </w:trPr>
        <w:tc>
          <w:tcPr>
            <w:tcW w:w="8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36A4BF" w14:textId="77777777" w:rsidR="006A570F" w:rsidRDefault="006A570F" w:rsidP="006A57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（2）调整实施审计程序的</w:t>
            </w:r>
            <w:r>
              <w:rPr>
                <w:rFonts w:cs="Calibri" w:hint="eastAsia"/>
                <w:b/>
                <w:bCs/>
                <w:color w:val="FF0000"/>
                <w:sz w:val="21"/>
                <w:szCs w:val="21"/>
              </w:rPr>
              <w:t>时间</w:t>
            </w:r>
            <w:r>
              <w:rPr>
                <w:rFonts w:cs="Calibri" w:hint="eastAsia"/>
                <w:color w:val="333333"/>
                <w:sz w:val="21"/>
                <w:szCs w:val="21"/>
              </w:rPr>
              <w:t>，使其超出被审计单位的预期</w:t>
            </w:r>
          </w:p>
        </w:tc>
      </w:tr>
      <w:tr w:rsidR="006A570F" w14:paraId="0AC48E2C" w14:textId="77777777" w:rsidTr="006A570F">
        <w:trPr>
          <w:trHeight w:val="295"/>
          <w:jc w:val="center"/>
        </w:trPr>
        <w:tc>
          <w:tcPr>
            <w:tcW w:w="8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1124FA" w14:textId="77777777" w:rsidR="006A570F" w:rsidRDefault="006A570F" w:rsidP="006A57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（3）采取不同的审计抽样方法，使当期抽取的测试</w:t>
            </w:r>
            <w:r>
              <w:rPr>
                <w:rFonts w:cs="Calibri" w:hint="eastAsia"/>
                <w:b/>
                <w:bCs/>
                <w:color w:val="FF0000"/>
                <w:sz w:val="21"/>
                <w:szCs w:val="21"/>
              </w:rPr>
              <w:t>样本</w:t>
            </w:r>
            <w:r>
              <w:rPr>
                <w:rFonts w:cs="Calibri" w:hint="eastAsia"/>
                <w:color w:val="333333"/>
                <w:sz w:val="21"/>
                <w:szCs w:val="21"/>
              </w:rPr>
              <w:t>与以前有所不同</w:t>
            </w:r>
          </w:p>
        </w:tc>
      </w:tr>
      <w:tr w:rsidR="006A570F" w14:paraId="53D361DD" w14:textId="77777777" w:rsidTr="006A570F">
        <w:trPr>
          <w:trHeight w:val="295"/>
          <w:jc w:val="center"/>
        </w:trPr>
        <w:tc>
          <w:tcPr>
            <w:tcW w:w="8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EF17F" w14:textId="77777777" w:rsidR="006A570F" w:rsidRDefault="006A570F" w:rsidP="006A570F">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（4）选取不同的</w:t>
            </w:r>
            <w:r>
              <w:rPr>
                <w:rFonts w:cs="Calibri" w:hint="eastAsia"/>
                <w:b/>
                <w:bCs/>
                <w:color w:val="FF0000"/>
                <w:sz w:val="21"/>
                <w:szCs w:val="21"/>
              </w:rPr>
              <w:t>地点</w:t>
            </w:r>
            <w:r>
              <w:rPr>
                <w:rFonts w:cs="Calibri" w:hint="eastAsia"/>
                <w:color w:val="333333"/>
                <w:sz w:val="21"/>
                <w:szCs w:val="21"/>
              </w:rPr>
              <w:t>实施审计程序，或预先不告知被审计单位所选定的测试地点</w:t>
            </w:r>
          </w:p>
        </w:tc>
      </w:tr>
    </w:tbl>
    <w:p w14:paraId="6F5E351F"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2.对注册会计师的要求</w:t>
      </w:r>
    </w:p>
    <w:p w14:paraId="0C28DE4D" w14:textId="77777777" w:rsidR="006A570F" w:rsidRDefault="006A570F" w:rsidP="006A570F">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（1）事先与被审计单位高层管理人员沟通，要求实施不可预见性程序，但</w:t>
      </w:r>
      <w:r>
        <w:rPr>
          <w:rFonts w:cs="Calibri" w:hint="eastAsia"/>
          <w:b/>
          <w:bCs/>
          <w:color w:val="FF0000"/>
          <w:sz w:val="21"/>
          <w:szCs w:val="21"/>
        </w:rPr>
        <w:t>不告知</w:t>
      </w:r>
      <w:r>
        <w:rPr>
          <w:rFonts w:cs="Calibri" w:hint="eastAsia"/>
          <w:color w:val="3F3F3F"/>
          <w:sz w:val="21"/>
          <w:szCs w:val="21"/>
        </w:rPr>
        <w:t>其</w:t>
      </w:r>
      <w:r>
        <w:rPr>
          <w:rFonts w:cs="Calibri" w:hint="eastAsia"/>
          <w:b/>
          <w:bCs/>
          <w:color w:val="FF0000"/>
          <w:sz w:val="21"/>
          <w:szCs w:val="21"/>
        </w:rPr>
        <w:t>具体内容</w:t>
      </w:r>
      <w:r>
        <w:rPr>
          <w:rFonts w:cs="Calibri" w:hint="eastAsia"/>
          <w:color w:val="3F3F3F"/>
          <w:sz w:val="21"/>
          <w:szCs w:val="21"/>
        </w:rPr>
        <w:t>。</w:t>
      </w:r>
    </w:p>
    <w:p w14:paraId="16E4E327" w14:textId="77777777" w:rsidR="006A570F" w:rsidRDefault="006A570F" w:rsidP="006A570F">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（2）注册会计师</w:t>
      </w:r>
      <w:r>
        <w:rPr>
          <w:rFonts w:cs="Calibri" w:hint="eastAsia"/>
          <w:b/>
          <w:bCs/>
          <w:color w:val="FF0000"/>
          <w:sz w:val="21"/>
          <w:szCs w:val="21"/>
        </w:rPr>
        <w:t>可以</w:t>
      </w:r>
      <w:r>
        <w:rPr>
          <w:rFonts w:cs="Calibri" w:hint="eastAsia"/>
          <w:color w:val="3F3F3F"/>
          <w:sz w:val="21"/>
          <w:szCs w:val="21"/>
        </w:rPr>
        <w:t>在</w:t>
      </w:r>
      <w:r>
        <w:rPr>
          <w:rFonts w:cs="Calibri" w:hint="eastAsia"/>
          <w:b/>
          <w:bCs/>
          <w:color w:val="FF0000"/>
          <w:sz w:val="21"/>
          <w:szCs w:val="21"/>
        </w:rPr>
        <w:t>签订审计业务约定书</w:t>
      </w:r>
      <w:r>
        <w:rPr>
          <w:rFonts w:cs="Calibri" w:hint="eastAsia"/>
          <w:color w:val="3F3F3F"/>
          <w:sz w:val="21"/>
          <w:szCs w:val="21"/>
        </w:rPr>
        <w:t>时明确提出这一要求。</w:t>
      </w:r>
    </w:p>
    <w:p w14:paraId="65EB04F7" w14:textId="77777777" w:rsidR="006A570F" w:rsidRDefault="006A570F" w:rsidP="006A570F">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042A619C"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增加不可预见性的</w:t>
      </w:r>
      <w:r>
        <w:rPr>
          <w:rFonts w:cs="Calibri" w:hint="eastAsia"/>
          <w:b/>
          <w:bCs/>
          <w:color w:val="FF0000"/>
          <w:sz w:val="21"/>
          <w:szCs w:val="21"/>
        </w:rPr>
        <w:t>四点基本思路</w:t>
      </w:r>
      <w:r>
        <w:rPr>
          <w:rFonts w:cs="Calibri" w:hint="eastAsia"/>
          <w:color w:val="3F3F3F"/>
          <w:sz w:val="21"/>
          <w:szCs w:val="21"/>
        </w:rPr>
        <w:t>是解决此类问题的</w:t>
      </w:r>
      <w:r>
        <w:rPr>
          <w:rFonts w:cs="Calibri" w:hint="eastAsia"/>
          <w:b/>
          <w:bCs/>
          <w:color w:val="FF0000"/>
          <w:sz w:val="21"/>
          <w:szCs w:val="21"/>
        </w:rPr>
        <w:t>总纲</w:t>
      </w:r>
      <w:r>
        <w:rPr>
          <w:rFonts w:cs="Calibri" w:hint="eastAsia"/>
          <w:color w:val="3F3F3F"/>
          <w:sz w:val="21"/>
          <w:szCs w:val="21"/>
        </w:rPr>
        <w:t>，考生需要准确理解；其次，教材中</w:t>
      </w:r>
      <w:r>
        <w:rPr>
          <w:rFonts w:cs="Calibri" w:hint="eastAsia"/>
          <w:b/>
          <w:bCs/>
          <w:color w:val="FF0000"/>
          <w:sz w:val="21"/>
          <w:szCs w:val="21"/>
        </w:rPr>
        <w:t>表8-1</w:t>
      </w:r>
      <w:r>
        <w:rPr>
          <w:rFonts w:cs="Calibri" w:hint="eastAsia"/>
          <w:color w:val="3F3F3F"/>
          <w:sz w:val="21"/>
          <w:szCs w:val="21"/>
        </w:rPr>
        <w:t>总结了不可预见性的</w:t>
      </w:r>
      <w:r>
        <w:rPr>
          <w:rFonts w:cs="Calibri" w:hint="eastAsia"/>
          <w:b/>
          <w:bCs/>
          <w:color w:val="FF0000"/>
          <w:sz w:val="21"/>
          <w:szCs w:val="21"/>
        </w:rPr>
        <w:t>常见情形</w:t>
      </w:r>
      <w:r>
        <w:rPr>
          <w:rFonts w:cs="Calibri" w:hint="eastAsia"/>
          <w:color w:val="3F3F3F"/>
          <w:sz w:val="21"/>
          <w:szCs w:val="21"/>
        </w:rPr>
        <w:t>，考生无需原文背诵，但需要结合上述基本思路理解各类情形。</w:t>
      </w:r>
    </w:p>
    <w:p w14:paraId="68EF4408"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E11E71C"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多项选择题【2012年真题】</w:t>
      </w:r>
    </w:p>
    <w:p w14:paraId="4FDBEED8"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下列做法中，可以提高审计程序的不可预见性的有（　　）。</w:t>
      </w:r>
    </w:p>
    <w:p w14:paraId="4366ADDC"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A.针对销售收入和销售退回延长截止测试期间</w:t>
      </w:r>
    </w:p>
    <w:p w14:paraId="55289F25"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B.向以前没有询问过的被审计单位员工询问</w:t>
      </w:r>
    </w:p>
    <w:p w14:paraId="126E408F"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C.对以前通常不测试的金额较小的项目实施实质性程序</w:t>
      </w:r>
    </w:p>
    <w:p w14:paraId="2AAF79EE"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D.对被审计单位银行存款年末余额实施函证</w:t>
      </w:r>
    </w:p>
    <w:p w14:paraId="28E559FB"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[答案]ABC</w:t>
      </w:r>
    </w:p>
    <w:p w14:paraId="01B9C6B5"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[点评]选项D中，对被审计单位银行存款期末余额实施函证属于应当执行的一般审计程序，不属于不可预见性审计程序。</w:t>
      </w:r>
    </w:p>
    <w:p w14:paraId="4F08BD08" w14:textId="77777777" w:rsidR="006A570F" w:rsidRDefault="006A570F" w:rsidP="006A57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"http://webupload.admin.dongao.com/biz/handout/img/2019/20190502/20190502091225870003.png"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89.5pt">
            <v:imagedata r:id="rId11" r:href="rId12"/>
          </v:shape>
        </w:pict>
      </w:r>
      <w:r>
        <w:rPr>
          <w:rFonts w:ascii="Calibri" w:eastAsia="微软雅黑" w:hAnsi="Calibri" w:cs="Calibri"/>
          <w:color w:val="3F3F3F"/>
          <w:sz w:val="21"/>
          <w:szCs w:val="21"/>
        </w:rPr>
        <w:fldChar w:fldCharType="end"/>
      </w:r>
    </w:p>
    <w:p w14:paraId="1D48CD5A"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多项选择题【2015年真题】</w:t>
      </w:r>
    </w:p>
    <w:p w14:paraId="0CFAC054"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下列有关审计程序不可预见性的说法中，正确的有（　　）。</w:t>
      </w:r>
    </w:p>
    <w:p w14:paraId="0AB106B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A.注册会计师需要与被审计单位管理层事先沟通拟实施具有不可预见性的审计程序的要求，但不能告知其具体内容</w:t>
      </w:r>
    </w:p>
    <w:p w14:paraId="445AACA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B.注册会计师应当在签订审计业务约定书时明确提出拟在审计过程中实施具有不可预见性的审计程序，但不能明确其具体内容</w:t>
      </w:r>
    </w:p>
    <w:p w14:paraId="659DB81D"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C.注册会计师采取不同的抽样方法使当年抽取的测试样本与以前有所不同，可以增加审计程序的不可预见性</w:t>
      </w:r>
    </w:p>
    <w:p w14:paraId="6EAD14A3"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D.注册会计师通过调整实施审计程序的时间，可以增加审计程序的不可预见性</w:t>
      </w:r>
    </w:p>
    <w:p w14:paraId="00FDA4D5"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[答案]ACD</w:t>
      </w:r>
    </w:p>
    <w:p w14:paraId="1DA93D59"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[点评]选项B中，注册会计师可以在签订审计业务约定书时明确提出拟在审计过程中实施具有不可预见性的审计程序的要求，而非“应当”，这是本题最大的</w:t>
      </w:r>
      <w:r>
        <w:rPr>
          <w:rFonts w:cs="Calibri" w:hint="eastAsia"/>
          <w:b/>
          <w:bCs/>
          <w:color w:val="FF0000"/>
          <w:sz w:val="21"/>
          <w:szCs w:val="21"/>
        </w:rPr>
        <w:t>陷阱</w:t>
      </w:r>
      <w:r>
        <w:rPr>
          <w:rFonts w:cs="Calibri" w:hint="eastAsia"/>
          <w:color w:val="3F3F3F"/>
          <w:sz w:val="21"/>
          <w:szCs w:val="21"/>
        </w:rPr>
        <w:t>，也是本题失分率很高的原因所在；同学们要注意把握审计各项要求的“度”，这并非是题目“偏、难、怪”，而是不同的措辞所反应出对注册会计师要求的</w:t>
      </w:r>
      <w:r>
        <w:rPr>
          <w:rFonts w:cs="Calibri" w:hint="eastAsia"/>
          <w:b/>
          <w:bCs/>
          <w:color w:val="FF0000"/>
          <w:sz w:val="21"/>
          <w:szCs w:val="21"/>
        </w:rPr>
        <w:t>力度不同</w:t>
      </w:r>
      <w:r>
        <w:rPr>
          <w:rFonts w:cs="Calibri" w:hint="eastAsia"/>
          <w:color w:val="3F3F3F"/>
          <w:sz w:val="21"/>
          <w:szCs w:val="21"/>
        </w:rPr>
        <w:t>；本题应当带给同学们启发，后续学习和解题时，</w:t>
      </w:r>
      <w:r>
        <w:rPr>
          <w:rFonts w:cs="Calibri" w:hint="eastAsia"/>
          <w:b/>
          <w:bCs/>
          <w:color w:val="FF0000"/>
          <w:sz w:val="21"/>
          <w:szCs w:val="21"/>
        </w:rPr>
        <w:t>留意“应当”与“可以”的关系</w:t>
      </w:r>
      <w:r>
        <w:rPr>
          <w:rFonts w:cs="Calibri" w:hint="eastAsia"/>
          <w:color w:val="3F3F3F"/>
          <w:sz w:val="21"/>
          <w:szCs w:val="21"/>
        </w:rPr>
        <w:t>，这也是历年考题青睐之处。</w:t>
      </w:r>
    </w:p>
    <w:p w14:paraId="00A33B21"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三、总体应对措施对进一步程序总体方案的影响</w:t>
      </w:r>
    </w:p>
    <w:p w14:paraId="11201E05" w14:textId="77777777" w:rsidR="006A570F" w:rsidRDefault="006A570F" w:rsidP="006A57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"http://webupload.admin.dongao.com/biz/handout/img/2019/20190502/20190502091225150004.png"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375.75pt">
            <v:imagedata r:id="rId13" r:href="rId14"/>
          </v:shape>
        </w:pict>
      </w:r>
      <w:r>
        <w:rPr>
          <w:rFonts w:ascii="Calibri" w:eastAsia="微软雅黑" w:hAnsi="Calibri" w:cs="Calibri"/>
          <w:color w:val="3F3F3F"/>
          <w:sz w:val="21"/>
          <w:szCs w:val="21"/>
        </w:rPr>
        <w:fldChar w:fldCharType="end"/>
      </w:r>
    </w:p>
    <w:p w14:paraId="182C6A6B" w14:textId="77777777" w:rsidR="006A570F" w:rsidRDefault="006A570F" w:rsidP="006A57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"http://webupload.admin.dongao.com/biz/handout/img/2019/20190502/20190502091225443005.png"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195pt">
            <v:imagedata r:id="rId15" r:href="rId16"/>
          </v:shape>
        </w:pict>
      </w:r>
      <w:r>
        <w:rPr>
          <w:rFonts w:cs="Calibri"/>
          <w:color w:val="3F3F3F"/>
          <w:sz w:val="21"/>
          <w:szCs w:val="21"/>
        </w:rPr>
        <w:fldChar w:fldCharType="end"/>
      </w:r>
    </w:p>
    <w:p w14:paraId="7AFB41DD"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41AC7EE" w14:textId="77777777" w:rsidR="006A570F" w:rsidRDefault="006A570F" w:rsidP="006A570F">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多项选择题【改编自2013年真题】</w:t>
      </w:r>
    </w:p>
    <w:p w14:paraId="6274A6B0"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下列有关采用总体审计方案的说法中，错误的有（　　）。</w:t>
      </w:r>
    </w:p>
    <w:p w14:paraId="302B94BE"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A.注册会计师可以针对不同认定采用不同的审计方案</w:t>
      </w:r>
    </w:p>
    <w:p w14:paraId="12F5F898"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B.注册会计师评估的舞弊风险为高水平时，总体审计方案更倾向于综合性方案</w:t>
      </w:r>
    </w:p>
    <w:p w14:paraId="014EA235"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C.注册会计师应当采用实质性方案应对特别风险</w:t>
      </w:r>
    </w:p>
    <w:p w14:paraId="40B18D91"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D.注册会计师应当采用与前期审计一致的审计方案，除非评估的重大错报风险发生重大变化</w:t>
      </w:r>
    </w:p>
    <w:p w14:paraId="7690C3FF"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[答案]BCD</w:t>
      </w:r>
    </w:p>
    <w:p w14:paraId="2ABC0E84" w14:textId="77777777" w:rsidR="006A570F" w:rsidRDefault="006A570F" w:rsidP="006A570F">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[点评]选项B中，舞弊风险评估为高水平时，总体审计方案更倾向于实质性方案；选项C中，当针对特别风险的相关控制预期有效时，注册会计师应当实施控制测试，即采用综合性审计方案，选项中“</w:t>
      </w:r>
      <w:r>
        <w:rPr>
          <w:rFonts w:cs="Calibri" w:hint="eastAsia"/>
          <w:b/>
          <w:bCs/>
          <w:color w:val="FF0000"/>
          <w:sz w:val="21"/>
          <w:szCs w:val="21"/>
        </w:rPr>
        <w:t>应当</w:t>
      </w:r>
      <w:r>
        <w:rPr>
          <w:rFonts w:cs="Calibri" w:hint="eastAsia"/>
          <w:color w:val="3F3F3F"/>
          <w:sz w:val="21"/>
          <w:szCs w:val="21"/>
        </w:rPr>
        <w:t>”的表述过于绝对化；选项D中，注册会计师应当通过实施风险评估程序了解被审计单位及其环境，以识别和评估重大错报风险，从而制定总体审计方案，此项考查第七章的知识点，风险评估程序是</w:t>
      </w:r>
      <w:r>
        <w:rPr>
          <w:rFonts w:cs="Calibri" w:hint="eastAsia"/>
          <w:b/>
          <w:bCs/>
          <w:color w:val="FF0000"/>
          <w:sz w:val="21"/>
          <w:szCs w:val="21"/>
        </w:rPr>
        <w:t>必要程序</w:t>
      </w:r>
      <w:r>
        <w:rPr>
          <w:rFonts w:cs="Calibri" w:hint="eastAsia"/>
          <w:color w:val="3F3F3F"/>
          <w:sz w:val="21"/>
          <w:szCs w:val="21"/>
        </w:rPr>
        <w:t>，这是</w:t>
      </w:r>
      <w:r>
        <w:rPr>
          <w:rFonts w:cs="Calibri" w:hint="eastAsia"/>
          <w:b/>
          <w:bCs/>
          <w:color w:val="FF0000"/>
          <w:sz w:val="21"/>
          <w:szCs w:val="21"/>
        </w:rPr>
        <w:t>易考易错点</w:t>
      </w:r>
      <w:r>
        <w:rPr>
          <w:rFonts w:cs="Calibri" w:hint="eastAsia"/>
          <w:color w:val="3F3F3F"/>
          <w:sz w:val="21"/>
          <w:szCs w:val="21"/>
        </w:rPr>
        <w:t>。</w:t>
      </w:r>
    </w:p>
    <w:p w14:paraId="0B85A19E" w14:textId="77777777" w:rsidR="006A570F" w:rsidRDefault="006A570F" w:rsidP="006A570F">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095DEB3" w14:textId="77777777" w:rsidR="006A570F" w:rsidRDefault="006A570F" w:rsidP="006A570F">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"http://webupload.admin.dongao.com/biz/handout/img/2019/20190502/20190502091225675006.png"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340.5pt">
            <v:imagedata r:id="rId17" r:href="rId18"/>
          </v:shape>
        </w:pict>
      </w:r>
      <w:r>
        <w:rPr>
          <w:rFonts w:ascii="Calibri" w:eastAsia="微软雅黑" w:hAnsi="Calibri" w:cs="Calibri"/>
          <w:color w:val="3F3F3F"/>
          <w:sz w:val="21"/>
          <w:szCs w:val="21"/>
        </w:rPr>
        <w:fldChar w:fldCharType="end"/>
      </w:r>
    </w:p>
    <w:p w14:paraId="308D4AA0" w14:textId="77777777" w:rsidR="006A570F" w:rsidRDefault="006A570F" w:rsidP="006A570F">
      <w:pPr>
        <w:shd w:val="clear" w:color="auto" w:fill="FFFFFF"/>
        <w:rPr>
          <w:rFonts w:ascii="微软雅黑" w:eastAsia="微软雅黑" w:hAnsi="微软雅黑" w:cs="宋体"/>
          <w:color w:val="3F3F3F"/>
          <w:szCs w:val="21"/>
        </w:rPr>
      </w:pPr>
    </w:p>
    <w:p w14:paraId="3774AE8C" w14:textId="77777777" w:rsidR="00271D8C" w:rsidRPr="006A570F" w:rsidRDefault="00271D8C" w:rsidP="006A570F">
      <w:pPr>
        <w:rPr>
          <w:rFonts w:hint="eastAsia"/>
        </w:rPr>
      </w:pPr>
    </w:p>
    <w:sectPr w:rsidR="00271D8C" w:rsidRPr="006A570F" w:rsidSect="001F62DD">
      <w:headerReference w:type="default" r:id="rId19"/>
      <w:footerReference w:type="default" r:id="rId2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2CECE" w14:textId="77777777" w:rsidR="00D53738" w:rsidRDefault="00D53738" w:rsidP="00CD53C5">
      <w:r>
        <w:separator/>
      </w:r>
    </w:p>
  </w:endnote>
  <w:endnote w:type="continuationSeparator" w:id="0">
    <w:p w14:paraId="7166C47B" w14:textId="77777777" w:rsidR="00D53738" w:rsidRDefault="00D5373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46EBA25D" w14:textId="77777777" w:rsidTr="007B0BFD">
      <w:trPr>
        <w:trHeight w:val="274"/>
      </w:trPr>
      <w:tc>
        <w:tcPr>
          <w:tcW w:w="2050" w:type="dxa"/>
          <w:shd w:val="clear" w:color="auto" w:fill="auto"/>
          <w:vAlign w:val="center"/>
        </w:tcPr>
        <w:p w14:paraId="6C75090F"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1" type="#_x0000_t75" style="width:90.75pt;height:26.25pt;visibility:visible">
                <v:imagedata r:id="rId1" o:title=""/>
              </v:shape>
            </w:pict>
          </w:r>
        </w:p>
      </w:tc>
      <w:tc>
        <w:tcPr>
          <w:tcW w:w="3742" w:type="dxa"/>
          <w:shd w:val="clear" w:color="auto" w:fill="auto"/>
          <w:vAlign w:val="center"/>
        </w:tcPr>
        <w:p w14:paraId="60E9824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936D08D"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8C0AE6A"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90335" w14:textId="77777777" w:rsidR="00D53738" w:rsidRDefault="00D53738" w:rsidP="00CD53C5">
      <w:r>
        <w:separator/>
      </w:r>
    </w:p>
  </w:footnote>
  <w:footnote w:type="continuationSeparator" w:id="0">
    <w:p w14:paraId="61AFBD59" w14:textId="77777777" w:rsidR="00D53738" w:rsidRDefault="00D5373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20DFE975" w14:textId="77777777" w:rsidTr="007B0BFD">
      <w:trPr>
        <w:trHeight w:val="501"/>
      </w:trPr>
      <w:tc>
        <w:tcPr>
          <w:tcW w:w="4272" w:type="dxa"/>
          <w:shd w:val="clear" w:color="auto" w:fill="auto"/>
          <w:vAlign w:val="center"/>
        </w:tcPr>
        <w:p w14:paraId="42690632" w14:textId="77777777" w:rsidR="001545C6" w:rsidRPr="001F62DD" w:rsidRDefault="006A570F"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21F9690" w14:textId="77777777" w:rsidR="001545C6" w:rsidRPr="004D61E7" w:rsidRDefault="006A570F"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第八章</w:t>
          </w:r>
          <w:r>
            <w:rPr>
              <w:rFonts w:ascii="微软雅黑" w:eastAsia="微软雅黑" w:hAnsi="微软雅黑"/>
              <w:sz w:val="24"/>
              <w:szCs w:val="24"/>
            </w:rPr>
            <w:t>+风险应对</w:t>
          </w:r>
        </w:p>
      </w:tc>
    </w:tr>
  </w:tbl>
  <w:p w14:paraId="490BEA7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A570F"/>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0139F"/>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53738"/>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EB4968"/>
  <w15:docId w15:val="{452BA08E-7D93-43D1-A48D-6917B6FE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522481457">
      <w:bodyDiv w:val="1"/>
      <w:marLeft w:val="0"/>
      <w:marRight w:val="0"/>
      <w:marTop w:val="0"/>
      <w:marBottom w:val="0"/>
      <w:divBdr>
        <w:top w:val="none" w:sz="0" w:space="0" w:color="auto"/>
        <w:left w:val="none" w:sz="0" w:space="0" w:color="auto"/>
        <w:bottom w:val="none" w:sz="0" w:space="0" w:color="auto"/>
        <w:right w:val="none" w:sz="0" w:space="0" w:color="auto"/>
      </w:divBdr>
      <w:divsChild>
        <w:div w:id="2092970415">
          <w:marLeft w:val="0"/>
          <w:marRight w:val="0"/>
          <w:marTop w:val="0"/>
          <w:marBottom w:val="0"/>
          <w:divBdr>
            <w:top w:val="none" w:sz="0" w:space="0" w:color="auto"/>
            <w:left w:val="none" w:sz="0" w:space="0" w:color="auto"/>
            <w:bottom w:val="none" w:sz="0" w:space="0" w:color="auto"/>
            <w:right w:val="none" w:sz="0" w:space="0" w:color="auto"/>
          </w:divBdr>
          <w:divsChild>
            <w:div w:id="73627920">
              <w:marLeft w:val="0"/>
              <w:marRight w:val="0"/>
              <w:marTop w:val="0"/>
              <w:marBottom w:val="0"/>
              <w:divBdr>
                <w:top w:val="none" w:sz="0" w:space="0" w:color="auto"/>
                <w:left w:val="none" w:sz="0" w:space="0" w:color="auto"/>
                <w:bottom w:val="none" w:sz="0" w:space="0" w:color="auto"/>
                <w:right w:val="none" w:sz="0" w:space="0" w:color="auto"/>
              </w:divBdr>
            </w:div>
            <w:div w:id="277761622">
              <w:marLeft w:val="0"/>
              <w:marRight w:val="0"/>
              <w:marTop w:val="0"/>
              <w:marBottom w:val="0"/>
              <w:divBdr>
                <w:top w:val="none" w:sz="0" w:space="0" w:color="auto"/>
                <w:left w:val="none" w:sz="0" w:space="0" w:color="auto"/>
                <w:bottom w:val="none" w:sz="0" w:space="0" w:color="auto"/>
                <w:right w:val="none" w:sz="0" w:space="0" w:color="auto"/>
              </w:divBdr>
            </w:div>
            <w:div w:id="389884890">
              <w:marLeft w:val="0"/>
              <w:marRight w:val="0"/>
              <w:marTop w:val="0"/>
              <w:marBottom w:val="0"/>
              <w:divBdr>
                <w:top w:val="none" w:sz="0" w:space="0" w:color="auto"/>
                <w:left w:val="none" w:sz="0" w:space="0" w:color="auto"/>
                <w:bottom w:val="none" w:sz="0" w:space="0" w:color="auto"/>
                <w:right w:val="none" w:sz="0" w:space="0" w:color="auto"/>
              </w:divBdr>
            </w:div>
            <w:div w:id="414591962">
              <w:marLeft w:val="0"/>
              <w:marRight w:val="0"/>
              <w:marTop w:val="0"/>
              <w:marBottom w:val="0"/>
              <w:divBdr>
                <w:top w:val="none" w:sz="0" w:space="0" w:color="auto"/>
                <w:left w:val="none" w:sz="0" w:space="0" w:color="auto"/>
                <w:bottom w:val="none" w:sz="0" w:space="0" w:color="auto"/>
                <w:right w:val="none" w:sz="0" w:space="0" w:color="auto"/>
              </w:divBdr>
            </w:div>
            <w:div w:id="691763909">
              <w:marLeft w:val="0"/>
              <w:marRight w:val="0"/>
              <w:marTop w:val="0"/>
              <w:marBottom w:val="0"/>
              <w:divBdr>
                <w:top w:val="none" w:sz="0" w:space="0" w:color="auto"/>
                <w:left w:val="none" w:sz="0" w:space="0" w:color="auto"/>
                <w:bottom w:val="none" w:sz="0" w:space="0" w:color="auto"/>
                <w:right w:val="none" w:sz="0" w:space="0" w:color="auto"/>
              </w:divBdr>
            </w:div>
            <w:div w:id="848372400">
              <w:marLeft w:val="0"/>
              <w:marRight w:val="0"/>
              <w:marTop w:val="0"/>
              <w:marBottom w:val="0"/>
              <w:divBdr>
                <w:top w:val="none" w:sz="0" w:space="0" w:color="auto"/>
                <w:left w:val="none" w:sz="0" w:space="0" w:color="auto"/>
                <w:bottom w:val="none" w:sz="0" w:space="0" w:color="auto"/>
                <w:right w:val="none" w:sz="0" w:space="0" w:color="auto"/>
              </w:divBdr>
            </w:div>
            <w:div w:id="870187630">
              <w:marLeft w:val="0"/>
              <w:marRight w:val="0"/>
              <w:marTop w:val="0"/>
              <w:marBottom w:val="0"/>
              <w:divBdr>
                <w:top w:val="none" w:sz="0" w:space="0" w:color="auto"/>
                <w:left w:val="none" w:sz="0" w:space="0" w:color="auto"/>
                <w:bottom w:val="none" w:sz="0" w:space="0" w:color="auto"/>
                <w:right w:val="none" w:sz="0" w:space="0" w:color="auto"/>
              </w:divBdr>
            </w:div>
            <w:div w:id="1079642115">
              <w:marLeft w:val="0"/>
              <w:marRight w:val="0"/>
              <w:marTop w:val="0"/>
              <w:marBottom w:val="0"/>
              <w:divBdr>
                <w:top w:val="none" w:sz="0" w:space="0" w:color="auto"/>
                <w:left w:val="none" w:sz="0" w:space="0" w:color="auto"/>
                <w:bottom w:val="none" w:sz="0" w:space="0" w:color="auto"/>
                <w:right w:val="none" w:sz="0" w:space="0" w:color="auto"/>
              </w:divBdr>
            </w:div>
            <w:div w:id="1189683903">
              <w:marLeft w:val="0"/>
              <w:marRight w:val="0"/>
              <w:marTop w:val="0"/>
              <w:marBottom w:val="0"/>
              <w:divBdr>
                <w:top w:val="none" w:sz="0" w:space="0" w:color="auto"/>
                <w:left w:val="none" w:sz="0" w:space="0" w:color="auto"/>
                <w:bottom w:val="none" w:sz="0" w:space="0" w:color="auto"/>
                <w:right w:val="none" w:sz="0" w:space="0" w:color="auto"/>
              </w:divBdr>
            </w:div>
            <w:div w:id="1200244029">
              <w:marLeft w:val="0"/>
              <w:marRight w:val="0"/>
              <w:marTop w:val="0"/>
              <w:marBottom w:val="0"/>
              <w:divBdr>
                <w:top w:val="none" w:sz="0" w:space="0" w:color="auto"/>
                <w:left w:val="none" w:sz="0" w:space="0" w:color="auto"/>
                <w:bottom w:val="none" w:sz="0" w:space="0" w:color="auto"/>
                <w:right w:val="none" w:sz="0" w:space="0" w:color="auto"/>
              </w:divBdr>
            </w:div>
            <w:div w:id="1365329525">
              <w:marLeft w:val="0"/>
              <w:marRight w:val="0"/>
              <w:marTop w:val="0"/>
              <w:marBottom w:val="0"/>
              <w:divBdr>
                <w:top w:val="none" w:sz="0" w:space="0" w:color="auto"/>
                <w:left w:val="none" w:sz="0" w:space="0" w:color="auto"/>
                <w:bottom w:val="none" w:sz="0" w:space="0" w:color="auto"/>
                <w:right w:val="none" w:sz="0" w:space="0" w:color="auto"/>
              </w:divBdr>
            </w:div>
            <w:div w:id="1579559243">
              <w:marLeft w:val="0"/>
              <w:marRight w:val="0"/>
              <w:marTop w:val="0"/>
              <w:marBottom w:val="0"/>
              <w:divBdr>
                <w:top w:val="none" w:sz="0" w:space="0" w:color="auto"/>
                <w:left w:val="none" w:sz="0" w:space="0" w:color="auto"/>
                <w:bottom w:val="none" w:sz="0" w:space="0" w:color="auto"/>
                <w:right w:val="none" w:sz="0" w:space="0" w:color="auto"/>
              </w:divBdr>
            </w:div>
            <w:div w:id="1726293134">
              <w:marLeft w:val="0"/>
              <w:marRight w:val="0"/>
              <w:marTop w:val="0"/>
              <w:marBottom w:val="0"/>
              <w:divBdr>
                <w:top w:val="none" w:sz="0" w:space="0" w:color="auto"/>
                <w:left w:val="none" w:sz="0" w:space="0" w:color="auto"/>
                <w:bottom w:val="none" w:sz="0" w:space="0" w:color="auto"/>
                <w:right w:val="none" w:sz="0" w:space="0" w:color="auto"/>
              </w:divBdr>
            </w:div>
            <w:div w:id="19672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02/20190502091225875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502/20190502091225675006.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webupload.admin.dongao.com/biz/handout/img/2019/20190502/20190502091225870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webupload.admin.dongao.com/biz/handout/img/2019/20190502/20190502091225443005.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502/20190502091225488002.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02/20190502091225150004.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055F2-49D2-4B2D-8553-63551EB9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