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4694E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楷体" w:eastAsia="楷体" w:hAnsi="楷体" w:cs="Calibri" w:hint="eastAsia"/>
          <w:b/>
          <w:bCs/>
          <w:color w:val="3F3F3F"/>
          <w:sz w:val="52"/>
          <w:szCs w:val="52"/>
        </w:rPr>
        <w:t>第三编·第十章·采购与付款循环的审计</w:t>
      </w:r>
    </w:p>
    <w:p w14:paraId="4918AB94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left="420" w:hanging="420"/>
        <w:jc w:val="center"/>
        <w:rPr>
          <w:color w:val="3F3F3F"/>
        </w:rPr>
      </w:pPr>
      <w:r>
        <w:rPr>
          <w:rFonts w:ascii="Symbol" w:hAnsi="Symbol"/>
          <w:color w:val="3F3F3F"/>
          <w:sz w:val="28"/>
          <w:szCs w:val="28"/>
        </w:rPr>
        <w:t></w:t>
      </w:r>
      <w:r>
        <w:rPr>
          <w:rFonts w:ascii="Times New Roman" w:hAnsi="Times New Roman" w:cs="Times New Roman"/>
          <w:color w:val="3F3F3F"/>
          <w:sz w:val="14"/>
          <w:szCs w:val="14"/>
        </w:rPr>
        <w:t xml:space="preserve">          </w:t>
      </w:r>
      <w:r>
        <w:rPr>
          <w:rFonts w:hint="eastAsia"/>
          <w:color w:val="3F3F3F"/>
          <w:sz w:val="28"/>
          <w:szCs w:val="28"/>
        </w:rPr>
        <w:t>考情和方法</w:t>
      </w:r>
    </w:p>
    <w:p w14:paraId="527B293A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left="420" w:hanging="420"/>
        <w:jc w:val="center"/>
        <w:rPr>
          <w:rFonts w:hint="eastAsia"/>
          <w:color w:val="3F3F3F"/>
        </w:rPr>
      </w:pPr>
      <w:r>
        <w:rPr>
          <w:rFonts w:ascii="Symbol" w:hAnsi="Symbol"/>
          <w:color w:val="3F3F3F"/>
          <w:sz w:val="28"/>
          <w:szCs w:val="28"/>
        </w:rPr>
        <w:t></w:t>
      </w:r>
      <w:r>
        <w:rPr>
          <w:rFonts w:ascii="Times New Roman" w:hAnsi="Times New Roman" w:cs="Times New Roman"/>
          <w:color w:val="3F3F3F"/>
          <w:sz w:val="14"/>
          <w:szCs w:val="14"/>
        </w:rPr>
        <w:t xml:space="preserve">          </w:t>
      </w:r>
      <w:r>
        <w:rPr>
          <w:rFonts w:hint="eastAsia"/>
          <w:color w:val="3F3F3F"/>
          <w:sz w:val="28"/>
          <w:szCs w:val="28"/>
        </w:rPr>
        <w:t>考点和典题</w:t>
      </w:r>
    </w:p>
    <w:p w14:paraId="59E97574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left="420" w:hanging="420"/>
        <w:jc w:val="center"/>
        <w:rPr>
          <w:rFonts w:hint="eastAsia"/>
          <w:color w:val="3F3F3F"/>
        </w:rPr>
      </w:pPr>
      <w:r>
        <w:rPr>
          <w:rFonts w:ascii="Symbol" w:hAnsi="Symbol"/>
          <w:color w:val="3F3F3F"/>
          <w:sz w:val="28"/>
          <w:szCs w:val="28"/>
        </w:rPr>
        <w:t></w:t>
      </w:r>
      <w:r>
        <w:rPr>
          <w:rFonts w:ascii="Times New Roman" w:hAnsi="Times New Roman" w:cs="Times New Roman"/>
          <w:color w:val="3F3F3F"/>
          <w:sz w:val="14"/>
          <w:szCs w:val="14"/>
        </w:rPr>
        <w:t xml:space="preserve">          </w:t>
      </w:r>
      <w:r>
        <w:rPr>
          <w:rFonts w:hint="eastAsia"/>
          <w:color w:val="3F3F3F"/>
          <w:sz w:val="28"/>
          <w:szCs w:val="28"/>
        </w:rPr>
        <w:t>脉络和复习</w:t>
      </w:r>
    </w:p>
    <w:p w14:paraId="6C4BC5BE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 w:hint="eastAsia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考情和方法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6691"/>
      </w:tblGrid>
      <w:tr w:rsidR="00C562E5" w14:paraId="28108C19" w14:textId="77777777" w:rsidTr="00C562E5">
        <w:trPr>
          <w:trHeight w:val="339"/>
          <w:jc w:val="center"/>
        </w:trPr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E0BBA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平均考分</w:t>
            </w:r>
          </w:p>
        </w:tc>
        <w:tc>
          <w:tcPr>
            <w:tcW w:w="66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4A23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2分/卷</w:t>
            </w:r>
          </w:p>
        </w:tc>
      </w:tr>
      <w:tr w:rsidR="00C562E5" w14:paraId="42481633" w14:textId="77777777" w:rsidTr="00C562E5">
        <w:trPr>
          <w:trHeight w:val="272"/>
          <w:jc w:val="center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B6CAE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考题预测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521A3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综合题</w:t>
            </w:r>
          </w:p>
        </w:tc>
      </w:tr>
      <w:tr w:rsidR="00C562E5" w14:paraId="73DBC3C7" w14:textId="77777777" w:rsidTr="00C562E5">
        <w:trPr>
          <w:trHeight w:val="221"/>
          <w:jc w:val="center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86DE7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实务强度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D2CC8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实务性强</w:t>
            </w:r>
          </w:p>
        </w:tc>
      </w:tr>
      <w:tr w:rsidR="00C562E5" w14:paraId="36FE5529" w14:textId="77777777" w:rsidTr="00C562E5">
        <w:trPr>
          <w:trHeight w:val="1890"/>
          <w:jc w:val="center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A24D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复习方法</w:t>
            </w:r>
          </w:p>
        </w:tc>
        <w:tc>
          <w:tcPr>
            <w:tcW w:w="66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94B4D" w14:textId="77777777" w:rsidR="00C562E5" w:rsidRDefault="00C562E5" w:rsidP="00C562E5">
            <w:pPr>
              <w:pStyle w:val="aa"/>
              <w:spacing w:before="0" w:beforeAutospacing="0" w:after="0" w:afterAutospacing="0"/>
              <w:ind w:left="720" w:hanging="36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Arial" w:eastAsia="微软雅黑" w:hAnsi="Arial" w:cs="Arial"/>
                <w:color w:val="333333"/>
                <w:sz w:val="21"/>
                <w:szCs w:val="21"/>
              </w:rPr>
              <w:t>•</w:t>
            </w:r>
            <w:r>
              <w:rPr>
                <w:rFonts w:ascii="Times New Roman" w:eastAsia="微软雅黑" w:hAnsi="Times New Roman" w:cs="Times New Roman"/>
                <w:color w:val="333333"/>
                <w:sz w:val="14"/>
                <w:szCs w:val="14"/>
              </w:rPr>
              <w:t xml:space="preserve">       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本章是构建审计知识体系的必要内容。考生需要注重举一反三，将应付账款的审计原理运用于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各类负债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的审计中</w:t>
            </w:r>
          </w:p>
          <w:p w14:paraId="21DA8EF5" w14:textId="77777777" w:rsidR="00C562E5" w:rsidRDefault="00C562E5" w:rsidP="00C562E5">
            <w:pPr>
              <w:pStyle w:val="aa"/>
              <w:spacing w:before="0" w:beforeAutospacing="0" w:after="0" w:afterAutospacing="0"/>
              <w:ind w:left="720" w:hanging="36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Arial" w:eastAsia="微软雅黑" w:hAnsi="Arial" w:cs="Arial"/>
                <w:color w:val="333333"/>
                <w:sz w:val="21"/>
                <w:szCs w:val="21"/>
              </w:rPr>
              <w:t>•</w:t>
            </w:r>
            <w:r>
              <w:rPr>
                <w:rFonts w:ascii="Times New Roman" w:eastAsia="微软雅黑" w:hAnsi="Times New Roman" w:cs="Times New Roman"/>
                <w:color w:val="333333"/>
                <w:sz w:val="14"/>
                <w:szCs w:val="14"/>
              </w:rPr>
              <w:t xml:space="preserve">       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教材中，本章内容量大、重点不突出，不建议考生首选自行阅读的学习方法，而是跟随课程来寻找重点与考点</w:t>
            </w:r>
          </w:p>
          <w:p w14:paraId="58AB1981" w14:textId="77777777" w:rsidR="00C562E5" w:rsidRDefault="00C562E5" w:rsidP="00C562E5">
            <w:pPr>
              <w:pStyle w:val="aa"/>
              <w:spacing w:before="0" w:beforeAutospacing="0" w:after="0" w:afterAutospacing="0"/>
              <w:ind w:left="720" w:hanging="36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ascii="Arial" w:eastAsia="微软雅黑" w:hAnsi="Arial" w:cs="Arial"/>
                <w:color w:val="333333"/>
                <w:sz w:val="21"/>
                <w:szCs w:val="21"/>
              </w:rPr>
              <w:t>•</w:t>
            </w:r>
            <w:r>
              <w:rPr>
                <w:rFonts w:ascii="Times New Roman" w:eastAsia="微软雅黑" w:hAnsi="Times New Roman" w:cs="Times New Roman"/>
                <w:color w:val="333333"/>
                <w:sz w:val="14"/>
                <w:szCs w:val="14"/>
              </w:rPr>
              <w:t xml:space="preserve">       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本章内容需要与风险评估、风险应对、会计估计的审计、关联方的审计等章节相联系，需要前后链接</w:t>
            </w:r>
          </w:p>
        </w:tc>
      </w:tr>
    </w:tbl>
    <w:p w14:paraId="5615E3EE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考点和典题</w:t>
      </w:r>
    </w:p>
    <w:p w14:paraId="20D5F9BB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第一节　采购与付款循环的特点</w:t>
      </w:r>
    </w:p>
    <w:p w14:paraId="4BDA2D5C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第二节　采购与付款循环的业务活动的相关内部控制</w:t>
      </w:r>
    </w:p>
    <w:p w14:paraId="0C0B05A1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一、制定采购计划</w:t>
      </w:r>
    </w:p>
    <w:p w14:paraId="1DE3B7D9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二、供应商认证及信息维护</w:t>
      </w:r>
    </w:p>
    <w:p w14:paraId="4410C8D0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三、请购商品和劳务</w:t>
      </w:r>
    </w:p>
    <w:p w14:paraId="52F4AA41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四、编制订购单</w:t>
      </w:r>
    </w:p>
    <w:p w14:paraId="0F345F86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五、验收商品</w:t>
      </w:r>
    </w:p>
    <w:p w14:paraId="67415E56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六、储存已验收的商品</w:t>
      </w:r>
    </w:p>
    <w:p w14:paraId="51CCEE18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七、编制付款凭单</w:t>
      </w:r>
    </w:p>
    <w:p w14:paraId="3DD6FB4A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八、确认与记录负债</w:t>
      </w:r>
    </w:p>
    <w:p w14:paraId="7B732749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lastRenderedPageBreak/>
        <w:fldChar w:fldCharType="begin"/>
      </w:r>
      <w:r>
        <w:rPr>
          <w:rFonts w:ascii="Calibri" w:eastAsia="微软雅黑" w:hAnsi="Calibri" w:cs="Calibri"/>
          <w:color w:val="3F3F3F"/>
          <w:sz w:val="21"/>
          <w:szCs w:val="21"/>
        </w:rPr>
        <w:instrText xml:space="preserve"> INCLUDEPICTURE "http://webupload.admin.dongao.com/biz/handout/img/2019/20190508/20190508072801130001.jpg" \* MERGEFORMATINET </w:instrText>
      </w:r>
      <w:r>
        <w:rPr>
          <w:rFonts w:ascii="Calibri" w:eastAsia="微软雅黑" w:hAnsi="Calibri" w:cs="Calibri"/>
          <w:color w:val="3F3F3F"/>
          <w:sz w:val="21"/>
          <w:szCs w:val="21"/>
        </w:rPr>
        <w:fldChar w:fldCharType="separate"/>
      </w:r>
      <w:r>
        <w:rPr>
          <w:rFonts w:ascii="Calibri" w:eastAsia="微软雅黑" w:hAnsi="Calibri" w:cs="Calibri"/>
          <w:color w:val="3F3F3F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41pt">
            <v:imagedata r:id="rId7" r:href="rId8"/>
          </v:shape>
        </w:pict>
      </w:r>
      <w:r>
        <w:rPr>
          <w:rFonts w:ascii="Calibri" w:eastAsia="微软雅黑" w:hAnsi="Calibri" w:cs="Calibri"/>
          <w:color w:val="3F3F3F"/>
          <w:sz w:val="21"/>
          <w:szCs w:val="21"/>
        </w:rPr>
        <w:fldChar w:fldCharType="end"/>
      </w:r>
    </w:p>
    <w:p w14:paraId="0BB720D2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一、制定采购计划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306"/>
        <w:gridCol w:w="2599"/>
      </w:tblGrid>
      <w:tr w:rsidR="00C562E5" w14:paraId="4E9EE507" w14:textId="77777777" w:rsidTr="00C562E5">
        <w:trPr>
          <w:trHeight w:val="299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2D12A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3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EE690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主要单据与会计记录</w:t>
            </w:r>
          </w:p>
        </w:tc>
        <w:tc>
          <w:tcPr>
            <w:tcW w:w="2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005E4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目标和相关认定</w:t>
            </w:r>
          </w:p>
        </w:tc>
      </w:tr>
      <w:tr w:rsidR="00C562E5" w14:paraId="19A502F3" w14:textId="77777777" w:rsidTr="00C562E5">
        <w:trPr>
          <w:trHeight w:val="1253"/>
          <w:jc w:val="center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51848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生产、仓库等部门定期编制采购计划，经部门负责人等适当的管理人员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审批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后提交采购部门</w:t>
            </w:r>
          </w:p>
        </w:tc>
        <w:tc>
          <w:tcPr>
            <w:tcW w:w="3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15AB8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采购计划</w:t>
            </w:r>
          </w:p>
        </w:tc>
        <w:tc>
          <w:tcPr>
            <w:tcW w:w="2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23982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与采购交易的“发生”认定、应付账款的“存在”认定相关</w:t>
            </w:r>
          </w:p>
        </w:tc>
      </w:tr>
    </w:tbl>
    <w:p w14:paraId="6A6EEC22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二、供应商认证及信息维护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2001"/>
        <w:gridCol w:w="1772"/>
      </w:tblGrid>
      <w:tr w:rsidR="00C562E5" w14:paraId="4944141B" w14:textId="77777777" w:rsidTr="00C562E5">
        <w:trPr>
          <w:trHeight w:val="510"/>
          <w:jc w:val="center"/>
        </w:trPr>
        <w:tc>
          <w:tcPr>
            <w:tcW w:w="4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5B59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4F2A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640E7185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5EEA2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5F40853B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730C8DAA" w14:textId="77777777" w:rsidTr="00C562E5">
        <w:trPr>
          <w:trHeight w:val="1299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42A52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企业对合作的供应商事先进行资质等审核，将通过审核的供应商信息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录入系统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，形成完整的供应商清单，并及时对其信息变更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进行更新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。采购部门只能向通过审核的供应商进行采购</w:t>
            </w:r>
          </w:p>
        </w:tc>
        <w:tc>
          <w:tcPr>
            <w:tcW w:w="20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75D0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供应商清单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：企业对供应商信息进行手工或系统维护</w:t>
            </w:r>
          </w:p>
        </w:tc>
        <w:tc>
          <w:tcPr>
            <w:tcW w:w="177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C873A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与采购交易的“发生”认定、应付账款的“存在”认定相关</w:t>
            </w:r>
          </w:p>
        </w:tc>
      </w:tr>
      <w:tr w:rsidR="00C562E5" w14:paraId="4E6EE67B" w14:textId="77777777" w:rsidTr="00C562E5">
        <w:trPr>
          <w:trHeight w:val="60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3AB8B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询价与确定供应商应当职责分离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F8C5D7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ABAD8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0F8CD9D3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三、请购商品和劳务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2001"/>
        <w:gridCol w:w="1772"/>
      </w:tblGrid>
      <w:tr w:rsidR="00C562E5" w14:paraId="020FE222" w14:textId="77777777" w:rsidTr="00C562E5">
        <w:trPr>
          <w:trHeight w:val="491"/>
          <w:jc w:val="center"/>
        </w:trPr>
        <w:tc>
          <w:tcPr>
            <w:tcW w:w="4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8D1EAA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E1D47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5515E523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46055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76F076F1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5A2A8E91" w14:textId="77777777" w:rsidTr="00C562E5">
        <w:trPr>
          <w:trHeight w:val="840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D917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生产部门、仓库部门和其他部门对所需要购买的商品或劳务编制请购单，请购单可由手工或计算机编制</w:t>
            </w:r>
          </w:p>
        </w:tc>
        <w:tc>
          <w:tcPr>
            <w:tcW w:w="20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2F1DAE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请购单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：是采购交易轨迹的起点</w:t>
            </w:r>
          </w:p>
        </w:tc>
        <w:tc>
          <w:tcPr>
            <w:tcW w:w="177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249EA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与采购交易的“发生”认定、应付账款的“存在”认定相关</w:t>
            </w:r>
          </w:p>
        </w:tc>
      </w:tr>
      <w:tr w:rsidR="00C562E5" w14:paraId="307F2B5A" w14:textId="77777777" w:rsidTr="00C562E5">
        <w:trPr>
          <w:trHeight w:val="613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C348E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企业可以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分别部门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设置请购单的连续编号，每张请购单必须经过主管人员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签字批准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90A4C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CCFDD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19AEDBE9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四、编制订购单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2001"/>
        <w:gridCol w:w="1772"/>
      </w:tblGrid>
      <w:tr w:rsidR="00C562E5" w14:paraId="23DC9DCD" w14:textId="77777777" w:rsidTr="00C562E5">
        <w:trPr>
          <w:trHeight w:val="640"/>
          <w:jc w:val="center"/>
        </w:trPr>
        <w:tc>
          <w:tcPr>
            <w:tcW w:w="4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3746AB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F03D6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6A62E9ED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52A5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14267ED6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523622ED" w14:textId="77777777" w:rsidTr="00C562E5">
        <w:trPr>
          <w:trHeight w:val="266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E94F1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采购部门对经过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恰当批准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的请购单发出订购单</w:t>
            </w:r>
          </w:p>
        </w:tc>
        <w:tc>
          <w:tcPr>
            <w:tcW w:w="20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4C8BB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订购单</w:t>
            </w:r>
          </w:p>
        </w:tc>
        <w:tc>
          <w:tcPr>
            <w:tcW w:w="177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565FA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与采购交易的“完整性”和“发生”、应付账款的“完整性”和“存在”认定有关</w:t>
            </w:r>
          </w:p>
        </w:tc>
      </w:tr>
      <w:tr w:rsidR="00C562E5" w14:paraId="59AC4782" w14:textId="77777777" w:rsidTr="00C562E5">
        <w:trPr>
          <w:trHeight w:val="1093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6C8A6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订购单应预先顺序编号并经过被授权的采购人员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签名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，其正联应送交供应商，副联则送至企业内部的验收部门、应付凭单部门和编制请购单的部门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C4706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D65EF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  <w:tr w:rsidR="00C562E5" w14:paraId="722A3C39" w14:textId="77777777" w:rsidTr="00C562E5">
        <w:trPr>
          <w:trHeight w:val="530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01D38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独立检查订购单的处理，以确定是否确实收到商品并正确入账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ADC2C3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158F60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59555B8E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五、验收商品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4"/>
        <w:gridCol w:w="1892"/>
        <w:gridCol w:w="1539"/>
      </w:tblGrid>
      <w:tr w:rsidR="00C562E5" w14:paraId="263FA17C" w14:textId="77777777" w:rsidTr="00C562E5">
        <w:trPr>
          <w:trHeight w:val="585"/>
          <w:jc w:val="center"/>
        </w:trPr>
        <w:tc>
          <w:tcPr>
            <w:tcW w:w="5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63260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753E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098ACC9E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87B01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07F3924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4DCC3600" w14:textId="77777777" w:rsidTr="00C562E5">
        <w:trPr>
          <w:trHeight w:val="557"/>
          <w:jc w:val="center"/>
        </w:trPr>
        <w:tc>
          <w:tcPr>
            <w:tcW w:w="5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2D6E7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采购与验收应当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职责分离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，验收部门应比较所收商品与订购单上的要求是否相符，并检查商品有无损坏</w:t>
            </w:r>
          </w:p>
        </w:tc>
        <w:tc>
          <w:tcPr>
            <w:tcW w:w="189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B595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验收单</w:t>
            </w:r>
          </w:p>
        </w:tc>
        <w:tc>
          <w:tcPr>
            <w:tcW w:w="153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F87DF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与存货的“存在”和“完整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lastRenderedPageBreak/>
              <w:t>性”、应付账款的“存在”和“完整性”相关</w:t>
            </w:r>
          </w:p>
        </w:tc>
      </w:tr>
      <w:tr w:rsidR="00C562E5" w14:paraId="41BFF772" w14:textId="77777777" w:rsidTr="00C562E5">
        <w:trPr>
          <w:trHeight w:val="907"/>
          <w:jc w:val="center"/>
        </w:trPr>
        <w:tc>
          <w:tcPr>
            <w:tcW w:w="5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407C7C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lastRenderedPageBreak/>
              <w:t>验收部门编制一式多联、预先按顺序编号的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验收单</w:t>
            </w:r>
            <w:r>
              <w:rPr>
                <w:rFonts w:cs="Calibri" w:hint="eastAsia"/>
                <w:color w:val="333333"/>
                <w:sz w:val="21"/>
                <w:szCs w:val="21"/>
              </w:rPr>
              <w:t>，其中的一联验收单送交应付凭单部门。定期独立检查验收单的顺序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F47CC1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304E8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  <w:tr w:rsidR="00C562E5" w14:paraId="1924F384" w14:textId="77777777" w:rsidTr="00C562E5">
        <w:trPr>
          <w:trHeight w:val="820"/>
          <w:jc w:val="center"/>
        </w:trPr>
        <w:tc>
          <w:tcPr>
            <w:tcW w:w="5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4AEF8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验收人员将商品送交仓库或其他请购部门时，应取得经过签字的收据，或要求其在验收单的副联上</w:t>
            </w: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签收确认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96924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834618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399EDEE7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六、储存已验收的商品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2001"/>
        <w:gridCol w:w="1772"/>
      </w:tblGrid>
      <w:tr w:rsidR="00C562E5" w14:paraId="28409FAF" w14:textId="77777777" w:rsidTr="00C562E5">
        <w:trPr>
          <w:trHeight w:val="554"/>
          <w:jc w:val="center"/>
        </w:trPr>
        <w:tc>
          <w:tcPr>
            <w:tcW w:w="47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A167E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D99B2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4C1E04CD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17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AFCB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58AE0D49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74D79249" w14:textId="77777777" w:rsidTr="00C562E5">
        <w:trPr>
          <w:trHeight w:val="478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AC135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已验收商品的保管与采购的其他职责应当相分离</w:t>
            </w:r>
          </w:p>
        </w:tc>
        <w:tc>
          <w:tcPr>
            <w:tcW w:w="200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2F6C8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FF0000"/>
                <w:sz w:val="21"/>
                <w:szCs w:val="21"/>
              </w:rPr>
              <w:t>入库单</w:t>
            </w:r>
          </w:p>
        </w:tc>
        <w:tc>
          <w:tcPr>
            <w:tcW w:w="177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2190A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与存货的“存在”认定有关</w:t>
            </w:r>
          </w:p>
        </w:tc>
      </w:tr>
      <w:tr w:rsidR="00C562E5" w14:paraId="672D0AF4" w14:textId="77777777" w:rsidTr="00C562E5">
        <w:trPr>
          <w:trHeight w:val="544"/>
          <w:jc w:val="center"/>
        </w:trPr>
        <w:tc>
          <w:tcPr>
            <w:tcW w:w="47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3EBE4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存放商品的仓储区应相对独立，限制无关人员接近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4D368F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2F6A6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460A2BE0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七、编制付款凭单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1897"/>
        <w:gridCol w:w="2126"/>
      </w:tblGrid>
      <w:tr w:rsidR="00C562E5" w14:paraId="0E16265F" w14:textId="77777777" w:rsidTr="00C562E5">
        <w:trPr>
          <w:trHeight w:val="527"/>
          <w:jc w:val="center"/>
        </w:trPr>
        <w:tc>
          <w:tcPr>
            <w:tcW w:w="4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2062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378A2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0167D6F7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E7BCE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4BD0388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55D9FA42" w14:textId="77777777" w:rsidTr="00C562E5">
        <w:trPr>
          <w:trHeight w:val="748"/>
          <w:jc w:val="center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ABBAB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应付凭单部门应核对订购单、验收单和卖方发票的一致性并编制付款凭单，付款凭单预先顺序编号</w:t>
            </w:r>
          </w:p>
        </w:tc>
        <w:tc>
          <w:tcPr>
            <w:tcW w:w="189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E4898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付款凭单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3AEEA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与采购交易的“完整性”和“发生”、应付账款的“完整性”和“存在”认定有关</w:t>
            </w:r>
          </w:p>
        </w:tc>
      </w:tr>
      <w:tr w:rsidR="00C562E5" w14:paraId="04AF2BD4" w14:textId="77777777" w:rsidTr="00C562E5">
        <w:trPr>
          <w:trHeight w:val="506"/>
          <w:jc w:val="center"/>
        </w:trPr>
        <w:tc>
          <w:tcPr>
            <w:tcW w:w="4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2991C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由被授权人员在凭单上签字，以示批准照此凭单要求付款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988690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6F0F6B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</w:tbl>
    <w:p w14:paraId="4F312115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八、确认与记录负债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7"/>
        <w:gridCol w:w="2009"/>
        <w:gridCol w:w="2019"/>
      </w:tblGrid>
      <w:tr w:rsidR="00C562E5" w14:paraId="718AC751" w14:textId="77777777" w:rsidTr="00C562E5">
        <w:trPr>
          <w:trHeight w:val="534"/>
          <w:jc w:val="center"/>
        </w:trPr>
        <w:tc>
          <w:tcPr>
            <w:tcW w:w="4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EFDE5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关键控制活动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EF6CF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主要单据与</w:t>
            </w:r>
          </w:p>
          <w:p w14:paraId="277F3B04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会计记录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DDCC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目标和</w:t>
            </w:r>
          </w:p>
          <w:p w14:paraId="63D4B0AD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b/>
                <w:bCs/>
                <w:color w:val="333333"/>
                <w:sz w:val="21"/>
                <w:szCs w:val="21"/>
              </w:rPr>
              <w:t>相关认定</w:t>
            </w:r>
          </w:p>
        </w:tc>
      </w:tr>
      <w:tr w:rsidR="00C562E5" w14:paraId="1EEA4625" w14:textId="77777777" w:rsidTr="00C562E5">
        <w:trPr>
          <w:trHeight w:val="628"/>
          <w:jc w:val="center"/>
        </w:trPr>
        <w:tc>
          <w:tcPr>
            <w:tcW w:w="4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D72E5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将已批准的未付款凭单送达会计部门，据以编制有关记账凭证和登记有关账簿</w:t>
            </w:r>
          </w:p>
        </w:tc>
        <w:tc>
          <w:tcPr>
            <w:tcW w:w="200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DC0CA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供应商发票</w:t>
            </w:r>
          </w:p>
          <w:p w14:paraId="1BD9DA21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记账凭证</w:t>
            </w:r>
          </w:p>
          <w:p w14:paraId="0F91E82D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应付账款明细账</w:t>
            </w:r>
          </w:p>
          <w:p w14:paraId="6B84C50F" w14:textId="77777777" w:rsidR="00C562E5" w:rsidRDefault="00C562E5" w:rsidP="00C562E5">
            <w:pPr>
              <w:pStyle w:val="aa"/>
              <w:spacing w:before="0" w:beforeAutospacing="0" w:after="0" w:afterAutospacing="0"/>
              <w:jc w:val="center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供应商对账单</w:t>
            </w:r>
          </w:p>
        </w:tc>
        <w:tc>
          <w:tcPr>
            <w:tcW w:w="201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8D1EC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与采购交易的“完整性”和“发生”、应付账款的“完整性”和“存在”认定有关</w:t>
            </w:r>
          </w:p>
        </w:tc>
      </w:tr>
      <w:tr w:rsidR="00C562E5" w14:paraId="4F8C3505" w14:textId="77777777" w:rsidTr="00C562E5">
        <w:trPr>
          <w:trHeight w:val="836"/>
          <w:jc w:val="center"/>
        </w:trPr>
        <w:tc>
          <w:tcPr>
            <w:tcW w:w="4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1B324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会计主管应监督为采购交易而编制的记账凭证；通过定期核对编制记账凭证的日期与凭单副联的日期，监督入账的及时性；与供应商定期对账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921A50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082550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</w:tr>
      <w:tr w:rsidR="00C562E5" w14:paraId="14D4F24E" w14:textId="77777777" w:rsidTr="00C562E5">
        <w:trPr>
          <w:trHeight w:val="595"/>
          <w:jc w:val="center"/>
        </w:trPr>
        <w:tc>
          <w:tcPr>
            <w:tcW w:w="44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ADB2E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对于每月末尚未收到供应商发票的情况，则需根据验收单和订购单暂估相关的负债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174FCB" w14:textId="77777777" w:rsidR="00C562E5" w:rsidRDefault="00C562E5" w:rsidP="00C562E5">
            <w:pPr>
              <w:rPr>
                <w:rFonts w:eastAsia="微软雅黑" w:cs="Calibri"/>
                <w:color w:val="333333"/>
                <w:szCs w:val="21"/>
              </w:rPr>
            </w:pP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D2804" w14:textId="77777777" w:rsidR="00C562E5" w:rsidRDefault="00C562E5" w:rsidP="00C562E5">
            <w:pPr>
              <w:pStyle w:val="aa"/>
              <w:spacing w:before="0" w:beforeAutospacing="0" w:after="0" w:afterAutospacing="0"/>
              <w:rPr>
                <w:rFonts w:ascii="Calibri" w:eastAsia="微软雅黑" w:hAnsi="Calibri" w:cs="Calibri"/>
                <w:color w:val="333333"/>
                <w:sz w:val="21"/>
                <w:szCs w:val="21"/>
              </w:rPr>
            </w:pPr>
            <w:r>
              <w:rPr>
                <w:rFonts w:cs="Calibri" w:hint="eastAsia"/>
                <w:color w:val="333333"/>
                <w:sz w:val="21"/>
                <w:szCs w:val="21"/>
              </w:rPr>
              <w:t>与存货、应付账款的“完整性”认定有关</w:t>
            </w:r>
          </w:p>
        </w:tc>
      </w:tr>
    </w:tbl>
    <w:p w14:paraId="48604D70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真题和模拟题精讲</w:t>
      </w:r>
    </w:p>
    <w:p w14:paraId="318796E2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2"/>
        <w:jc w:val="both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1"/>
          <w:szCs w:val="21"/>
        </w:rPr>
        <w:t>单项选择题【模拟题】</w:t>
      </w:r>
    </w:p>
    <w:p w14:paraId="39B423BC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以下关于采购与付款循环的内部控制中，注册会计师认为与应付账款的完整性认定直接相关的是（　　）。</w:t>
      </w:r>
    </w:p>
    <w:p w14:paraId="4ECBAFA6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t>A.</w:t>
      </w:r>
      <w:r>
        <w:rPr>
          <w:rFonts w:cs="Calibri" w:hint="eastAsia"/>
          <w:color w:val="3F3F3F"/>
          <w:sz w:val="21"/>
          <w:szCs w:val="21"/>
        </w:rPr>
        <w:t>采用适当的会计科目表核算采购与付款交易</w:t>
      </w:r>
    </w:p>
    <w:p w14:paraId="771E50AA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t>B.</w:t>
      </w:r>
      <w:r>
        <w:rPr>
          <w:rFonts w:cs="Calibri" w:hint="eastAsia"/>
          <w:color w:val="3F3F3F"/>
          <w:sz w:val="21"/>
          <w:szCs w:val="21"/>
        </w:rPr>
        <w:t>采购价格和折扣须经被授权人员的批准</w:t>
      </w:r>
    </w:p>
    <w:p w14:paraId="61097009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t>C.</w:t>
      </w:r>
      <w:r>
        <w:rPr>
          <w:rFonts w:cs="Calibri" w:hint="eastAsia"/>
          <w:color w:val="3F3F3F"/>
          <w:sz w:val="21"/>
          <w:szCs w:val="21"/>
        </w:rPr>
        <w:t>会计主管复核付款凭单后是否附有完整的相关单据</w:t>
      </w:r>
    </w:p>
    <w:p w14:paraId="421BE0DC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420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color w:val="3F3F3F"/>
          <w:sz w:val="21"/>
          <w:szCs w:val="21"/>
        </w:rPr>
        <w:t>D.</w:t>
      </w:r>
      <w:r>
        <w:rPr>
          <w:rFonts w:cs="Calibri" w:hint="eastAsia"/>
          <w:color w:val="3F3F3F"/>
          <w:sz w:val="21"/>
          <w:szCs w:val="21"/>
        </w:rPr>
        <w:t>订购单均经事先连续编号并将已完成的采购登记入账</w:t>
      </w:r>
    </w:p>
    <w:p w14:paraId="428E3EB9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315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【答案】</w:t>
      </w:r>
      <w:r>
        <w:rPr>
          <w:rFonts w:ascii="Calibri" w:eastAsia="微软雅黑" w:hAnsi="Calibri" w:cs="Calibri"/>
          <w:color w:val="3F3F3F"/>
          <w:sz w:val="21"/>
          <w:szCs w:val="21"/>
        </w:rPr>
        <w:t>D</w:t>
      </w:r>
    </w:p>
    <w:p w14:paraId="66092123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ind w:firstLine="315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color w:val="3F3F3F"/>
          <w:sz w:val="21"/>
          <w:szCs w:val="21"/>
        </w:rPr>
        <w:t>【点评】选项</w:t>
      </w:r>
      <w:r>
        <w:rPr>
          <w:rFonts w:ascii="Calibri" w:eastAsia="微软雅黑" w:hAnsi="Calibri" w:cs="Calibri"/>
          <w:color w:val="3F3F3F"/>
          <w:sz w:val="21"/>
          <w:szCs w:val="21"/>
        </w:rPr>
        <w:t>A</w:t>
      </w:r>
      <w:r>
        <w:rPr>
          <w:rFonts w:cs="Calibri" w:hint="eastAsia"/>
          <w:color w:val="3F3F3F"/>
          <w:sz w:val="21"/>
          <w:szCs w:val="21"/>
        </w:rPr>
        <w:t>与采购与付款</w:t>
      </w:r>
      <w:r>
        <w:rPr>
          <w:rFonts w:cs="Calibri" w:hint="eastAsia"/>
          <w:b/>
          <w:bCs/>
          <w:color w:val="FF0000"/>
          <w:sz w:val="21"/>
          <w:szCs w:val="21"/>
        </w:rPr>
        <w:t>交易</w:t>
      </w:r>
      <w:r>
        <w:rPr>
          <w:rFonts w:cs="Calibri" w:hint="eastAsia"/>
          <w:color w:val="3F3F3F"/>
          <w:sz w:val="21"/>
          <w:szCs w:val="21"/>
        </w:rPr>
        <w:t>的</w:t>
      </w:r>
      <w:r>
        <w:rPr>
          <w:rFonts w:cs="Calibri" w:hint="eastAsia"/>
          <w:b/>
          <w:bCs/>
          <w:color w:val="FF0000"/>
          <w:sz w:val="21"/>
          <w:szCs w:val="21"/>
        </w:rPr>
        <w:t>分类</w:t>
      </w:r>
      <w:r>
        <w:rPr>
          <w:rFonts w:cs="Calibri" w:hint="eastAsia"/>
          <w:color w:val="3F3F3F"/>
          <w:sz w:val="21"/>
          <w:szCs w:val="21"/>
        </w:rPr>
        <w:t>认定直接相关；选项</w:t>
      </w:r>
      <w:r>
        <w:rPr>
          <w:rFonts w:ascii="Calibri" w:eastAsia="微软雅黑" w:hAnsi="Calibri" w:cs="Calibri"/>
          <w:color w:val="3F3F3F"/>
          <w:sz w:val="21"/>
          <w:szCs w:val="21"/>
        </w:rPr>
        <w:t>B</w:t>
      </w:r>
      <w:r>
        <w:rPr>
          <w:rFonts w:cs="Calibri" w:hint="eastAsia"/>
          <w:color w:val="3F3F3F"/>
          <w:sz w:val="21"/>
          <w:szCs w:val="21"/>
        </w:rPr>
        <w:t>与应付账款的准确性、计价和分摊认定直接相关；选项</w:t>
      </w:r>
      <w:r>
        <w:rPr>
          <w:rFonts w:ascii="Calibri" w:eastAsia="微软雅黑" w:hAnsi="Calibri" w:cs="Calibri"/>
          <w:color w:val="3F3F3F"/>
          <w:sz w:val="21"/>
          <w:szCs w:val="21"/>
        </w:rPr>
        <w:t>C</w:t>
      </w:r>
      <w:r>
        <w:rPr>
          <w:rFonts w:cs="Calibri" w:hint="eastAsia"/>
          <w:color w:val="3F3F3F"/>
          <w:sz w:val="21"/>
          <w:szCs w:val="21"/>
        </w:rPr>
        <w:t>与应付账款的存在认定直接相关。本题仍然是结合审计实务，考查对于认定的理解。</w:t>
      </w:r>
    </w:p>
    <w:p w14:paraId="07492511" w14:textId="77777777" w:rsidR="00C562E5" w:rsidRDefault="00C562E5" w:rsidP="00C562E5">
      <w:pPr>
        <w:pStyle w:val="aa"/>
        <w:shd w:val="clear" w:color="auto" w:fill="FFFFFF"/>
        <w:spacing w:before="312" w:beforeAutospacing="0" w:after="312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cs="Calibri" w:hint="eastAsia"/>
          <w:b/>
          <w:bCs/>
          <w:color w:val="3F3F3F"/>
          <w:sz w:val="28"/>
          <w:szCs w:val="28"/>
        </w:rPr>
        <w:t>脉络和复习</w:t>
      </w:r>
    </w:p>
    <w:p w14:paraId="1C1FBF7D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begin"/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instrText xml:space="preserve"> INCLUDEPICTURE "http://webupload.admin.dongao.com/biz/handout/img/2019/20190508/20190508072802980002.png" \* MERGEFORMATINET </w:instrText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separate"/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pict>
          <v:shape id="_x0000_i1026" type="#_x0000_t75" style="width:415.5pt;height:195.75pt">
            <v:imagedata r:id="rId9" r:href="rId10"/>
          </v:shape>
        </w:pict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end"/>
      </w:r>
    </w:p>
    <w:p w14:paraId="0901EEBD" w14:textId="77777777" w:rsidR="00C562E5" w:rsidRDefault="00C562E5" w:rsidP="00C562E5">
      <w:pPr>
        <w:pStyle w:val="aa"/>
        <w:shd w:val="clear" w:color="auto" w:fill="FFFFFF"/>
        <w:spacing w:before="0" w:beforeAutospacing="0" w:after="0" w:afterAutospacing="0"/>
        <w:jc w:val="center"/>
        <w:rPr>
          <w:rFonts w:ascii="Calibri" w:eastAsia="微软雅黑" w:hAnsi="Calibri" w:cs="Calibri"/>
          <w:color w:val="3F3F3F"/>
          <w:sz w:val="21"/>
          <w:szCs w:val="21"/>
        </w:rPr>
      </w:pP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begin"/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instrText xml:space="preserve"> INCLUDEPICTURE "http://webupload.admin.dongao.com/biz/handout/img/2019/20190508/20190508072802278003.png" \* MERGEFORMATINET </w:instrText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separate"/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pict>
          <v:shape id="_x0000_i1027" type="#_x0000_t75" style="width:415.5pt;height:226.5pt">
            <v:imagedata r:id="rId11" r:href="rId12"/>
          </v:shape>
        </w:pict>
      </w:r>
      <w:r>
        <w:rPr>
          <w:rFonts w:ascii="Calibri" w:eastAsia="微软雅黑" w:hAnsi="Calibri" w:cs="Calibri"/>
          <w:b/>
          <w:bCs/>
          <w:color w:val="3F3F3F"/>
          <w:sz w:val="28"/>
          <w:szCs w:val="28"/>
        </w:rPr>
        <w:fldChar w:fldCharType="end"/>
      </w:r>
    </w:p>
    <w:p w14:paraId="2A307159" w14:textId="77777777" w:rsidR="00C562E5" w:rsidRDefault="00C562E5" w:rsidP="00C562E5">
      <w:pPr>
        <w:shd w:val="clear" w:color="auto" w:fill="FFFFFF"/>
        <w:rPr>
          <w:rFonts w:ascii="微软雅黑" w:eastAsia="微软雅黑" w:hAnsi="微软雅黑" w:cs="宋体"/>
          <w:color w:val="3F3F3F"/>
          <w:szCs w:val="21"/>
        </w:rPr>
      </w:pPr>
    </w:p>
    <w:p w14:paraId="1F792F03" w14:textId="77777777" w:rsidR="00271D8C" w:rsidRPr="00C562E5" w:rsidRDefault="00271D8C" w:rsidP="00C562E5">
      <w:pPr>
        <w:rPr>
          <w:rFonts w:hint="eastAsia"/>
        </w:rPr>
      </w:pPr>
    </w:p>
    <w:sectPr w:rsidR="00271D8C" w:rsidRPr="00C562E5" w:rsidSect="001F62DD">
      <w:headerReference w:type="default" r:id="rId13"/>
      <w:footerReference w:type="default" r:id="rId14"/>
      <w:pgSz w:w="11906" w:h="16838"/>
      <w:pgMar w:top="340" w:right="680" w:bottom="340" w:left="1134" w:header="113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E816C" w14:textId="77777777" w:rsidR="00EA594B" w:rsidRDefault="00EA594B" w:rsidP="00CD53C5">
      <w:r>
        <w:separator/>
      </w:r>
    </w:p>
  </w:endnote>
  <w:endnote w:type="continuationSeparator" w:id="0">
    <w:p w14:paraId="10301B8D" w14:textId="77777777" w:rsidR="00EA594B" w:rsidRDefault="00EA594B" w:rsidP="00CD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90" w:type="dxa"/>
      <w:tblBorders>
        <w:top w:val="single" w:sz="4" w:space="0" w:color="auto"/>
      </w:tblBorders>
      <w:tblCellMar>
        <w:top w:w="113" w:type="dxa"/>
      </w:tblCellMar>
      <w:tblLook w:val="04A0" w:firstRow="1" w:lastRow="0" w:firstColumn="1" w:lastColumn="0" w:noHBand="0" w:noVBand="1"/>
    </w:tblPr>
    <w:tblGrid>
      <w:gridCol w:w="2050"/>
      <w:gridCol w:w="3742"/>
      <w:gridCol w:w="4398"/>
    </w:tblGrid>
    <w:tr w:rsidR="00BE7176" w:rsidRPr="004D61E7" w14:paraId="584C1626" w14:textId="77777777" w:rsidTr="007B0BFD">
      <w:trPr>
        <w:trHeight w:val="274"/>
      </w:trPr>
      <w:tc>
        <w:tcPr>
          <w:tcW w:w="2050" w:type="dxa"/>
          <w:shd w:val="clear" w:color="auto" w:fill="auto"/>
          <w:vAlign w:val="center"/>
        </w:tcPr>
        <w:p w14:paraId="1C4A98C4" w14:textId="77777777" w:rsidR="00BE7176" w:rsidRPr="004D61E7" w:rsidRDefault="004D61E7" w:rsidP="004D61E7">
          <w:pPr>
            <w:jc w:val="left"/>
            <w:rPr>
              <w:rFonts w:ascii="楷体" w:eastAsia="楷体" w:hAnsi="楷体"/>
              <w:b/>
              <w:sz w:val="28"/>
              <w:szCs w:val="28"/>
            </w:rPr>
          </w:pPr>
          <w:r w:rsidRPr="00707A6F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5" o:spid="_x0000_i1028" type="#_x0000_t75" style="width:90.75pt;height:26.25pt;visibility:visible">
                <v:imagedata r:id="rId1" o:title=""/>
              </v:shape>
            </w:pict>
          </w:r>
        </w:p>
      </w:tc>
      <w:tc>
        <w:tcPr>
          <w:tcW w:w="3742" w:type="dxa"/>
          <w:shd w:val="clear" w:color="auto" w:fill="auto"/>
          <w:vAlign w:val="center"/>
        </w:tcPr>
        <w:p w14:paraId="74D368CC" w14:textId="77777777" w:rsidR="00BE7176" w:rsidRPr="004D61E7" w:rsidRDefault="00BE7176" w:rsidP="004D61E7">
          <w:pPr>
            <w:jc w:val="left"/>
            <w:rPr>
              <w:rFonts w:ascii="楷体" w:eastAsia="楷体" w:hAnsi="楷体"/>
              <w:b/>
              <w:sz w:val="28"/>
              <w:szCs w:val="28"/>
            </w:rPr>
          </w:pPr>
          <w:r w:rsidRPr="004D61E7">
            <w:rPr>
              <w:rFonts w:ascii="微软雅黑" w:eastAsia="微软雅黑" w:hAnsi="微软雅黑" w:hint="eastAsia"/>
              <w:szCs w:val="21"/>
            </w:rPr>
            <w:t>原创</w:t>
          </w:r>
          <w:r w:rsidRPr="004D61E7">
            <w:rPr>
              <w:rFonts w:ascii="微软雅黑" w:eastAsia="微软雅黑" w:hAnsi="微软雅黑"/>
              <w:szCs w:val="21"/>
            </w:rPr>
            <w:t>不易</w:t>
          </w:r>
          <w:r w:rsidRPr="004D61E7">
            <w:rPr>
              <w:rFonts w:ascii="微软雅黑" w:eastAsia="微软雅黑" w:hAnsi="微软雅黑" w:hint="eastAsia"/>
              <w:szCs w:val="21"/>
            </w:rPr>
            <w:t>，侵权</w:t>
          </w:r>
          <w:r w:rsidRPr="004D61E7">
            <w:rPr>
              <w:rFonts w:ascii="微软雅黑" w:eastAsia="微软雅黑" w:hAnsi="微软雅黑"/>
              <w:szCs w:val="21"/>
            </w:rPr>
            <w:t>必究</w:t>
          </w:r>
          <w:r w:rsidRPr="004D61E7">
            <w:rPr>
              <w:rFonts w:ascii="微软雅黑" w:eastAsia="微软雅黑" w:hAnsi="微软雅黑" w:hint="eastAsia"/>
              <w:szCs w:val="21"/>
            </w:rPr>
            <w:t xml:space="preserve">  </w:t>
          </w:r>
          <w:r w:rsidRPr="004D61E7">
            <w:rPr>
              <w:rFonts w:ascii="微软雅黑" w:eastAsia="微软雅黑" w:hAnsi="微软雅黑"/>
              <w:szCs w:val="21"/>
            </w:rPr>
            <w:t xml:space="preserve">          </w:t>
          </w:r>
          <w:r w:rsidRPr="004D61E7">
            <w:rPr>
              <w:rFonts w:ascii="微软雅黑" w:eastAsia="微软雅黑" w:hAnsi="微软雅黑" w:hint="eastAsia"/>
              <w:szCs w:val="21"/>
            </w:rPr>
            <w:t xml:space="preserve">            </w:t>
          </w:r>
          <w:r w:rsidRPr="004D61E7">
            <w:rPr>
              <w:rFonts w:ascii="微软雅黑" w:eastAsia="微软雅黑" w:hAnsi="微软雅黑"/>
              <w:szCs w:val="21"/>
            </w:rPr>
            <w:t xml:space="preserve">       </w:t>
          </w:r>
        </w:p>
      </w:tc>
      <w:tc>
        <w:tcPr>
          <w:tcW w:w="4398" w:type="dxa"/>
          <w:shd w:val="clear" w:color="auto" w:fill="auto"/>
          <w:vAlign w:val="center"/>
        </w:tcPr>
        <w:p w14:paraId="6D686087" w14:textId="77777777" w:rsidR="00BE7176" w:rsidRPr="004D61E7" w:rsidRDefault="004D61E7" w:rsidP="004D61E7">
          <w:pPr>
            <w:jc w:val="right"/>
            <w:rPr>
              <w:rFonts w:ascii="微软雅黑" w:eastAsia="微软雅黑" w:hAnsi="微软雅黑"/>
              <w:szCs w:val="21"/>
            </w:rPr>
          </w:pPr>
          <w:r w:rsidRPr="004D61E7">
            <w:rPr>
              <w:rFonts w:ascii="微软雅黑" w:eastAsia="微软雅黑" w:hAnsi="微软雅黑" w:hint="eastAsia"/>
              <w:szCs w:val="21"/>
              <w:lang w:val="zh-CN"/>
            </w:rPr>
            <w:t>第</w:t>
          </w:r>
          <w:r w:rsidRPr="004D61E7">
            <w:rPr>
              <w:rFonts w:ascii="微软雅黑" w:eastAsia="微软雅黑" w:hAnsi="微软雅黑"/>
              <w:szCs w:val="21"/>
            </w:rPr>
            <w:fldChar w:fldCharType="begin"/>
          </w:r>
          <w:r w:rsidRPr="004D61E7">
            <w:rPr>
              <w:rFonts w:ascii="微软雅黑" w:eastAsia="微软雅黑" w:hAnsi="微软雅黑"/>
              <w:szCs w:val="21"/>
            </w:rPr>
            <w:instrText>PAGE  \* Arabic  \* MERGEFORMAT</w:instrText>
          </w:r>
          <w:r w:rsidRPr="004D61E7">
            <w:rPr>
              <w:rFonts w:ascii="微软雅黑" w:eastAsia="微软雅黑" w:hAnsi="微软雅黑"/>
              <w:szCs w:val="21"/>
            </w:rPr>
            <w:fldChar w:fldCharType="separate"/>
          </w:r>
          <w:r w:rsidRPr="004D61E7">
            <w:rPr>
              <w:rFonts w:ascii="微软雅黑" w:eastAsia="微软雅黑" w:hAnsi="微软雅黑"/>
              <w:szCs w:val="21"/>
            </w:rPr>
            <w:t>1</w:t>
          </w:r>
          <w:r w:rsidRPr="004D61E7">
            <w:rPr>
              <w:rFonts w:ascii="微软雅黑" w:eastAsia="微软雅黑" w:hAnsi="微软雅黑"/>
              <w:szCs w:val="21"/>
            </w:rPr>
            <w:fldChar w:fldCharType="end"/>
          </w:r>
          <w:r w:rsidRPr="004D61E7">
            <w:rPr>
              <w:rFonts w:ascii="微软雅黑" w:eastAsia="微软雅黑" w:hAnsi="微软雅黑" w:hint="eastAsia"/>
              <w:szCs w:val="21"/>
            </w:rPr>
            <w:t>页</w:t>
          </w:r>
        </w:p>
      </w:tc>
    </w:tr>
  </w:tbl>
  <w:p w14:paraId="79FA9A6D" w14:textId="77777777" w:rsidR="00BE7176" w:rsidRPr="00397E03" w:rsidRDefault="00BE7176">
    <w:pPr>
      <w:pStyle w:val="a5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D4B1A" w14:textId="77777777" w:rsidR="00EA594B" w:rsidRDefault="00EA594B" w:rsidP="00CD53C5">
      <w:r>
        <w:separator/>
      </w:r>
    </w:p>
  </w:footnote>
  <w:footnote w:type="continuationSeparator" w:id="0">
    <w:p w14:paraId="37429723" w14:textId="77777777" w:rsidR="00EA594B" w:rsidRDefault="00EA594B" w:rsidP="00CD5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21" w:type="dxa"/>
      <w:tblBorders>
        <w:bottom w:val="single" w:sz="4" w:space="0" w:color="auto"/>
      </w:tblBorders>
      <w:tblCellMar>
        <w:bottom w:w="57" w:type="dxa"/>
      </w:tblCellMar>
      <w:tblLook w:val="04A0" w:firstRow="1" w:lastRow="0" w:firstColumn="1" w:lastColumn="0" w:noHBand="0" w:noVBand="1"/>
    </w:tblPr>
    <w:tblGrid>
      <w:gridCol w:w="4272"/>
      <w:gridCol w:w="5949"/>
    </w:tblGrid>
    <w:tr w:rsidR="001545C6" w:rsidRPr="004D61E7" w14:paraId="78BBE5BE" w14:textId="77777777" w:rsidTr="007B0BFD">
      <w:trPr>
        <w:trHeight w:val="501"/>
      </w:trPr>
      <w:tc>
        <w:tcPr>
          <w:tcW w:w="4272" w:type="dxa"/>
          <w:shd w:val="clear" w:color="auto" w:fill="auto"/>
          <w:vAlign w:val="center"/>
        </w:tcPr>
        <w:p w14:paraId="5D415D4E" w14:textId="77777777" w:rsidR="001545C6" w:rsidRPr="001F62DD" w:rsidRDefault="00C562E5" w:rsidP="004D61E7">
          <w:pPr>
            <w:jc w:val="left"/>
            <w:rPr>
              <w:rFonts w:ascii="微软雅黑" w:eastAsia="微软雅黑" w:hAnsi="微软雅黑"/>
              <w:sz w:val="22"/>
            </w:rPr>
          </w:pPr>
          <w:r>
            <w:rPr>
              <w:rFonts w:ascii="微软雅黑" w:eastAsia="微软雅黑" w:hAnsi="微软雅黑"/>
              <w:sz w:val="22"/>
            </w:rPr>
            <w:t>审计（2019）考试辅导</w:t>
          </w:r>
        </w:p>
      </w:tc>
      <w:tc>
        <w:tcPr>
          <w:tcW w:w="5949" w:type="dxa"/>
          <w:shd w:val="clear" w:color="auto" w:fill="auto"/>
          <w:vAlign w:val="center"/>
        </w:tcPr>
        <w:p w14:paraId="2FA56FB9" w14:textId="77777777" w:rsidR="001545C6" w:rsidRPr="004D61E7" w:rsidRDefault="00C562E5" w:rsidP="00105A9A">
          <w:pPr>
            <w:wordWrap w:val="0"/>
            <w:jc w:val="right"/>
            <w:rPr>
              <w:rFonts w:ascii="微软雅黑" w:eastAsia="微软雅黑" w:hAnsi="微软雅黑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sz w:val="24"/>
              <w:szCs w:val="24"/>
            </w:rPr>
            <w:t>第十章</w:t>
          </w:r>
          <w:r>
            <w:rPr>
              <w:rFonts w:ascii="微软雅黑" w:eastAsia="微软雅黑" w:hAnsi="微软雅黑"/>
              <w:sz w:val="24"/>
              <w:szCs w:val="24"/>
            </w:rPr>
            <w:t>+采购与付款循环的审计</w:t>
          </w:r>
        </w:p>
      </w:tc>
    </w:tr>
  </w:tbl>
  <w:p w14:paraId="5B69AC8C" w14:textId="77777777" w:rsidR="00207831" w:rsidRPr="000F3412" w:rsidRDefault="00207831" w:rsidP="001545C6">
    <w:pPr>
      <w:pStyle w:val="a3"/>
      <w:rPr>
        <w:vanish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D05"/>
    <w:rsid w:val="0002315B"/>
    <w:rsid w:val="00025D51"/>
    <w:rsid w:val="00027EF7"/>
    <w:rsid w:val="00030EBE"/>
    <w:rsid w:val="0004510D"/>
    <w:rsid w:val="0006594D"/>
    <w:rsid w:val="000977F7"/>
    <w:rsid w:val="000C17BF"/>
    <w:rsid w:val="000D329A"/>
    <w:rsid w:val="000F3412"/>
    <w:rsid w:val="00103D05"/>
    <w:rsid w:val="00105A9A"/>
    <w:rsid w:val="001403A1"/>
    <w:rsid w:val="001545C6"/>
    <w:rsid w:val="001C5FBB"/>
    <w:rsid w:val="001D1548"/>
    <w:rsid w:val="001F62DD"/>
    <w:rsid w:val="00207831"/>
    <w:rsid w:val="0025687E"/>
    <w:rsid w:val="00257ECB"/>
    <w:rsid w:val="002608F5"/>
    <w:rsid w:val="00271D8C"/>
    <w:rsid w:val="002F4B62"/>
    <w:rsid w:val="00354CB5"/>
    <w:rsid w:val="00361200"/>
    <w:rsid w:val="00396A53"/>
    <w:rsid w:val="00397E03"/>
    <w:rsid w:val="00484FE7"/>
    <w:rsid w:val="00494359"/>
    <w:rsid w:val="004D41D2"/>
    <w:rsid w:val="004D61E7"/>
    <w:rsid w:val="00522B52"/>
    <w:rsid w:val="00530F5E"/>
    <w:rsid w:val="00587FA0"/>
    <w:rsid w:val="005C437E"/>
    <w:rsid w:val="005F2973"/>
    <w:rsid w:val="005F76A7"/>
    <w:rsid w:val="00601F3F"/>
    <w:rsid w:val="0065531D"/>
    <w:rsid w:val="00680B91"/>
    <w:rsid w:val="00743946"/>
    <w:rsid w:val="00777971"/>
    <w:rsid w:val="007A0F56"/>
    <w:rsid w:val="007A684A"/>
    <w:rsid w:val="007B0BFD"/>
    <w:rsid w:val="007B5B2A"/>
    <w:rsid w:val="007E2E24"/>
    <w:rsid w:val="00831407"/>
    <w:rsid w:val="008C2E60"/>
    <w:rsid w:val="008D6C45"/>
    <w:rsid w:val="0093134D"/>
    <w:rsid w:val="009E3A31"/>
    <w:rsid w:val="009E72DE"/>
    <w:rsid w:val="00A00175"/>
    <w:rsid w:val="00A42D54"/>
    <w:rsid w:val="00A8418D"/>
    <w:rsid w:val="00A84ABB"/>
    <w:rsid w:val="00AA2B40"/>
    <w:rsid w:val="00AA617F"/>
    <w:rsid w:val="00AD308A"/>
    <w:rsid w:val="00B35C5C"/>
    <w:rsid w:val="00B36C6D"/>
    <w:rsid w:val="00B57A07"/>
    <w:rsid w:val="00B672D4"/>
    <w:rsid w:val="00B81282"/>
    <w:rsid w:val="00BC5CEC"/>
    <w:rsid w:val="00BD730E"/>
    <w:rsid w:val="00BE7176"/>
    <w:rsid w:val="00C24F0C"/>
    <w:rsid w:val="00C42B60"/>
    <w:rsid w:val="00C562E5"/>
    <w:rsid w:val="00C64789"/>
    <w:rsid w:val="00CA0928"/>
    <w:rsid w:val="00CA405F"/>
    <w:rsid w:val="00CD53C5"/>
    <w:rsid w:val="00CE33B2"/>
    <w:rsid w:val="00D14EEC"/>
    <w:rsid w:val="00D40C69"/>
    <w:rsid w:val="00DA0E67"/>
    <w:rsid w:val="00DC6EA5"/>
    <w:rsid w:val="00E27FEA"/>
    <w:rsid w:val="00E91A26"/>
    <w:rsid w:val="00EA594B"/>
    <w:rsid w:val="00EC2EA7"/>
    <w:rsid w:val="00ED764B"/>
    <w:rsid w:val="00F4489B"/>
    <w:rsid w:val="00F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BA957FE"/>
  <w15:docId w15:val="{42DC9E0E-975E-4484-899A-82F8D2E6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D5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D53C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03A1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1403A1"/>
    <w:rPr>
      <w:sz w:val="18"/>
      <w:szCs w:val="18"/>
    </w:rPr>
  </w:style>
  <w:style w:type="table" w:styleId="a9">
    <w:name w:val="Table Grid"/>
    <w:basedOn w:val="a1"/>
    <w:uiPriority w:val="59"/>
    <w:rsid w:val="0020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25D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ebupload.admin.dongao.com/biz/handout/img/2019/20190508/20190508072801130001.jp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webupload.admin.dongao.com/biz/handout/img/2019/20190508/20190508072802278003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webupload.admin.dongao.com/biz/handout/img/2019/20190508/2019050807280298000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529F-A63C-463F-B81A-615D624C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孙晓雪</dc:creator>
  <cp:keywords/>
  <dc:description/>
  <cp:lastModifiedBy>Jeffery Ho</cp:lastModifiedBy>
  <cp:revision>2</cp:revision>
  <cp:lastPrinted>2019-03-21T09:01:00Z</cp:lastPrinted>
  <dcterms:created xsi:type="dcterms:W3CDTF">2020-06-13T15:21:00Z</dcterms:created>
  <dcterms:modified xsi:type="dcterms:W3CDTF">2020-06-13T15:21:00Z</dcterms:modified>
</cp:coreProperties>
</file>