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333CA" w14:textId="77777777" w:rsidR="00FF4904" w:rsidRDefault="00FF4904" w:rsidP="00FF490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第三编·第十章·采购与付款循环的审计</w:t>
      </w:r>
    </w:p>
    <w:p w14:paraId="3A168900" w14:textId="77777777" w:rsidR="00FF4904" w:rsidRDefault="00FF4904" w:rsidP="00FF490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D929CD2" w14:textId="77777777" w:rsidR="00FF4904" w:rsidRDefault="00FF4904" w:rsidP="00FF4904">
      <w:pPr>
        <w:pStyle w:val="aa"/>
        <w:shd w:val="clear" w:color="auto" w:fill="FFFFFF"/>
        <w:spacing w:before="312" w:beforeAutospacing="0" w:after="312" w:afterAutospacing="0"/>
        <w:ind w:firstLine="562"/>
        <w:jc w:val="center"/>
        <w:rPr>
          <w:rFonts w:ascii="Calibri" w:eastAsia="微软雅黑" w:hAnsi="Calibri" w:cs="Calibri"/>
          <w:color w:val="3F3F3F"/>
          <w:sz w:val="21"/>
          <w:szCs w:val="21"/>
        </w:rPr>
      </w:pPr>
      <w:r>
        <w:rPr>
          <w:rFonts w:cs="Calibri" w:hint="eastAsia"/>
          <w:b/>
          <w:bCs/>
          <w:color w:val="3F3F3F"/>
          <w:sz w:val="28"/>
          <w:szCs w:val="28"/>
        </w:rPr>
        <w:t>第三节　采购与付款循环的重大错报风险</w:t>
      </w:r>
    </w:p>
    <w:p w14:paraId="4C96D345" w14:textId="77777777" w:rsidR="00FF4904" w:rsidRDefault="00FF4904" w:rsidP="00FF4904">
      <w:pPr>
        <w:pStyle w:val="aa"/>
        <w:shd w:val="clear" w:color="auto" w:fill="FFFFFF"/>
        <w:spacing w:before="312" w:beforeAutospacing="0" w:after="312" w:afterAutospacing="0"/>
        <w:ind w:firstLine="562"/>
        <w:jc w:val="center"/>
        <w:rPr>
          <w:rFonts w:ascii="Calibri" w:eastAsia="微软雅黑" w:hAnsi="Calibri" w:cs="Calibri"/>
          <w:color w:val="3F3F3F"/>
          <w:sz w:val="21"/>
          <w:szCs w:val="21"/>
        </w:rPr>
      </w:pPr>
      <w:r>
        <w:rPr>
          <w:rFonts w:cs="Calibri" w:hint="eastAsia"/>
          <w:b/>
          <w:bCs/>
          <w:color w:val="3F3F3F"/>
          <w:sz w:val="28"/>
          <w:szCs w:val="28"/>
        </w:rPr>
        <w:t>第四节　测试采购与付款循环的内部控制</w:t>
      </w:r>
    </w:p>
    <w:p w14:paraId="5133D3A2" w14:textId="77777777" w:rsidR="00FF4904" w:rsidRDefault="00FF4904" w:rsidP="00FF4904">
      <w:pPr>
        <w:pStyle w:val="aa"/>
        <w:shd w:val="clear" w:color="auto" w:fill="FFFFFF"/>
        <w:spacing w:before="0" w:beforeAutospacing="0" w:after="0" w:afterAutospacing="0"/>
        <w:ind w:left="840" w:hanging="420"/>
        <w:jc w:val="both"/>
        <w:rPr>
          <w:color w:val="3F3F3F"/>
        </w:rPr>
      </w:pPr>
      <w:r>
        <w:rPr>
          <w:rFonts w:hint="eastAsia"/>
          <w:color w:val="3F3F3F"/>
        </w:rPr>
        <w:t>一、</w:t>
      </w:r>
      <w:r>
        <w:rPr>
          <w:rFonts w:ascii="Times New Roman" w:hAnsi="Times New Roman" w:cs="Times New Roman"/>
          <w:color w:val="3F3F3F"/>
          <w:sz w:val="14"/>
          <w:szCs w:val="14"/>
        </w:rPr>
        <w:t xml:space="preserve">     </w:t>
      </w:r>
      <w:r>
        <w:rPr>
          <w:rFonts w:hint="eastAsia"/>
          <w:color w:val="3F3F3F"/>
        </w:rPr>
        <w:t>采购与付款循环的相关交易和余额存在的重大错报风险（※）</w:t>
      </w:r>
    </w:p>
    <w:p w14:paraId="4C4AD853" w14:textId="77777777" w:rsidR="00FF4904" w:rsidRDefault="00FF4904" w:rsidP="00FF4904">
      <w:pPr>
        <w:pStyle w:val="aa"/>
        <w:shd w:val="clear" w:color="auto" w:fill="FFFFFF"/>
        <w:spacing w:before="0" w:beforeAutospacing="0" w:after="0" w:afterAutospacing="0"/>
        <w:ind w:left="840" w:hanging="420"/>
        <w:jc w:val="both"/>
        <w:rPr>
          <w:rFonts w:hint="eastAsia"/>
          <w:color w:val="3F3F3F"/>
        </w:rPr>
      </w:pPr>
      <w:r>
        <w:rPr>
          <w:rFonts w:hint="eastAsia"/>
          <w:color w:val="3F3F3F"/>
        </w:rPr>
        <w:t>二、</w:t>
      </w:r>
      <w:r>
        <w:rPr>
          <w:rFonts w:ascii="Times New Roman" w:hAnsi="Times New Roman" w:cs="Times New Roman"/>
          <w:color w:val="3F3F3F"/>
          <w:sz w:val="14"/>
          <w:szCs w:val="14"/>
        </w:rPr>
        <w:t xml:space="preserve">     </w:t>
      </w:r>
      <w:r>
        <w:rPr>
          <w:rFonts w:hint="eastAsia"/>
          <w:color w:val="3F3F3F"/>
        </w:rPr>
        <w:t>以风险为起点的控制测试</w:t>
      </w:r>
    </w:p>
    <w:p w14:paraId="6E59C643" w14:textId="77777777" w:rsidR="00FF4904" w:rsidRDefault="00FF4904" w:rsidP="00FF4904">
      <w:pPr>
        <w:pStyle w:val="aa"/>
        <w:shd w:val="clear" w:color="auto" w:fill="FFFFFF"/>
        <w:spacing w:before="0" w:beforeAutospacing="0" w:after="0" w:afterAutospacing="0"/>
        <w:ind w:left="420"/>
        <w:jc w:val="center"/>
        <w:rPr>
          <w:rFonts w:ascii="Calibri" w:eastAsia="微软雅黑" w:hAnsi="Calibri" w:cs="Calibri" w:hint="eastAsia"/>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"http://webupload.admin.dongao.com/biz/handout/img/2019/20190508/20190508093658796001.png"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07.75pt">
            <v:imagedata r:id="rId7" r:href="rId8"/>
          </v:shape>
        </w:pict>
      </w:r>
      <w:r>
        <w:rPr>
          <w:rFonts w:ascii="Calibri" w:eastAsia="微软雅黑" w:hAnsi="Calibri" w:cs="Calibri"/>
          <w:color w:val="3F3F3F"/>
          <w:sz w:val="21"/>
          <w:szCs w:val="21"/>
        </w:rPr>
        <w:fldChar w:fldCharType="end"/>
      </w:r>
    </w:p>
    <w:p w14:paraId="0517D794" w14:textId="77777777" w:rsidR="00FF4904" w:rsidRDefault="00FF4904" w:rsidP="00FF490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一、采购与付款循环的相关交易和余额存在的重大错报风险</w:t>
      </w:r>
    </w:p>
    <w:p w14:paraId="7EB5F725"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1.低估负债或相关准备</w:t>
      </w:r>
    </w:p>
    <w:p w14:paraId="25D730FE"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（1）低估应付账款等负债或资产相关准备，如</w:t>
      </w:r>
      <w:r>
        <w:rPr>
          <w:rFonts w:cs="Calibri" w:hint="eastAsia"/>
          <w:b/>
          <w:bCs/>
          <w:color w:val="FF0000"/>
          <w:sz w:val="21"/>
          <w:szCs w:val="21"/>
        </w:rPr>
        <w:t>低估</w:t>
      </w:r>
      <w:r>
        <w:rPr>
          <w:rFonts w:cs="Calibri" w:hint="eastAsia"/>
          <w:color w:val="3F3F3F"/>
          <w:sz w:val="21"/>
          <w:szCs w:val="21"/>
        </w:rPr>
        <w:t>对存货应计提的跌价准备；</w:t>
      </w:r>
    </w:p>
    <w:p w14:paraId="4B7F3F23" w14:textId="77777777" w:rsidR="00FF4904" w:rsidRDefault="00FF4904" w:rsidP="00FF490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"http://webupload.admin.dongao.com/biz/handout/img/2019/20190508/20190508093658879002.png"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48.75pt;height:185.25pt">
            <v:imagedata r:id="rId9" r:href="rId10"/>
          </v:shape>
        </w:pict>
      </w:r>
      <w:r>
        <w:rPr>
          <w:rFonts w:ascii="Calibri" w:eastAsia="微软雅黑" w:hAnsi="Calibri" w:cs="Calibri"/>
          <w:color w:val="3F3F3F"/>
          <w:sz w:val="21"/>
          <w:szCs w:val="21"/>
        </w:rPr>
        <w:fldChar w:fldCharType="end"/>
      </w:r>
    </w:p>
    <w:p w14:paraId="6BA60AC3"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（2）遗漏交易，如不计提已收取货物但</w:t>
      </w:r>
      <w:r>
        <w:rPr>
          <w:rFonts w:cs="Calibri" w:hint="eastAsia"/>
          <w:b/>
          <w:bCs/>
          <w:color w:val="FF0000"/>
          <w:sz w:val="21"/>
          <w:szCs w:val="21"/>
        </w:rPr>
        <w:t>尚未收到发票</w:t>
      </w:r>
      <w:r>
        <w:rPr>
          <w:rFonts w:cs="Calibri" w:hint="eastAsia"/>
          <w:color w:val="3F3F3F"/>
          <w:sz w:val="21"/>
          <w:szCs w:val="21"/>
        </w:rPr>
        <w:t>的采购相关的负债；</w:t>
      </w:r>
    </w:p>
    <w:p w14:paraId="5BF7CE01"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（3）将本期的支出</w:t>
      </w:r>
      <w:r>
        <w:rPr>
          <w:rFonts w:cs="Calibri" w:hint="eastAsia"/>
          <w:b/>
          <w:bCs/>
          <w:color w:val="FF0000"/>
          <w:sz w:val="21"/>
          <w:szCs w:val="21"/>
        </w:rPr>
        <w:t>延迟</w:t>
      </w:r>
      <w:r>
        <w:rPr>
          <w:rFonts w:cs="Calibri" w:hint="eastAsia"/>
          <w:color w:val="3F3F3F"/>
          <w:sz w:val="21"/>
          <w:szCs w:val="21"/>
        </w:rPr>
        <w:t>到下期确认；</w:t>
      </w:r>
    </w:p>
    <w:p w14:paraId="4CA6DD3F" w14:textId="77777777" w:rsidR="00FF4904" w:rsidRDefault="00FF4904" w:rsidP="00FF490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"http://webupload.admin.dongao.com/biz/handout/img/2019/20190508/20190508093658648003.png"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345.75pt;height:177pt">
            <v:imagedata r:id="rId11" r:href="rId12"/>
          </v:shape>
        </w:pict>
      </w:r>
      <w:r>
        <w:rPr>
          <w:rFonts w:ascii="Calibri" w:eastAsia="微软雅黑" w:hAnsi="Calibri" w:cs="Calibri"/>
          <w:color w:val="3F3F3F"/>
          <w:sz w:val="21"/>
          <w:szCs w:val="21"/>
        </w:rPr>
        <w:fldChar w:fldCharType="end"/>
      </w:r>
    </w:p>
    <w:p w14:paraId="38828E68"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（4）将应当及时确认损益的费用性支出</w:t>
      </w:r>
      <w:r>
        <w:rPr>
          <w:rFonts w:cs="Calibri" w:hint="eastAsia"/>
          <w:b/>
          <w:bCs/>
          <w:color w:val="FF0000"/>
          <w:sz w:val="21"/>
          <w:szCs w:val="21"/>
        </w:rPr>
        <w:t>资本化</w:t>
      </w:r>
      <w:r>
        <w:rPr>
          <w:rFonts w:cs="Calibri" w:hint="eastAsia"/>
          <w:color w:val="3F3F3F"/>
          <w:sz w:val="21"/>
          <w:szCs w:val="21"/>
        </w:rPr>
        <w:t>。</w:t>
      </w:r>
    </w:p>
    <w:p w14:paraId="039E016E" w14:textId="77777777" w:rsidR="00FF4904" w:rsidRDefault="00FF4904" w:rsidP="00FF490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"http://webupload.admin.dongao.com/biz/handout/img/2019/20190508/20190508093658138004.png"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350.25pt;height:148.5pt">
            <v:imagedata r:id="rId13" r:href="rId14"/>
          </v:shape>
        </w:pict>
      </w:r>
      <w:r>
        <w:rPr>
          <w:rFonts w:ascii="Calibri" w:eastAsia="微软雅黑" w:hAnsi="Calibri" w:cs="Calibri"/>
          <w:color w:val="3F3F3F"/>
          <w:sz w:val="21"/>
          <w:szCs w:val="21"/>
        </w:rPr>
        <w:fldChar w:fldCharType="end"/>
      </w:r>
    </w:p>
    <w:p w14:paraId="5FA97DAD"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2.错报负债费用支出</w:t>
      </w:r>
    </w:p>
    <w:p w14:paraId="04472FD7"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（1）利用关联方间的费用定价优势制造虚假的收益增长趋势；</w:t>
      </w:r>
    </w:p>
    <w:p w14:paraId="3A03045A"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（2）被审计单位管理层把私人费用计入企业费用。</w:t>
      </w:r>
    </w:p>
    <w:p w14:paraId="20CAC1D8"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3.舞弊和盗窃的固有风险</w:t>
      </w:r>
    </w:p>
    <w:p w14:paraId="1D7B4A72"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（1）采购商品的数量及支付的款项庞大，交易复杂，容易造成商品发运错误，员工和客户发生舞弊和盗窃的风险较高。</w:t>
      </w:r>
    </w:p>
    <w:p w14:paraId="1DE3BC20"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（2）通过在应付账款主文档中擅自添加新的账户来虚构采购交易。</w:t>
      </w:r>
    </w:p>
    <w:p w14:paraId="44B4E0C1" w14:textId="77777777" w:rsidR="00FF4904" w:rsidRDefault="00FF4904" w:rsidP="00FF490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二、以风险为起点的控制测试</w:t>
      </w:r>
    </w:p>
    <w:p w14:paraId="6A1F30BD"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【小金敲黑板】</w:t>
      </w:r>
    </w:p>
    <w:p w14:paraId="499DC0B0"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教材表10-4内容量大，而在应试方面，考题通常不会机械性“照搬”原文，而是会根据不同案例背景设定不同的内部控制和审计程序，要求考生阅读理解、指错和改错。因此，我们选择其中</w:t>
      </w:r>
      <w:r>
        <w:rPr>
          <w:rFonts w:cs="Calibri" w:hint="eastAsia"/>
          <w:b/>
          <w:bCs/>
          <w:color w:val="FF0000"/>
          <w:sz w:val="21"/>
          <w:szCs w:val="21"/>
        </w:rPr>
        <w:t>可考性较强</w:t>
      </w:r>
      <w:r>
        <w:rPr>
          <w:rFonts w:cs="Calibri" w:hint="eastAsia"/>
          <w:color w:val="3F3F3F"/>
          <w:sz w:val="21"/>
          <w:szCs w:val="21"/>
        </w:rPr>
        <w:t>的部分进行讲解，学习时需要注意：</w:t>
      </w:r>
    </w:p>
    <w:p w14:paraId="43F60DB5"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a)理解注册会计师执行控制测试的基本原理和常见纰漏；</w:t>
      </w:r>
    </w:p>
    <w:p w14:paraId="5178B690"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b)掌握对与</w:t>
      </w:r>
      <w:r>
        <w:rPr>
          <w:rFonts w:cs="Calibri" w:hint="eastAsia"/>
          <w:b/>
          <w:bCs/>
          <w:color w:val="FF0000"/>
          <w:sz w:val="21"/>
          <w:szCs w:val="21"/>
        </w:rPr>
        <w:t>签字、复核、审批</w:t>
      </w:r>
      <w:r>
        <w:rPr>
          <w:rFonts w:cs="Calibri" w:hint="eastAsia"/>
          <w:color w:val="3F3F3F"/>
          <w:sz w:val="21"/>
          <w:szCs w:val="21"/>
        </w:rPr>
        <w:t>相关控制的测试方法；</w:t>
      </w:r>
    </w:p>
    <w:p w14:paraId="1F009C0A"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c)注重举一反三和触类旁通；</w:t>
      </w:r>
    </w:p>
    <w:p w14:paraId="756EEA6B"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b/>
          <w:bCs/>
          <w:color w:val="FF0000"/>
          <w:sz w:val="21"/>
          <w:szCs w:val="21"/>
        </w:rPr>
        <w:t>记笔记</w:t>
      </w:r>
      <w:r>
        <w:rPr>
          <w:rFonts w:cs="Calibri" w:hint="eastAsia"/>
          <w:color w:val="3F3F3F"/>
          <w:sz w:val="21"/>
          <w:szCs w:val="21"/>
        </w:rPr>
        <w:t>，标注易考点和易错点。</w:t>
      </w:r>
    </w:p>
    <w:tbl>
      <w:tblPr>
        <w:tblW w:w="8500" w:type="dxa"/>
        <w:jc w:val="center"/>
        <w:tblCellMar>
          <w:left w:w="0" w:type="dxa"/>
          <w:right w:w="0" w:type="dxa"/>
        </w:tblCellMar>
        <w:tblLook w:val="04A0" w:firstRow="1" w:lastRow="0" w:firstColumn="1" w:lastColumn="0" w:noHBand="0" w:noVBand="1"/>
      </w:tblPr>
      <w:tblGrid>
        <w:gridCol w:w="1020"/>
        <w:gridCol w:w="1360"/>
        <w:gridCol w:w="1700"/>
        <w:gridCol w:w="1820"/>
        <w:gridCol w:w="2600"/>
      </w:tblGrid>
      <w:tr w:rsidR="00FF4904" w14:paraId="1257C0AD" w14:textId="77777777" w:rsidTr="00FF4904">
        <w:trPr>
          <w:trHeight w:val="451"/>
          <w:jc w:val="center"/>
        </w:trPr>
        <w:tc>
          <w:tcPr>
            <w:tcW w:w="1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241351"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13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05DB6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c>
          <w:tcPr>
            <w:tcW w:w="1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BFA5A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自动化控制</w:t>
            </w:r>
          </w:p>
        </w:tc>
        <w:tc>
          <w:tcPr>
            <w:tcW w:w="18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422B2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人工控制</w:t>
            </w:r>
          </w:p>
        </w:tc>
        <w:tc>
          <w:tcPr>
            <w:tcW w:w="2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97ED90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内部控制测试程序</w:t>
            </w:r>
          </w:p>
        </w:tc>
      </w:tr>
      <w:tr w:rsidR="00FF4904" w14:paraId="3735994B" w14:textId="77777777" w:rsidTr="00FF4904">
        <w:trPr>
          <w:trHeight w:val="2542"/>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876113"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新增供应商或供应商信息变更未经恰当的认证</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3E088"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存货存在</w:t>
            </w:r>
          </w:p>
          <w:p w14:paraId="60E997F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7C77173F"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其他费用</w:t>
            </w:r>
          </w:p>
          <w:p w14:paraId="7FC3C125"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p w14:paraId="13D5B2F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084041D8"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应付账款</w:t>
            </w:r>
          </w:p>
          <w:p w14:paraId="242ABC35"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314B3"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采购订单上的供应商代码必须在系统供应商清单中存在</w:t>
            </w:r>
            <w:r>
              <w:rPr>
                <w:rFonts w:cs="Calibri" w:hint="eastAsia"/>
                <w:b/>
                <w:bCs/>
                <w:color w:val="FF0000"/>
                <w:sz w:val="21"/>
                <w:szCs w:val="21"/>
              </w:rPr>
              <w:t>匹配的代码</w:t>
            </w:r>
            <w:r>
              <w:rPr>
                <w:rFonts w:cs="Calibri" w:hint="eastAsia"/>
                <w:color w:val="333333"/>
                <w:sz w:val="21"/>
                <w:szCs w:val="21"/>
              </w:rPr>
              <w:t>，才能生效并发送供应商</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DC988"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复核人</w:t>
            </w:r>
            <w:r>
              <w:rPr>
                <w:rFonts w:cs="Calibri" w:hint="eastAsia"/>
                <w:b/>
                <w:bCs/>
                <w:color w:val="FF0000"/>
                <w:sz w:val="21"/>
                <w:szCs w:val="21"/>
              </w:rPr>
              <w:t>复核并批准</w:t>
            </w:r>
            <w:r>
              <w:rPr>
                <w:rFonts w:cs="Calibri" w:hint="eastAsia"/>
                <w:color w:val="333333"/>
                <w:sz w:val="21"/>
                <w:szCs w:val="21"/>
              </w:rPr>
              <w:t>每一对供应商数据的变更请求，包括供应商地址或银行账户的变更以及新增供应商等</w:t>
            </w:r>
          </w:p>
        </w:tc>
        <w:tc>
          <w:tcPr>
            <w:tcW w:w="2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E92A38"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（1）询问复核人复核供应商数据变更请求的过程</w:t>
            </w:r>
          </w:p>
          <w:p w14:paraId="70056894"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（2）抽样检查变更需求是否有相关文件支持及有复核人的复核确认</w:t>
            </w:r>
          </w:p>
          <w:p w14:paraId="1A89E57C"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（3）检查系统中采购订单的生成逻辑</w:t>
            </w:r>
          </w:p>
        </w:tc>
      </w:tr>
      <w:tr w:rsidR="00FF4904" w14:paraId="097363BE" w14:textId="77777777" w:rsidTr="00FF4904">
        <w:trPr>
          <w:trHeight w:val="4108"/>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46A485"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采购订单与有效的请购单不符</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246B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19002131"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3506238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p w14:paraId="478EAE64"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47C507D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其他费用</w:t>
            </w:r>
          </w:p>
          <w:p w14:paraId="6CC9E6C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p w14:paraId="18A7DBF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w:t>
            </w:r>
          </w:p>
          <w:p w14:paraId="7AAEE4C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228A9F4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应付账款</w:t>
            </w:r>
          </w:p>
          <w:p w14:paraId="3B0D0E48"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7EE9AF6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FBEF8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218695"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（1）复核人复核采购订单是否有经适当权限人员签署的请购单支持</w:t>
            </w:r>
          </w:p>
          <w:p w14:paraId="5A34C8DC"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（2）复核人确认采购订单的价格与供应商协商一致且该供应商已通过审批</w:t>
            </w:r>
          </w:p>
        </w:tc>
        <w:tc>
          <w:tcPr>
            <w:tcW w:w="2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0A8BBF"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（1）询问复核人复核采购订单的过程，包括复核人提出的问题及其跟进记录</w:t>
            </w:r>
          </w:p>
          <w:p w14:paraId="4D9FE079"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（2）抽样检查采购订单是否有对应的请购单及复核人签署确认</w:t>
            </w:r>
          </w:p>
        </w:tc>
      </w:tr>
      <w:tr w:rsidR="00FF4904" w14:paraId="7E82836A" w14:textId="77777777" w:rsidTr="00FF4904">
        <w:trPr>
          <w:trHeight w:val="3657"/>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C62513"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接收了缺乏有效采购订单或未经验收的商品</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89147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应付账款</w:t>
            </w:r>
          </w:p>
          <w:p w14:paraId="3BE29C14"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7F8A815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7F9174F1"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0A404F8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6038431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6971A629"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48005B9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50C5C05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其他费用</w:t>
            </w:r>
          </w:p>
          <w:p w14:paraId="4D717ED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p w14:paraId="161BA36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92B3E"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入库确认后，系统生成连续编号的入库单</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DCCE87"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收货人员只有完成以下程序后才能在系统中确认商品入库：</w:t>
            </w:r>
          </w:p>
          <w:p w14:paraId="51EBE530"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（1）检查是否存在有效的采购订单</w:t>
            </w:r>
          </w:p>
          <w:p w14:paraId="61C43B9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（2）检查是否存在有效的验收单</w:t>
            </w:r>
          </w:p>
          <w:p w14:paraId="402F62A1"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（3）检查收到的货物的数量是否与发货单一致</w:t>
            </w:r>
          </w:p>
        </w:tc>
        <w:tc>
          <w:tcPr>
            <w:tcW w:w="2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E7929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（1）检查系统入库单编号的连续性</w:t>
            </w:r>
          </w:p>
          <w:p w14:paraId="72F00F29"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（2）询问收货人员的收货过程，抽样检查入库单是否有对应一致的采购订单及验收单</w:t>
            </w:r>
          </w:p>
        </w:tc>
      </w:tr>
      <w:tr w:rsidR="00FF4904" w14:paraId="15E28D3A" w14:textId="77777777" w:rsidTr="00FF4904">
        <w:trPr>
          <w:trHeight w:val="3676"/>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F86C85"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临近会计期末的采购未被记录在正确的会计期间</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823A1"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应付账款</w:t>
            </w:r>
          </w:p>
          <w:p w14:paraId="3E2B8DF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27F1F23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07E68F7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33197289"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724BCA1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609573EE"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608D50B1"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285D915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其他费用</w:t>
            </w:r>
          </w:p>
          <w:p w14:paraId="289D4D7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p w14:paraId="35B16AB4"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575620"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系统每月末生成包含所有已收货但相关发票未录入系统货物信息的例外报告</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0088E"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复核人复核该例外报告中的项目，确定采购是否被记录在正确的期间以及负债计提是否有效</w:t>
            </w:r>
          </w:p>
        </w:tc>
        <w:tc>
          <w:tcPr>
            <w:tcW w:w="2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A4FE08"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（1）检查系统例外报告的生成逻辑</w:t>
            </w:r>
          </w:p>
          <w:p w14:paraId="77B27FED"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（2）询问复核人对报告的复核过程，核对报告中的采购是否计提了相应负债，检查复核人的签署确认</w:t>
            </w:r>
          </w:p>
        </w:tc>
      </w:tr>
      <w:tr w:rsidR="00FF4904" w14:paraId="772EE37C" w14:textId="77777777" w:rsidTr="00FF4904">
        <w:trPr>
          <w:trHeight w:val="3529"/>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50B3B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批准付款的发票上存在价格、数量错误或劳务尚未提供的情形</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0BAF4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应付账款</w:t>
            </w:r>
          </w:p>
          <w:p w14:paraId="494F0B6F"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78766B5A"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p w14:paraId="72014737"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3615FBFF"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0471389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069488E5"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5467B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当入库单录入系统后，系统将其与采购订单进行</w:t>
            </w:r>
            <w:r>
              <w:rPr>
                <w:rFonts w:cs="Calibri" w:hint="eastAsia"/>
                <w:b/>
                <w:bCs/>
                <w:color w:val="FF0000"/>
                <w:sz w:val="21"/>
                <w:szCs w:val="21"/>
              </w:rPr>
              <w:t>核对</w:t>
            </w:r>
            <w:r>
              <w:rPr>
                <w:rFonts w:cs="Calibri" w:hint="eastAsia"/>
                <w:color w:val="333333"/>
                <w:sz w:val="21"/>
                <w:szCs w:val="21"/>
              </w:rPr>
              <w:t>。当发票录入系统后，系统将其详细信息与采购订单及入库单进行</w:t>
            </w:r>
            <w:r>
              <w:rPr>
                <w:rFonts w:cs="Calibri" w:hint="eastAsia"/>
                <w:b/>
                <w:bCs/>
                <w:color w:val="FF0000"/>
                <w:sz w:val="21"/>
                <w:szCs w:val="21"/>
              </w:rPr>
              <w:t>核对</w:t>
            </w:r>
            <w:r>
              <w:rPr>
                <w:rFonts w:cs="Calibri" w:hint="eastAsia"/>
                <w:color w:val="333333"/>
                <w:sz w:val="21"/>
                <w:szCs w:val="21"/>
              </w:rPr>
              <w:t>。对不符事项生成例外报告</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1BF654"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负责应付账款且无职责冲突的人员负责跟进</w:t>
            </w:r>
            <w:r>
              <w:rPr>
                <w:rFonts w:cs="Calibri" w:hint="eastAsia"/>
                <w:b/>
                <w:bCs/>
                <w:color w:val="FF0000"/>
                <w:sz w:val="21"/>
                <w:szCs w:val="21"/>
              </w:rPr>
              <w:t>例外报告</w:t>
            </w:r>
            <w:r>
              <w:rPr>
                <w:rFonts w:cs="Calibri" w:hint="eastAsia"/>
                <w:color w:val="333333"/>
                <w:sz w:val="21"/>
                <w:szCs w:val="21"/>
              </w:rPr>
              <w:t>中的所有项目。仅当不符信息从例外报告中消除后发票才可以付款</w:t>
            </w:r>
          </w:p>
        </w:tc>
        <w:tc>
          <w:tcPr>
            <w:tcW w:w="2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C5D15B"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（1）检查系统报告的生成逻辑</w:t>
            </w:r>
          </w:p>
          <w:p w14:paraId="3EFD458F"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（2）与复核人讨论其复核过程，抽样选取例外报告。</w:t>
            </w:r>
            <w:r>
              <w:rPr>
                <w:rFonts w:cs="Calibri" w:hint="eastAsia"/>
                <w:b/>
                <w:bCs/>
                <w:color w:val="FF0000"/>
                <w:sz w:val="21"/>
                <w:szCs w:val="21"/>
              </w:rPr>
              <w:t>检查是否存在复核的证据</w:t>
            </w:r>
            <w:r>
              <w:rPr>
                <w:rFonts w:cs="Calibri" w:hint="eastAsia"/>
                <w:color w:val="333333"/>
                <w:sz w:val="21"/>
                <w:szCs w:val="21"/>
              </w:rPr>
              <w:t>、复核人提出问题的跟进是否适当等</w:t>
            </w:r>
          </w:p>
          <w:p w14:paraId="15624CF4"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（3）抽样选取采购发票，检查是否与入库单和采购订单所记载的价格、供应商、日期、描述及数量一致</w:t>
            </w:r>
          </w:p>
        </w:tc>
      </w:tr>
    </w:tbl>
    <w:p w14:paraId="5CDA0AC0" w14:textId="77777777" w:rsidR="00FF4904" w:rsidRDefault="00FF4904" w:rsidP="00FF490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综合题【改编自2014年真题】</w:t>
      </w:r>
    </w:p>
    <w:p w14:paraId="33DB4796"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要求：假定不考虑其他条件，指出A注册会计师的处理是否恰当。如不恰当，简要说明理由。</w:t>
      </w:r>
    </w:p>
    <w:p w14:paraId="7E56052E"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甲集团公司将经批准的合格供应商信息录入信息系统形成供应商主文档，生产部员工在信息系统中填制连续编号的请购单时只能选择该主文档中的供应商。供应商的变动需由采购部经理批准，并由其在系统中更新供应商主文档。A注册会计师认为该内部控制设计合理，拟予以信赖。</w:t>
      </w:r>
    </w:p>
    <w:p w14:paraId="45119EAF"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生产部员工根据生产需求，在现有库存达到再订购点时提出采购申请，编制的请购单经过生产部门经理批准后，送交采购部门，采购部门根据需求向供应商采购并组织验收，验收合格后送交生产部门使用。A注册会计师认为该内部控制设计合理，拟予以信赖。</w:t>
      </w:r>
    </w:p>
    <w:p w14:paraId="50018BD8"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959"/>
        <w:gridCol w:w="1647"/>
        <w:gridCol w:w="5899"/>
      </w:tblGrid>
      <w:tr w:rsidR="00FF4904" w14:paraId="3A310903" w14:textId="77777777" w:rsidTr="00FF4904">
        <w:trPr>
          <w:trHeight w:val="407"/>
          <w:jc w:val="center"/>
        </w:trPr>
        <w:tc>
          <w:tcPr>
            <w:tcW w:w="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5EC95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16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5FE434"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是否恰当</w:t>
            </w:r>
          </w:p>
        </w:tc>
        <w:tc>
          <w:tcPr>
            <w:tcW w:w="58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C27C8D"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FF4904" w14:paraId="7288625A" w14:textId="77777777" w:rsidTr="00FF4904">
        <w:trPr>
          <w:trHeight w:val="1036"/>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337F2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A0A999"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970430"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对供应商信息修改的批准和录入是两项不相容职责/均由采购部经理执行，未设置恰当的职责分离，该项控制设计不合理，不应当予以信赖</w:t>
            </w:r>
          </w:p>
        </w:tc>
      </w:tr>
      <w:tr w:rsidR="00FF4904" w14:paraId="343D382C" w14:textId="77777777" w:rsidTr="00FF4904">
        <w:trPr>
          <w:trHeight w:val="1125"/>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3215E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E7903"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F52FF3"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采购和验收是两项不相容职责/采购部门向供应商采购并组织验收，未设置恰当的职责分离，该项控制设计不合理，不应当予以信赖</w:t>
            </w:r>
          </w:p>
        </w:tc>
      </w:tr>
    </w:tbl>
    <w:p w14:paraId="2BA0C0FC" w14:textId="77777777" w:rsidR="00FF4904" w:rsidRDefault="00FF4904" w:rsidP="00FF490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综合题【改编自2014年真题】</w:t>
      </w:r>
    </w:p>
    <w:p w14:paraId="51184495"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要求：假定不考虑其他条件，指出A注册会计师的处理是否恰当。如不恰当，提出改进意见。</w:t>
      </w:r>
    </w:p>
    <w:tbl>
      <w:tblPr>
        <w:tblW w:w="8505" w:type="dxa"/>
        <w:jc w:val="center"/>
        <w:tblCellMar>
          <w:left w:w="0" w:type="dxa"/>
          <w:right w:w="0" w:type="dxa"/>
        </w:tblCellMar>
        <w:tblLook w:val="04A0" w:firstRow="1" w:lastRow="0" w:firstColumn="1" w:lastColumn="0" w:noHBand="0" w:noVBand="1"/>
      </w:tblPr>
      <w:tblGrid>
        <w:gridCol w:w="1063"/>
        <w:gridCol w:w="3669"/>
        <w:gridCol w:w="3773"/>
      </w:tblGrid>
      <w:tr w:rsidR="00FF4904" w14:paraId="36B4EA63" w14:textId="77777777" w:rsidTr="00FF4904">
        <w:trPr>
          <w:trHeight w:val="465"/>
          <w:jc w:val="center"/>
        </w:trPr>
        <w:tc>
          <w:tcPr>
            <w:tcW w:w="10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0BFB72"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BA0CC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控制活动</w:t>
            </w:r>
          </w:p>
        </w:tc>
        <w:tc>
          <w:tcPr>
            <w:tcW w:w="37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89B36B"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控制测试</w:t>
            </w:r>
          </w:p>
        </w:tc>
      </w:tr>
      <w:tr w:rsidR="00FF4904" w14:paraId="7176E89A" w14:textId="77777777" w:rsidTr="00FF4904">
        <w:trPr>
          <w:trHeight w:val="1315"/>
          <w:jc w:val="center"/>
        </w:trPr>
        <w:tc>
          <w:tcPr>
            <w:tcW w:w="10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909BA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36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AF23C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采购人员将新增供应商信息表递交至采购部高级经理处，审批通过后由系统管理员录入供应商主文档</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FCCDFC"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注册会计师抽取了本期若干新增供应商信息表，检查是否经过采购部高级经理审批</w:t>
            </w:r>
          </w:p>
        </w:tc>
      </w:tr>
      <w:tr w:rsidR="00FF4904" w14:paraId="0ED6ADD5" w14:textId="77777777" w:rsidTr="00FF4904">
        <w:trPr>
          <w:trHeight w:val="1419"/>
          <w:jc w:val="center"/>
        </w:trPr>
        <w:tc>
          <w:tcPr>
            <w:tcW w:w="10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C654A7"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36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AA7C7C"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验收人员在收到商品时在系统中填写入库通知单，计算机将入库通知单与订购单进行比对，对不符事项形成例外报告，并进行后续处理</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767797"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注册会计师询问验收人员，以获取本期系统是否生成例外报告的证据</w:t>
            </w:r>
          </w:p>
        </w:tc>
      </w:tr>
      <w:tr w:rsidR="00FF4904" w14:paraId="2800ED46" w14:textId="77777777" w:rsidTr="00FF4904">
        <w:trPr>
          <w:trHeight w:val="1269"/>
          <w:jc w:val="center"/>
        </w:trPr>
        <w:tc>
          <w:tcPr>
            <w:tcW w:w="10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D76CEA"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36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7A311D"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财务人员将原材料订购单、供应商发票和入库单核对一致后，编制记账凭证(附上述单据)并签字确认</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BAF2C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注册会计师抽取了本期若干记账凭证及附件，检查是否经财务人员签字</w:t>
            </w:r>
          </w:p>
        </w:tc>
      </w:tr>
      <w:tr w:rsidR="00FF4904" w14:paraId="2728F899" w14:textId="77777777" w:rsidTr="00FF4904">
        <w:trPr>
          <w:trHeight w:val="1245"/>
          <w:jc w:val="center"/>
        </w:trPr>
        <w:tc>
          <w:tcPr>
            <w:tcW w:w="10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9B719E"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36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629669"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财务总监负责审批金额超过50万元的付款申请单，并在系统中进行电子签署</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311614"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注册会计师从系统中导出本期已经财务总监审批的付款申请单，抽取样本进行检查</w:t>
            </w:r>
          </w:p>
        </w:tc>
      </w:tr>
    </w:tbl>
    <w:p w14:paraId="69D5DEAB" w14:textId="77777777" w:rsidR="00FF4904" w:rsidRDefault="00FF4904" w:rsidP="00FF490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959"/>
        <w:gridCol w:w="1647"/>
        <w:gridCol w:w="5899"/>
      </w:tblGrid>
      <w:tr w:rsidR="00FF4904" w14:paraId="160BC02F" w14:textId="77777777" w:rsidTr="00FF4904">
        <w:trPr>
          <w:trHeight w:val="392"/>
          <w:jc w:val="center"/>
        </w:trPr>
        <w:tc>
          <w:tcPr>
            <w:tcW w:w="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CC4533"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16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8791C3"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是否恰当</w:t>
            </w:r>
          </w:p>
        </w:tc>
        <w:tc>
          <w:tcPr>
            <w:tcW w:w="58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EFD6AF"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FF4904" w14:paraId="3EFA6D5E" w14:textId="77777777" w:rsidTr="00FF4904">
        <w:trPr>
          <w:trHeight w:val="693"/>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D87EE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A1840"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D11409"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注册会计师还应检查新增供应商信息是否准确、完整地录入系统</w:t>
            </w:r>
          </w:p>
        </w:tc>
      </w:tr>
      <w:tr w:rsidR="00FF4904" w14:paraId="048E7297" w14:textId="77777777" w:rsidTr="00FF4904">
        <w:trPr>
          <w:trHeight w:val="1113"/>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428FA8"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8DF813"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72B4CA"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仅通过询问程序无法获取充分适当的审计证据，注册会计师还应检查被授权人员对例外报告的复核，以及是否对不符事项进行了恰当的处理</w:t>
            </w:r>
          </w:p>
        </w:tc>
      </w:tr>
      <w:tr w:rsidR="00FF4904" w14:paraId="4B9E9B51" w14:textId="77777777" w:rsidTr="00FF4904">
        <w:trPr>
          <w:trHeight w:val="869"/>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CED01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11D5E8"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47C6B3"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注册会计师还应当对记账凭证后附的原材料订购单、供应商发票和入库单进行检查</w:t>
            </w:r>
          </w:p>
        </w:tc>
      </w:tr>
      <w:tr w:rsidR="00FF4904" w14:paraId="6FA51C27" w14:textId="77777777" w:rsidTr="00FF4904">
        <w:trPr>
          <w:trHeight w:val="674"/>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B9478C"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16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A8686" w14:textId="77777777" w:rsidR="00FF4904" w:rsidRDefault="00FF4904" w:rsidP="00FF490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079327" w14:textId="77777777" w:rsidR="00FF4904" w:rsidRDefault="00FF4904" w:rsidP="00FF490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控制测试的总体应为所有金额超过50万元的付款申请单</w:t>
            </w:r>
          </w:p>
        </w:tc>
      </w:tr>
    </w:tbl>
    <w:p w14:paraId="2C35EDF8" w14:textId="77777777" w:rsidR="00FF4904" w:rsidRDefault="00FF4904" w:rsidP="00FF490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【小金敲黑板】</w:t>
      </w:r>
    </w:p>
    <w:p w14:paraId="2BF708DB"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通过本题，考生应当总结出以下四点解题方法：</w:t>
      </w:r>
    </w:p>
    <w:p w14:paraId="3F1B7128"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a)将控制活动的描述</w:t>
      </w:r>
      <w:r>
        <w:rPr>
          <w:rFonts w:cs="Calibri" w:hint="eastAsia"/>
          <w:b/>
          <w:bCs/>
          <w:color w:val="FF0000"/>
          <w:sz w:val="21"/>
          <w:szCs w:val="21"/>
        </w:rPr>
        <w:t>拆分</w:t>
      </w:r>
      <w:r>
        <w:rPr>
          <w:rFonts w:cs="Calibri" w:hint="eastAsia"/>
          <w:color w:val="3F3F3F"/>
          <w:sz w:val="21"/>
          <w:szCs w:val="21"/>
        </w:rPr>
        <w:t>为具体控制要点，并识别出其中的</w:t>
      </w:r>
      <w:r>
        <w:rPr>
          <w:rFonts w:cs="Calibri" w:hint="eastAsia"/>
          <w:b/>
          <w:bCs/>
          <w:color w:val="FF0000"/>
          <w:sz w:val="21"/>
          <w:szCs w:val="21"/>
        </w:rPr>
        <w:t>关键性凭证</w:t>
      </w:r>
      <w:r>
        <w:rPr>
          <w:rFonts w:cs="Calibri" w:hint="eastAsia"/>
          <w:color w:val="3F3F3F"/>
          <w:sz w:val="21"/>
          <w:szCs w:val="21"/>
        </w:rPr>
        <w:t>；</w:t>
      </w:r>
    </w:p>
    <w:p w14:paraId="1AD0DCD5"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b)“反观”控制测试是否</w:t>
      </w:r>
      <w:r>
        <w:rPr>
          <w:rFonts w:cs="Calibri" w:hint="eastAsia"/>
          <w:b/>
          <w:bCs/>
          <w:color w:val="FF0000"/>
          <w:sz w:val="21"/>
          <w:szCs w:val="21"/>
        </w:rPr>
        <w:t>覆盖</w:t>
      </w:r>
      <w:r>
        <w:rPr>
          <w:rFonts w:cs="Calibri" w:hint="eastAsia"/>
          <w:color w:val="3F3F3F"/>
          <w:sz w:val="21"/>
          <w:szCs w:val="21"/>
        </w:rPr>
        <w:t>了上述要点，是否</w:t>
      </w:r>
      <w:r>
        <w:rPr>
          <w:rFonts w:cs="Calibri" w:hint="eastAsia"/>
          <w:b/>
          <w:bCs/>
          <w:color w:val="FF0000"/>
          <w:sz w:val="21"/>
          <w:szCs w:val="21"/>
        </w:rPr>
        <w:t>涉及</w:t>
      </w:r>
      <w:r>
        <w:rPr>
          <w:rFonts w:cs="Calibri" w:hint="eastAsia"/>
          <w:color w:val="3F3F3F"/>
          <w:sz w:val="21"/>
          <w:szCs w:val="21"/>
        </w:rPr>
        <w:t>了对关键性凭证的抽查；</w:t>
      </w:r>
    </w:p>
    <w:p w14:paraId="59B48DED"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c)对于形成签字的控制点，控制测试</w:t>
      </w:r>
      <w:r>
        <w:rPr>
          <w:rFonts w:cs="Calibri" w:hint="eastAsia"/>
          <w:b/>
          <w:bCs/>
          <w:color w:val="FF0000"/>
          <w:sz w:val="21"/>
          <w:szCs w:val="21"/>
        </w:rPr>
        <w:t>不能局限</w:t>
      </w:r>
      <w:r>
        <w:rPr>
          <w:rFonts w:cs="Calibri" w:hint="eastAsia"/>
          <w:color w:val="3F3F3F"/>
          <w:sz w:val="21"/>
          <w:szCs w:val="21"/>
        </w:rPr>
        <w:t>于检查签字的外在形式，而要究其本质，验证复核过程和检查相关支持性凭证；</w:t>
      </w:r>
    </w:p>
    <w:p w14:paraId="7EB59FED" w14:textId="77777777" w:rsidR="00FF4904" w:rsidRDefault="00FF4904" w:rsidP="00FF490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d)注意控制测试的</w:t>
      </w:r>
      <w:r>
        <w:rPr>
          <w:rFonts w:cs="Calibri" w:hint="eastAsia"/>
          <w:b/>
          <w:bCs/>
          <w:color w:val="FF0000"/>
          <w:sz w:val="21"/>
          <w:szCs w:val="21"/>
        </w:rPr>
        <w:t>总体</w:t>
      </w:r>
      <w:r>
        <w:rPr>
          <w:rFonts w:cs="Calibri" w:hint="eastAsia"/>
          <w:color w:val="3F3F3F"/>
          <w:sz w:val="21"/>
          <w:szCs w:val="21"/>
        </w:rPr>
        <w:t>是否适当。</w:t>
      </w:r>
    </w:p>
    <w:p w14:paraId="18C53758" w14:textId="77777777" w:rsidR="00FF4904" w:rsidRDefault="00FF4904" w:rsidP="00FF490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0E8E257" w14:textId="77777777" w:rsidR="00FF4904" w:rsidRDefault="00FF4904" w:rsidP="00FF490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"http://webupload.admin.dongao.com/biz/handout/img/2019/20190508/20190508093658214005.png"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02.5pt">
            <v:imagedata r:id="rId15" r:href="rId16"/>
          </v:shape>
        </w:pict>
      </w:r>
      <w:r>
        <w:rPr>
          <w:rFonts w:ascii="Calibri" w:eastAsia="微软雅黑" w:hAnsi="Calibri" w:cs="Calibri"/>
          <w:color w:val="3F3F3F"/>
          <w:sz w:val="21"/>
          <w:szCs w:val="21"/>
        </w:rPr>
        <w:fldChar w:fldCharType="end"/>
      </w:r>
    </w:p>
    <w:p w14:paraId="6140065C" w14:textId="77777777" w:rsidR="00FF4904" w:rsidRDefault="00FF4904" w:rsidP="00FF4904">
      <w:pPr>
        <w:shd w:val="clear" w:color="auto" w:fill="FFFFFF"/>
        <w:rPr>
          <w:rFonts w:ascii="微软雅黑" w:eastAsia="微软雅黑" w:hAnsi="微软雅黑" w:cs="宋体"/>
          <w:color w:val="3F3F3F"/>
          <w:szCs w:val="21"/>
        </w:rPr>
      </w:pPr>
    </w:p>
    <w:p w14:paraId="7040E0B2" w14:textId="77777777" w:rsidR="00271D8C" w:rsidRPr="00FF4904" w:rsidRDefault="00271D8C" w:rsidP="00FF4904">
      <w:pPr>
        <w:rPr>
          <w:rFonts w:hint="eastAsia"/>
        </w:rPr>
      </w:pPr>
    </w:p>
    <w:sectPr w:rsidR="00271D8C" w:rsidRPr="00FF4904"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47A93" w14:textId="77777777" w:rsidR="0026358F" w:rsidRDefault="0026358F" w:rsidP="00CD53C5">
      <w:r>
        <w:separator/>
      </w:r>
    </w:p>
  </w:endnote>
  <w:endnote w:type="continuationSeparator" w:id="0">
    <w:p w14:paraId="47D1355B" w14:textId="77777777" w:rsidR="0026358F" w:rsidRDefault="0026358F"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56EEB242" w14:textId="77777777" w:rsidTr="007B0BFD">
      <w:trPr>
        <w:trHeight w:val="274"/>
      </w:trPr>
      <w:tc>
        <w:tcPr>
          <w:tcW w:w="2050" w:type="dxa"/>
          <w:shd w:val="clear" w:color="auto" w:fill="auto"/>
          <w:vAlign w:val="center"/>
        </w:tcPr>
        <w:p w14:paraId="19685AC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536FA0D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C795CEC"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E3976CE"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8EE60" w14:textId="77777777" w:rsidR="0026358F" w:rsidRDefault="0026358F" w:rsidP="00CD53C5">
      <w:r>
        <w:separator/>
      </w:r>
    </w:p>
  </w:footnote>
  <w:footnote w:type="continuationSeparator" w:id="0">
    <w:p w14:paraId="708F33AD" w14:textId="77777777" w:rsidR="0026358F" w:rsidRDefault="0026358F"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961E464" w14:textId="77777777" w:rsidTr="007B0BFD">
      <w:trPr>
        <w:trHeight w:val="501"/>
      </w:trPr>
      <w:tc>
        <w:tcPr>
          <w:tcW w:w="4272" w:type="dxa"/>
          <w:shd w:val="clear" w:color="auto" w:fill="auto"/>
          <w:vAlign w:val="center"/>
        </w:tcPr>
        <w:p w14:paraId="47713182" w14:textId="77777777" w:rsidR="001545C6" w:rsidRPr="001F62DD" w:rsidRDefault="00FF4904"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C851ACC" w14:textId="77777777" w:rsidR="001545C6" w:rsidRPr="004D61E7" w:rsidRDefault="00FF4904"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第十章</w:t>
          </w:r>
          <w:r>
            <w:rPr>
              <w:rFonts w:ascii="微软雅黑" w:eastAsia="微软雅黑" w:hAnsi="微软雅黑"/>
              <w:sz w:val="24"/>
              <w:szCs w:val="24"/>
            </w:rPr>
            <w:t>+采购与付款循环的审计</w:t>
          </w:r>
        </w:p>
      </w:tc>
    </w:tr>
  </w:tbl>
  <w:p w14:paraId="3B83B9D4"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6358F"/>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64A3"/>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F4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3F6921"/>
  <w15:docId w15:val="{F11D5E1B-E751-42E5-BC6B-97FFA84D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879775450">
      <w:bodyDiv w:val="1"/>
      <w:marLeft w:val="0"/>
      <w:marRight w:val="0"/>
      <w:marTop w:val="0"/>
      <w:marBottom w:val="0"/>
      <w:divBdr>
        <w:top w:val="none" w:sz="0" w:space="0" w:color="auto"/>
        <w:left w:val="none" w:sz="0" w:space="0" w:color="auto"/>
        <w:bottom w:val="none" w:sz="0" w:space="0" w:color="auto"/>
        <w:right w:val="none" w:sz="0" w:space="0" w:color="auto"/>
      </w:divBdr>
      <w:divsChild>
        <w:div w:id="1630168044">
          <w:marLeft w:val="0"/>
          <w:marRight w:val="0"/>
          <w:marTop w:val="0"/>
          <w:marBottom w:val="0"/>
          <w:divBdr>
            <w:top w:val="none" w:sz="0" w:space="0" w:color="auto"/>
            <w:left w:val="none" w:sz="0" w:space="0" w:color="auto"/>
            <w:bottom w:val="none" w:sz="0" w:space="0" w:color="auto"/>
            <w:right w:val="none" w:sz="0" w:space="0" w:color="auto"/>
          </w:divBdr>
          <w:divsChild>
            <w:div w:id="29259774">
              <w:marLeft w:val="0"/>
              <w:marRight w:val="0"/>
              <w:marTop w:val="0"/>
              <w:marBottom w:val="0"/>
              <w:divBdr>
                <w:top w:val="none" w:sz="0" w:space="0" w:color="auto"/>
                <w:left w:val="none" w:sz="0" w:space="0" w:color="auto"/>
                <w:bottom w:val="none" w:sz="0" w:space="0" w:color="auto"/>
                <w:right w:val="none" w:sz="0" w:space="0" w:color="auto"/>
              </w:divBdr>
            </w:div>
            <w:div w:id="290599929">
              <w:marLeft w:val="0"/>
              <w:marRight w:val="0"/>
              <w:marTop w:val="0"/>
              <w:marBottom w:val="0"/>
              <w:divBdr>
                <w:top w:val="none" w:sz="0" w:space="0" w:color="auto"/>
                <w:left w:val="none" w:sz="0" w:space="0" w:color="auto"/>
                <w:bottom w:val="none" w:sz="0" w:space="0" w:color="auto"/>
                <w:right w:val="none" w:sz="0" w:space="0" w:color="auto"/>
              </w:divBdr>
            </w:div>
            <w:div w:id="395663401">
              <w:marLeft w:val="0"/>
              <w:marRight w:val="0"/>
              <w:marTop w:val="0"/>
              <w:marBottom w:val="0"/>
              <w:divBdr>
                <w:top w:val="none" w:sz="0" w:space="0" w:color="auto"/>
                <w:left w:val="none" w:sz="0" w:space="0" w:color="auto"/>
                <w:bottom w:val="none" w:sz="0" w:space="0" w:color="auto"/>
                <w:right w:val="none" w:sz="0" w:space="0" w:color="auto"/>
              </w:divBdr>
            </w:div>
            <w:div w:id="443616424">
              <w:marLeft w:val="0"/>
              <w:marRight w:val="0"/>
              <w:marTop w:val="0"/>
              <w:marBottom w:val="0"/>
              <w:divBdr>
                <w:top w:val="none" w:sz="0" w:space="0" w:color="auto"/>
                <w:left w:val="none" w:sz="0" w:space="0" w:color="auto"/>
                <w:bottom w:val="none" w:sz="0" w:space="0" w:color="auto"/>
                <w:right w:val="none" w:sz="0" w:space="0" w:color="auto"/>
              </w:divBdr>
            </w:div>
            <w:div w:id="698093673">
              <w:marLeft w:val="0"/>
              <w:marRight w:val="0"/>
              <w:marTop w:val="0"/>
              <w:marBottom w:val="0"/>
              <w:divBdr>
                <w:top w:val="none" w:sz="0" w:space="0" w:color="auto"/>
                <w:left w:val="none" w:sz="0" w:space="0" w:color="auto"/>
                <w:bottom w:val="none" w:sz="0" w:space="0" w:color="auto"/>
                <w:right w:val="none" w:sz="0" w:space="0" w:color="auto"/>
              </w:divBdr>
            </w:div>
            <w:div w:id="798767036">
              <w:marLeft w:val="0"/>
              <w:marRight w:val="0"/>
              <w:marTop w:val="0"/>
              <w:marBottom w:val="0"/>
              <w:divBdr>
                <w:top w:val="none" w:sz="0" w:space="0" w:color="auto"/>
                <w:left w:val="none" w:sz="0" w:space="0" w:color="auto"/>
                <w:bottom w:val="none" w:sz="0" w:space="0" w:color="auto"/>
                <w:right w:val="none" w:sz="0" w:space="0" w:color="auto"/>
              </w:divBdr>
            </w:div>
            <w:div w:id="864363946">
              <w:marLeft w:val="0"/>
              <w:marRight w:val="0"/>
              <w:marTop w:val="0"/>
              <w:marBottom w:val="0"/>
              <w:divBdr>
                <w:top w:val="none" w:sz="0" w:space="0" w:color="auto"/>
                <w:left w:val="none" w:sz="0" w:space="0" w:color="auto"/>
                <w:bottom w:val="none" w:sz="0" w:space="0" w:color="auto"/>
                <w:right w:val="none" w:sz="0" w:space="0" w:color="auto"/>
              </w:divBdr>
            </w:div>
            <w:div w:id="1203789369">
              <w:marLeft w:val="0"/>
              <w:marRight w:val="0"/>
              <w:marTop w:val="0"/>
              <w:marBottom w:val="0"/>
              <w:divBdr>
                <w:top w:val="none" w:sz="0" w:space="0" w:color="auto"/>
                <w:left w:val="none" w:sz="0" w:space="0" w:color="auto"/>
                <w:bottom w:val="none" w:sz="0" w:space="0" w:color="auto"/>
                <w:right w:val="none" w:sz="0" w:space="0" w:color="auto"/>
              </w:divBdr>
            </w:div>
            <w:div w:id="1235512202">
              <w:marLeft w:val="0"/>
              <w:marRight w:val="0"/>
              <w:marTop w:val="0"/>
              <w:marBottom w:val="0"/>
              <w:divBdr>
                <w:top w:val="none" w:sz="0" w:space="0" w:color="auto"/>
                <w:left w:val="none" w:sz="0" w:space="0" w:color="auto"/>
                <w:bottom w:val="none" w:sz="0" w:space="0" w:color="auto"/>
                <w:right w:val="none" w:sz="0" w:space="0" w:color="auto"/>
              </w:divBdr>
            </w:div>
            <w:div w:id="1491215843">
              <w:marLeft w:val="0"/>
              <w:marRight w:val="0"/>
              <w:marTop w:val="0"/>
              <w:marBottom w:val="0"/>
              <w:divBdr>
                <w:top w:val="none" w:sz="0" w:space="0" w:color="auto"/>
                <w:left w:val="none" w:sz="0" w:space="0" w:color="auto"/>
                <w:bottom w:val="none" w:sz="0" w:space="0" w:color="auto"/>
                <w:right w:val="none" w:sz="0" w:space="0" w:color="auto"/>
              </w:divBdr>
            </w:div>
            <w:div w:id="2024742790">
              <w:marLeft w:val="0"/>
              <w:marRight w:val="0"/>
              <w:marTop w:val="0"/>
              <w:marBottom w:val="0"/>
              <w:divBdr>
                <w:top w:val="none" w:sz="0" w:space="0" w:color="auto"/>
                <w:left w:val="none" w:sz="0" w:space="0" w:color="auto"/>
                <w:bottom w:val="none" w:sz="0" w:space="0" w:color="auto"/>
                <w:right w:val="none" w:sz="0" w:space="0" w:color="auto"/>
              </w:divBdr>
            </w:div>
            <w:div w:id="20672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8/20190508093658796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08/20190508093658648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508/20190508093658214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508/20190508093658879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08/20190508093658138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DA628-CC2A-4627-A946-1B621C36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