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43792" w14:textId="77777777" w:rsidR="00000000" w:rsidRDefault="00BB1DB5">
      <w:pPr>
        <w:pStyle w:val="a9"/>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第三编</w:t>
      </w:r>
      <w:r>
        <w:rPr>
          <w:rFonts w:cs="Calibri" w:hint="eastAsia"/>
          <w:b/>
          <w:bCs/>
          <w:color w:val="3F3F3F"/>
          <w:sz w:val="50"/>
          <w:szCs w:val="50"/>
        </w:rPr>
        <w:t>•</w:t>
      </w:r>
      <w:r>
        <w:rPr>
          <w:rFonts w:ascii="楷体" w:eastAsia="楷体" w:hAnsi="楷体" w:cs="Calibri" w:hint="eastAsia"/>
          <w:b/>
          <w:bCs/>
          <w:color w:val="3F3F3F"/>
          <w:sz w:val="50"/>
          <w:szCs w:val="50"/>
        </w:rPr>
        <w:t>第十一章</w:t>
      </w:r>
      <w:r>
        <w:rPr>
          <w:rFonts w:cs="Calibri" w:hint="eastAsia"/>
          <w:b/>
          <w:bCs/>
          <w:color w:val="3F3F3F"/>
          <w:sz w:val="50"/>
          <w:szCs w:val="50"/>
        </w:rPr>
        <w:t>•</w:t>
      </w:r>
      <w:r>
        <w:rPr>
          <w:rFonts w:ascii="楷体" w:eastAsia="楷体" w:hAnsi="楷体" w:cs="Calibri" w:hint="eastAsia"/>
          <w:b/>
          <w:bCs/>
          <w:color w:val="3F3F3F"/>
          <w:sz w:val="50"/>
          <w:szCs w:val="50"/>
        </w:rPr>
        <w:t>生产与存货循环的审计</w:t>
      </w:r>
    </w:p>
    <w:p w14:paraId="4384B62E" w14:textId="77777777" w:rsidR="00000000" w:rsidRDefault="00BB1DB5">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54DC9E4" w14:textId="77777777" w:rsidR="00000000" w:rsidRDefault="00BB1DB5">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生产与存货循环的重大错报风险</w:t>
      </w:r>
    </w:p>
    <w:p w14:paraId="24471F19" w14:textId="77777777" w:rsidR="00000000" w:rsidRDefault="00BB1DB5">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测试生产与存货循环的内部控制</w:t>
      </w:r>
    </w:p>
    <w:p w14:paraId="5780D1CE"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一、生产与存货循环存在的重大错报风险</w:t>
      </w:r>
      <w:r>
        <w:rPr>
          <w:rFonts w:cs="Calibri" w:hint="eastAsia"/>
          <w:b/>
          <w:bCs/>
          <w:color w:val="FF0000"/>
          <w:sz w:val="21"/>
          <w:szCs w:val="21"/>
        </w:rPr>
        <w:t>（※）</w:t>
      </w:r>
    </w:p>
    <w:p w14:paraId="03FDAFDF"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二、以风险为起点的控制测试</w:t>
      </w:r>
    </w:p>
    <w:p w14:paraId="36509DEF" w14:textId="77777777" w:rsidR="00000000" w:rsidRDefault="00BB1DB5">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"http://webupload.admin.dongao.com/biz/handout/img/2019/20190508/20190508183904240001.png" \* MERGEFORMATINET </w:instrText>
      </w:r>
      <w:r>
        <w:rPr>
          <w:rFonts w:cs="Calibri"/>
          <w:color w:val="3F3F3F"/>
          <w:sz w:val="21"/>
          <w:szCs w:val="21"/>
        </w:rPr>
        <w:fldChar w:fldCharType="separate"/>
      </w:r>
      <w:r>
        <w:rPr>
          <w:rFonts w:cs="Calibri"/>
          <w:color w:val="3F3F3F"/>
          <w:sz w:val="21"/>
          <w:szCs w:val="21"/>
        </w:rPr>
        <w:pict w14:anchorId="6333D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193.5pt;mso-wrap-style:square;mso-position-horizontal-relative:page;mso-position-vertical-relative:page">
            <v:imagedata r:id="rId6" r:href="rId7"/>
          </v:shape>
        </w:pict>
      </w:r>
      <w:r>
        <w:rPr>
          <w:rFonts w:cs="Calibri"/>
          <w:color w:val="3F3F3F"/>
          <w:sz w:val="21"/>
          <w:szCs w:val="21"/>
        </w:rPr>
        <w:fldChar w:fldCharType="end"/>
      </w:r>
    </w:p>
    <w:p w14:paraId="4DC79BD6" w14:textId="77777777" w:rsidR="00000000" w:rsidRDefault="00BB1DB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一、生产与存货循环存在的重大错报风险</w:t>
      </w:r>
    </w:p>
    <w:p w14:paraId="7DB23B8D"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产品的多</w:t>
      </w:r>
      <w:r>
        <w:rPr>
          <w:rFonts w:cs="Calibri" w:hint="eastAsia"/>
          <w:color w:val="3F3F3F"/>
          <w:sz w:val="21"/>
          <w:szCs w:val="21"/>
        </w:rPr>
        <w:t>元化</w:t>
      </w:r>
    </w:p>
    <w:p w14:paraId="39A3961F"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这可能要求聘请专家来验证其质量、状况或价值。例如，计量煤堆、筒仓里的谷物或糖、黄金或贵重宝石、化工品和药剂产品的存储量的方法都可能不一样。</w:t>
      </w:r>
    </w:p>
    <w:p w14:paraId="53C2ED84"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某些存货项目的可变现净值难以确定</w:t>
      </w:r>
    </w:p>
    <w:p w14:paraId="781EBB04"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可变现净值难以确定，会影响存货采购价格和销售价格的确定，并将影响注册会计师对与存货准确性、计价和分摊认定有关的风险进行的评估。</w:t>
      </w:r>
    </w:p>
    <w:p w14:paraId="4DF96F08"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将存货存放在很多地点</w:t>
      </w:r>
    </w:p>
    <w:p w14:paraId="75255301"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大型企业可能将存货存放在很多地点，并且可以在不同的地点之间配送存货，可能导致：</w:t>
      </w:r>
    </w:p>
    <w:p w14:paraId="33EE4A0C"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）增加商品途中</w:t>
      </w:r>
      <w:r>
        <w:rPr>
          <w:rFonts w:cs="Calibri" w:hint="eastAsia"/>
          <w:b/>
          <w:bCs/>
          <w:color w:val="FF0000"/>
          <w:sz w:val="21"/>
          <w:szCs w:val="21"/>
        </w:rPr>
        <w:t>毁损或遗失</w:t>
      </w:r>
      <w:r>
        <w:rPr>
          <w:rFonts w:cs="Calibri" w:hint="eastAsia"/>
          <w:color w:val="3F3F3F"/>
          <w:sz w:val="21"/>
          <w:szCs w:val="21"/>
        </w:rPr>
        <w:t>的风险；</w:t>
      </w:r>
    </w:p>
    <w:p w14:paraId="579B6B6D"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）导致存货在两个地点被</w:t>
      </w:r>
      <w:r>
        <w:rPr>
          <w:rFonts w:cs="Calibri" w:hint="eastAsia"/>
          <w:b/>
          <w:bCs/>
          <w:color w:val="FF0000"/>
          <w:sz w:val="21"/>
          <w:szCs w:val="21"/>
        </w:rPr>
        <w:t>重复列示</w:t>
      </w:r>
      <w:r>
        <w:rPr>
          <w:rFonts w:cs="Calibri" w:hint="eastAsia"/>
          <w:color w:val="3F3F3F"/>
          <w:sz w:val="21"/>
          <w:szCs w:val="21"/>
        </w:rPr>
        <w:t>；</w:t>
      </w:r>
    </w:p>
    <w:p w14:paraId="00750FDD"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）产生</w:t>
      </w:r>
      <w:r>
        <w:rPr>
          <w:rFonts w:cs="Calibri" w:hint="eastAsia"/>
          <w:b/>
          <w:bCs/>
          <w:color w:val="FF0000"/>
          <w:sz w:val="21"/>
          <w:szCs w:val="21"/>
        </w:rPr>
        <w:t>转移定价</w:t>
      </w:r>
      <w:r>
        <w:rPr>
          <w:rFonts w:cs="Calibri" w:hint="eastAsia"/>
          <w:color w:val="3F3F3F"/>
          <w:sz w:val="21"/>
          <w:szCs w:val="21"/>
        </w:rPr>
        <w:t>的错误或舞弊。</w:t>
      </w:r>
    </w:p>
    <w:p w14:paraId="25EE4DE7"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寄存的存货</w:t>
      </w:r>
    </w:p>
    <w:p w14:paraId="422F6EBC"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）存放于企业的存货实际已不归属于企业；</w:t>
      </w:r>
    </w:p>
    <w:p w14:paraId="30B80325"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）企业的存货可能存放于其他企业。</w:t>
      </w:r>
    </w:p>
    <w:p w14:paraId="1E5D6056"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存货跌价风险</w:t>
      </w:r>
    </w:p>
    <w:p w14:paraId="7F457810"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）技术进步或竞争对手推出</w:t>
      </w:r>
      <w:r>
        <w:rPr>
          <w:rFonts w:cs="Calibri" w:hint="eastAsia"/>
          <w:b/>
          <w:bCs/>
          <w:color w:val="FF0000"/>
          <w:sz w:val="21"/>
          <w:szCs w:val="21"/>
        </w:rPr>
        <w:t>新产品</w:t>
      </w:r>
      <w:r>
        <w:rPr>
          <w:rFonts w:cs="Calibri" w:hint="eastAsia"/>
          <w:color w:val="3F3F3F"/>
          <w:sz w:val="21"/>
          <w:szCs w:val="21"/>
        </w:rPr>
        <w:t>导致的存货跌价；</w:t>
      </w:r>
    </w:p>
    <w:p w14:paraId="271C0031"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）鲜活、易腐烂的产品因</w:t>
      </w:r>
      <w:r>
        <w:rPr>
          <w:rFonts w:cs="Calibri" w:hint="eastAsia"/>
          <w:b/>
          <w:bCs/>
          <w:color w:val="FF0000"/>
          <w:sz w:val="21"/>
          <w:szCs w:val="21"/>
        </w:rPr>
        <w:t>变质</w:t>
      </w:r>
      <w:r>
        <w:rPr>
          <w:rFonts w:cs="Calibri" w:hint="eastAsia"/>
          <w:color w:val="3F3F3F"/>
          <w:sz w:val="21"/>
          <w:szCs w:val="21"/>
        </w:rPr>
        <w:t>导致的存货跌价；</w:t>
      </w:r>
    </w:p>
    <w:p w14:paraId="78400D5F" w14:textId="77777777" w:rsidR="00000000" w:rsidRDefault="00BB1DB5">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）销路不畅或</w:t>
      </w:r>
      <w:r>
        <w:rPr>
          <w:rFonts w:cs="Calibri" w:hint="eastAsia"/>
          <w:b/>
          <w:bCs/>
          <w:color w:val="FF0000"/>
          <w:sz w:val="21"/>
          <w:szCs w:val="21"/>
        </w:rPr>
        <w:t>行业低迷</w:t>
      </w:r>
      <w:r>
        <w:rPr>
          <w:rFonts w:cs="Calibri" w:hint="eastAsia"/>
          <w:color w:val="3F3F3F"/>
          <w:sz w:val="21"/>
          <w:szCs w:val="21"/>
        </w:rPr>
        <w:t>导致的存货跌价。</w:t>
      </w:r>
    </w:p>
    <w:p w14:paraId="4C4DF0D8" w14:textId="77777777" w:rsidR="00000000" w:rsidRDefault="00BB1DB5">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"http://webupload.admin.dongao.com/biz/handout/img/2019/20190508/20190508183904593002.png" \* MERGEFOR</w:instrText>
      </w:r>
      <w:r>
        <w:rPr>
          <w:rFonts w:ascii="Calibri" w:eastAsia="微软雅黑" w:hAnsi="Calibri" w:cs="Calibri"/>
          <w:color w:val="3F3F3F"/>
          <w:sz w:val="21"/>
          <w:szCs w:val="21"/>
        </w:rPr>
        <w:instrText xml:space="preserve">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56F96C0D">
          <v:shape id="图片 3" o:spid="_x0000_i1026" type="#_x0000_t75" style="width:420pt;height:183.75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651D67B5" w14:textId="77777777" w:rsidR="00000000" w:rsidRDefault="00BB1DB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二、以风险为起点的控制测试</w:t>
      </w:r>
    </w:p>
    <w:p w14:paraId="34207168" w14:textId="77777777" w:rsidR="00000000" w:rsidRDefault="00BB1DB5">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r>
        <w:rPr>
          <w:rFonts w:ascii="Calibri" w:eastAsia="微软雅黑" w:hAnsi="Calibri" w:cs="Calibri"/>
          <w:color w:val="3F3F3F"/>
          <w:sz w:val="21"/>
          <w:szCs w:val="21"/>
        </w:rPr>
        <w:pict w14:anchorId="39B30B8F">
          <v:shape id="图片 6" o:spid="_x0000_i1028" type="#_x0000_t75" alt="100506更新速度" style="width:387.75pt;height:12.75pt">
            <v:fill o:detectmouseclick="t"/>
            <v:imagedata r:id="rId10" o:title="100506更新速度"/>
          </v:shape>
        </w:pict>
      </w:r>
    </w:p>
    <w:p w14:paraId="5BAB76C6"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教材表</w:t>
      </w:r>
      <w:r>
        <w:rPr>
          <w:rFonts w:cs="Calibri" w:hint="eastAsia"/>
          <w:color w:val="3F3F3F"/>
          <w:sz w:val="21"/>
          <w:szCs w:val="21"/>
        </w:rPr>
        <w:t>11-4</w:t>
      </w:r>
      <w:r>
        <w:rPr>
          <w:rFonts w:cs="Calibri" w:hint="eastAsia"/>
          <w:color w:val="3F3F3F"/>
          <w:sz w:val="21"/>
          <w:szCs w:val="21"/>
        </w:rPr>
        <w:t>内容量大，而在应试方面，考题通常不会机械性“照搬”原文，而是会根据不同案例背景设定不同的内部控制和审计程序，要求考生阅读理解、指错和改错。因此，我们选择其中可考性较强的部分进行讲解，学习时需要注意：</w:t>
      </w:r>
    </w:p>
    <w:p w14:paraId="5BF87B85"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）理解注册会计师执行控制测试的基本原理和常见纰漏；</w:t>
      </w:r>
    </w:p>
    <w:p w14:paraId="66A7853D"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）掌握对与</w:t>
      </w:r>
      <w:r>
        <w:rPr>
          <w:rFonts w:cs="Calibri" w:hint="eastAsia"/>
          <w:b/>
          <w:bCs/>
          <w:color w:val="FF0000"/>
          <w:sz w:val="21"/>
          <w:szCs w:val="21"/>
        </w:rPr>
        <w:t>签字、复核、审批</w:t>
      </w:r>
      <w:r>
        <w:rPr>
          <w:rFonts w:cs="Calibri" w:hint="eastAsia"/>
          <w:color w:val="3F3F3F"/>
          <w:sz w:val="21"/>
          <w:szCs w:val="21"/>
        </w:rPr>
        <w:t>相关控制的测试方法；</w:t>
      </w:r>
    </w:p>
    <w:p w14:paraId="43AF72E4"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）注重举一反三和触类旁通；</w:t>
      </w:r>
    </w:p>
    <w:p w14:paraId="3CD766BA" w14:textId="77777777" w:rsidR="00000000" w:rsidRDefault="00BB1DB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w:t>
      </w:r>
      <w:r>
        <w:rPr>
          <w:rFonts w:cs="Calibri" w:hint="eastAsia"/>
          <w:b/>
          <w:bCs/>
          <w:color w:val="FF0000"/>
          <w:sz w:val="21"/>
          <w:szCs w:val="21"/>
        </w:rPr>
        <w:t>记笔记</w:t>
      </w:r>
      <w:r>
        <w:rPr>
          <w:rFonts w:cs="Calibri" w:hint="eastAsia"/>
          <w:color w:val="3F3F3F"/>
          <w:sz w:val="21"/>
          <w:szCs w:val="21"/>
        </w:rPr>
        <w:t>，标注易考点和易错点。</w:t>
      </w:r>
    </w:p>
    <w:tbl>
      <w:tblPr>
        <w:tblW w:w="0" w:type="auto"/>
        <w:jc w:val="center"/>
        <w:tblInd w:w="0" w:type="dxa"/>
        <w:tblLayout w:type="fixed"/>
        <w:tblCellMar>
          <w:left w:w="0" w:type="dxa"/>
          <w:right w:w="0" w:type="dxa"/>
        </w:tblCellMar>
        <w:tblLook w:val="0000" w:firstRow="0" w:lastRow="0" w:firstColumn="0" w:lastColumn="0" w:noHBand="0" w:noVBand="0"/>
      </w:tblPr>
      <w:tblGrid>
        <w:gridCol w:w="1433"/>
        <w:gridCol w:w="1305"/>
        <w:gridCol w:w="1182"/>
        <w:gridCol w:w="2344"/>
        <w:gridCol w:w="2241"/>
      </w:tblGrid>
      <w:tr w:rsidR="00000000" w14:paraId="0EE37F8D" w14:textId="77777777">
        <w:trPr>
          <w:trHeight w:val="206"/>
          <w:jc w:val="center"/>
        </w:trPr>
        <w:tc>
          <w:tcPr>
            <w:tcW w:w="143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E8CB581"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tc>
        <w:tc>
          <w:tcPr>
            <w:tcW w:w="1305"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671BD7B9"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c>
          <w:tcPr>
            <w:tcW w:w="118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22FC773"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自动化</w:t>
            </w:r>
          </w:p>
          <w:p w14:paraId="6E034830"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w:t>
            </w:r>
          </w:p>
        </w:tc>
        <w:tc>
          <w:tcPr>
            <w:tcW w:w="2344"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0EF5493C"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人工控制</w:t>
            </w:r>
          </w:p>
        </w:tc>
        <w:tc>
          <w:tcPr>
            <w:tcW w:w="224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73073692"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内部控制</w:t>
            </w:r>
          </w:p>
          <w:p w14:paraId="76C56C95"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测试程序</w:t>
            </w:r>
          </w:p>
        </w:tc>
      </w:tr>
      <w:tr w:rsidR="00000000" w14:paraId="6102B0C2" w14:textId="77777777">
        <w:trPr>
          <w:trHeight w:val="508"/>
          <w:jc w:val="center"/>
        </w:trPr>
        <w:tc>
          <w:tcPr>
            <w:tcW w:w="143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8A0FB98"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原材料的发出可能未经授权</w:t>
            </w:r>
          </w:p>
        </w:tc>
        <w:tc>
          <w:tcPr>
            <w:tcW w:w="1305" w:type="dxa"/>
            <w:tcBorders>
              <w:top w:val="nil"/>
              <w:left w:val="nil"/>
              <w:bottom w:val="single" w:sz="8" w:space="0" w:color="auto"/>
              <w:right w:val="single" w:sz="8" w:space="0" w:color="auto"/>
            </w:tcBorders>
            <w:tcMar>
              <w:top w:w="15" w:type="dxa"/>
              <w:left w:w="108" w:type="dxa"/>
              <w:bottom w:w="0" w:type="dxa"/>
              <w:right w:w="108" w:type="dxa"/>
            </w:tcMar>
            <w:vAlign w:val="center"/>
          </w:tcPr>
          <w:p w14:paraId="62E0D8F9"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生产成本</w:t>
            </w:r>
          </w:p>
          <w:p w14:paraId="66F0B1BB"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w:t>
            </w:r>
          </w:p>
        </w:tc>
        <w:tc>
          <w:tcPr>
            <w:tcW w:w="1182" w:type="dxa"/>
            <w:tcBorders>
              <w:top w:val="nil"/>
              <w:left w:val="nil"/>
              <w:bottom w:val="single" w:sz="8" w:space="0" w:color="auto"/>
              <w:right w:val="single" w:sz="8" w:space="0" w:color="auto"/>
            </w:tcBorders>
            <w:tcMar>
              <w:top w:w="15" w:type="dxa"/>
              <w:left w:w="108" w:type="dxa"/>
              <w:bottom w:w="0" w:type="dxa"/>
              <w:right w:w="108" w:type="dxa"/>
            </w:tcMar>
            <w:vAlign w:val="center"/>
          </w:tcPr>
          <w:p w14:paraId="3ADF34A4"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p>
        </w:tc>
        <w:tc>
          <w:tcPr>
            <w:tcW w:w="2344" w:type="dxa"/>
            <w:tcBorders>
              <w:top w:val="nil"/>
              <w:left w:val="nil"/>
              <w:bottom w:val="single" w:sz="8" w:space="0" w:color="auto"/>
              <w:right w:val="single" w:sz="8" w:space="0" w:color="auto"/>
            </w:tcBorders>
            <w:tcMar>
              <w:top w:w="15" w:type="dxa"/>
              <w:left w:w="108" w:type="dxa"/>
              <w:bottom w:w="0" w:type="dxa"/>
              <w:right w:w="108" w:type="dxa"/>
            </w:tcMar>
            <w:vAlign w:val="center"/>
          </w:tcPr>
          <w:p w14:paraId="1FF34C06"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所有领料单由生产主管签字批准，仓库管理员凭经批准的领料单发出原材料</w:t>
            </w:r>
          </w:p>
        </w:tc>
        <w:tc>
          <w:tcPr>
            <w:tcW w:w="224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3B850DB"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选取领料单，检查是否有生产主管的签字授权</w:t>
            </w:r>
          </w:p>
        </w:tc>
      </w:tr>
      <w:tr w:rsidR="00000000" w14:paraId="2EB89ACD" w14:textId="77777777">
        <w:trPr>
          <w:trHeight w:val="508"/>
          <w:jc w:val="center"/>
        </w:trPr>
        <w:tc>
          <w:tcPr>
            <w:tcW w:w="143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F43DC17"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生产成本和制造费用在不同产品之间、在产品和产成品之间的分配可能不正确</w:t>
            </w:r>
          </w:p>
        </w:tc>
        <w:tc>
          <w:tcPr>
            <w:tcW w:w="1305" w:type="dxa"/>
            <w:tcBorders>
              <w:top w:val="nil"/>
              <w:left w:val="nil"/>
              <w:bottom w:val="single" w:sz="8" w:space="0" w:color="auto"/>
              <w:right w:val="single" w:sz="8" w:space="0" w:color="auto"/>
            </w:tcBorders>
            <w:tcMar>
              <w:top w:w="15" w:type="dxa"/>
              <w:left w:w="108" w:type="dxa"/>
              <w:bottom w:w="0" w:type="dxa"/>
              <w:right w:w="108" w:type="dxa"/>
            </w:tcMar>
            <w:vAlign w:val="center"/>
          </w:tcPr>
          <w:p w14:paraId="295F417D"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w:t>
            </w:r>
          </w:p>
          <w:p w14:paraId="466017CD"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p w14:paraId="6F7DE092"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营业成本</w:t>
            </w:r>
          </w:p>
          <w:p w14:paraId="4B1D3DB8"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w:t>
            </w:r>
          </w:p>
        </w:tc>
        <w:tc>
          <w:tcPr>
            <w:tcW w:w="1182" w:type="dxa"/>
            <w:tcBorders>
              <w:top w:val="nil"/>
              <w:left w:val="nil"/>
              <w:bottom w:val="single" w:sz="8" w:space="0" w:color="auto"/>
              <w:right w:val="single" w:sz="8" w:space="0" w:color="auto"/>
            </w:tcBorders>
            <w:tcMar>
              <w:top w:w="15" w:type="dxa"/>
              <w:left w:w="108" w:type="dxa"/>
              <w:bottom w:w="0" w:type="dxa"/>
              <w:right w:w="108" w:type="dxa"/>
            </w:tcMar>
            <w:vAlign w:val="center"/>
          </w:tcPr>
          <w:p w14:paraId="3BD59F46"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p>
        </w:tc>
        <w:tc>
          <w:tcPr>
            <w:tcW w:w="2344" w:type="dxa"/>
            <w:tcBorders>
              <w:top w:val="nil"/>
              <w:left w:val="nil"/>
              <w:bottom w:val="single" w:sz="8" w:space="0" w:color="auto"/>
              <w:right w:val="single" w:sz="8" w:space="0" w:color="auto"/>
            </w:tcBorders>
            <w:tcMar>
              <w:top w:w="15" w:type="dxa"/>
              <w:left w:w="108" w:type="dxa"/>
              <w:bottom w:w="0" w:type="dxa"/>
              <w:right w:w="108" w:type="dxa"/>
            </w:tcMar>
            <w:vAlign w:val="center"/>
          </w:tcPr>
          <w:p w14:paraId="0D4C1BB2"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成本会计执行产品成本核算日常成本核算，财务经理每月末审核产品成本计算表及相关资料</w:t>
            </w:r>
            <w:r>
              <w:rPr>
                <w:rFonts w:cs="Calibri" w:hint="eastAsia"/>
                <w:color w:val="333333"/>
                <w:sz w:val="21"/>
                <w:szCs w:val="21"/>
              </w:rPr>
              <w:t>(</w:t>
            </w:r>
            <w:r>
              <w:rPr>
                <w:rFonts w:cs="Calibri" w:hint="eastAsia"/>
                <w:color w:val="333333"/>
                <w:sz w:val="21"/>
                <w:szCs w:val="21"/>
              </w:rPr>
              <w:t>原材料成本核算表、工薪费用分配表、制造费用分配表等</w:t>
            </w:r>
            <w:r>
              <w:rPr>
                <w:rFonts w:cs="Calibri" w:hint="eastAsia"/>
                <w:color w:val="333333"/>
                <w:sz w:val="21"/>
                <w:szCs w:val="21"/>
              </w:rPr>
              <w:t xml:space="preserve">) </w:t>
            </w:r>
            <w:r>
              <w:rPr>
                <w:rFonts w:cs="Calibri" w:hint="eastAsia"/>
                <w:color w:val="333333"/>
                <w:sz w:val="21"/>
                <w:szCs w:val="21"/>
              </w:rPr>
              <w:t>，并调查异常项目</w:t>
            </w:r>
          </w:p>
        </w:tc>
        <w:tc>
          <w:tcPr>
            <w:tcW w:w="2241" w:type="dxa"/>
            <w:tcBorders>
              <w:top w:val="nil"/>
              <w:left w:val="nil"/>
              <w:bottom w:val="single" w:sz="8" w:space="0" w:color="auto"/>
              <w:right w:val="single" w:sz="8" w:space="0" w:color="auto"/>
            </w:tcBorders>
            <w:tcMar>
              <w:top w:w="15" w:type="dxa"/>
              <w:left w:w="108" w:type="dxa"/>
              <w:bottom w:w="0" w:type="dxa"/>
              <w:right w:w="108" w:type="dxa"/>
            </w:tcMar>
            <w:vAlign w:val="center"/>
          </w:tcPr>
          <w:p w14:paraId="3BCF3848"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）询问财务经理</w:t>
            </w:r>
            <w:r>
              <w:rPr>
                <w:rFonts w:cs="Calibri" w:hint="eastAsia"/>
                <w:b/>
                <w:bCs/>
                <w:color w:val="FF0000"/>
                <w:sz w:val="21"/>
                <w:szCs w:val="21"/>
              </w:rPr>
              <w:t>如何执行复核</w:t>
            </w:r>
            <w:r>
              <w:rPr>
                <w:rFonts w:cs="Calibri" w:hint="eastAsia"/>
                <w:color w:val="333333"/>
                <w:sz w:val="21"/>
                <w:szCs w:val="21"/>
              </w:rPr>
              <w:t>及调查</w:t>
            </w:r>
          </w:p>
          <w:p w14:paraId="17AEF9FA"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）选取产品成本计算表及相关资料，检查财</w:t>
            </w:r>
            <w:r>
              <w:rPr>
                <w:rFonts w:cs="Calibri" w:hint="eastAsia"/>
                <w:color w:val="333333"/>
                <w:sz w:val="21"/>
                <w:szCs w:val="21"/>
              </w:rPr>
              <w:t>务经理的</w:t>
            </w:r>
            <w:r>
              <w:rPr>
                <w:rFonts w:cs="Calibri" w:hint="eastAsia"/>
                <w:b/>
                <w:bCs/>
                <w:color w:val="FF0000"/>
                <w:sz w:val="21"/>
                <w:szCs w:val="21"/>
              </w:rPr>
              <w:t>复核记录</w:t>
            </w:r>
          </w:p>
        </w:tc>
      </w:tr>
    </w:tbl>
    <w:p w14:paraId="7B17800A" w14:textId="77777777" w:rsidR="00000000" w:rsidRDefault="00BB1DB5">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433"/>
        <w:gridCol w:w="1305"/>
        <w:gridCol w:w="1182"/>
        <w:gridCol w:w="2344"/>
        <w:gridCol w:w="2241"/>
      </w:tblGrid>
      <w:tr w:rsidR="00000000" w14:paraId="3E9B7A42" w14:textId="77777777">
        <w:trPr>
          <w:trHeight w:val="508"/>
          <w:jc w:val="center"/>
        </w:trPr>
        <w:tc>
          <w:tcPr>
            <w:tcW w:w="143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4F97EA1B"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w:t>
            </w:r>
          </w:p>
        </w:tc>
        <w:tc>
          <w:tcPr>
            <w:tcW w:w="1305"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11FCEBFF"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c>
          <w:tcPr>
            <w:tcW w:w="118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2EF6557A"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自动化控制</w:t>
            </w:r>
          </w:p>
        </w:tc>
        <w:tc>
          <w:tcPr>
            <w:tcW w:w="2344"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B39F9DE"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人工控制</w:t>
            </w:r>
          </w:p>
        </w:tc>
        <w:tc>
          <w:tcPr>
            <w:tcW w:w="224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A339D9A"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内部控制</w:t>
            </w:r>
          </w:p>
          <w:p w14:paraId="6932029F"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测试程序</w:t>
            </w:r>
          </w:p>
        </w:tc>
      </w:tr>
      <w:tr w:rsidR="00000000" w14:paraId="5AE2E5BF" w14:textId="77777777">
        <w:trPr>
          <w:trHeight w:val="508"/>
          <w:jc w:val="center"/>
        </w:trPr>
        <w:tc>
          <w:tcPr>
            <w:tcW w:w="143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DAE106A"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存货可能被盗或因材料领用</w:t>
            </w:r>
            <w:r>
              <w:rPr>
                <w:rFonts w:cs="Calibri" w:hint="eastAsia"/>
                <w:color w:val="333333"/>
                <w:sz w:val="21"/>
                <w:szCs w:val="21"/>
              </w:rPr>
              <w:t>/</w:t>
            </w:r>
            <w:r>
              <w:rPr>
                <w:rFonts w:cs="Calibri" w:hint="eastAsia"/>
                <w:color w:val="333333"/>
                <w:sz w:val="21"/>
                <w:szCs w:val="21"/>
              </w:rPr>
              <w:t>产品销售未入账而出现账实不符</w:t>
            </w:r>
          </w:p>
        </w:tc>
        <w:tc>
          <w:tcPr>
            <w:tcW w:w="1305" w:type="dxa"/>
            <w:tcBorders>
              <w:top w:val="nil"/>
              <w:left w:val="nil"/>
              <w:bottom w:val="single" w:sz="8" w:space="0" w:color="auto"/>
              <w:right w:val="single" w:sz="8" w:space="0" w:color="auto"/>
            </w:tcBorders>
            <w:tcMar>
              <w:top w:w="15" w:type="dxa"/>
              <w:left w:w="108" w:type="dxa"/>
              <w:bottom w:w="0" w:type="dxa"/>
              <w:right w:w="108" w:type="dxa"/>
            </w:tcMar>
            <w:vAlign w:val="center"/>
          </w:tcPr>
          <w:p w14:paraId="49B89590"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w:t>
            </w:r>
          </w:p>
          <w:p w14:paraId="494E943F"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tc>
        <w:tc>
          <w:tcPr>
            <w:tcW w:w="1182" w:type="dxa"/>
            <w:tcBorders>
              <w:top w:val="nil"/>
              <w:left w:val="nil"/>
              <w:bottom w:val="single" w:sz="8" w:space="0" w:color="auto"/>
              <w:right w:val="single" w:sz="8" w:space="0" w:color="auto"/>
            </w:tcBorders>
            <w:tcMar>
              <w:top w:w="15" w:type="dxa"/>
              <w:left w:w="108" w:type="dxa"/>
              <w:bottom w:w="0" w:type="dxa"/>
              <w:right w:w="108" w:type="dxa"/>
            </w:tcMar>
            <w:vAlign w:val="center"/>
          </w:tcPr>
          <w:p w14:paraId="669A140B"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p>
        </w:tc>
        <w:tc>
          <w:tcPr>
            <w:tcW w:w="234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FFFDE0F"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）仓库保管员每月末</w:t>
            </w:r>
            <w:r>
              <w:rPr>
                <w:rFonts w:cs="Calibri" w:hint="eastAsia"/>
                <w:b/>
                <w:bCs/>
                <w:color w:val="FF0000"/>
                <w:sz w:val="21"/>
                <w:szCs w:val="21"/>
              </w:rPr>
              <w:t>盘点</w:t>
            </w:r>
            <w:r>
              <w:rPr>
                <w:rFonts w:cs="Calibri" w:hint="eastAsia"/>
                <w:color w:val="333333"/>
                <w:sz w:val="21"/>
                <w:szCs w:val="21"/>
              </w:rPr>
              <w:t>存货并与仓库台账核对并调节一致；成本会计监督其盘点与核对，并抽查部分存货进行</w:t>
            </w:r>
            <w:r>
              <w:rPr>
                <w:rFonts w:cs="Calibri" w:hint="eastAsia"/>
                <w:b/>
                <w:bCs/>
                <w:color w:val="FF0000"/>
                <w:sz w:val="21"/>
                <w:szCs w:val="21"/>
              </w:rPr>
              <w:t>复盘</w:t>
            </w:r>
          </w:p>
          <w:p w14:paraId="55F6CD26"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）每年末盘点所有存货，并根据盘点结果分析盘盈盘亏并进行账面调整</w:t>
            </w:r>
          </w:p>
        </w:tc>
        <w:tc>
          <w:tcPr>
            <w:tcW w:w="2241" w:type="dxa"/>
            <w:tcBorders>
              <w:top w:val="nil"/>
              <w:left w:val="nil"/>
              <w:bottom w:val="single" w:sz="8" w:space="0" w:color="auto"/>
              <w:right w:val="single" w:sz="8" w:space="0" w:color="auto"/>
            </w:tcBorders>
            <w:tcMar>
              <w:top w:w="15" w:type="dxa"/>
              <w:left w:w="108" w:type="dxa"/>
              <w:bottom w:w="0" w:type="dxa"/>
              <w:right w:w="108" w:type="dxa"/>
            </w:tcMar>
            <w:vAlign w:val="center"/>
          </w:tcPr>
          <w:p w14:paraId="782913A0"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观察存货盘点的过程，检查存货盘点记录</w:t>
            </w:r>
          </w:p>
        </w:tc>
      </w:tr>
      <w:tr w:rsidR="00000000" w14:paraId="1AAE2657" w14:textId="77777777">
        <w:trPr>
          <w:trHeight w:val="508"/>
          <w:jc w:val="center"/>
        </w:trPr>
        <w:tc>
          <w:tcPr>
            <w:tcW w:w="143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D94BDB5"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可能存在残冷背次的存货，影响存货的价值</w:t>
            </w:r>
          </w:p>
        </w:tc>
        <w:tc>
          <w:tcPr>
            <w:tcW w:w="1305" w:type="dxa"/>
            <w:tcBorders>
              <w:top w:val="nil"/>
              <w:left w:val="nil"/>
              <w:bottom w:val="single" w:sz="8" w:space="0" w:color="auto"/>
              <w:right w:val="single" w:sz="8" w:space="0" w:color="auto"/>
            </w:tcBorders>
            <w:tcMar>
              <w:top w:w="15" w:type="dxa"/>
              <w:left w:w="108" w:type="dxa"/>
              <w:bottom w:w="0" w:type="dxa"/>
              <w:right w:w="108" w:type="dxa"/>
            </w:tcMar>
            <w:vAlign w:val="center"/>
          </w:tcPr>
          <w:p w14:paraId="5E3EA31E"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存货</w:t>
            </w:r>
          </w:p>
          <w:p w14:paraId="240491FD"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p w14:paraId="5E615373"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资产减值损失</w:t>
            </w:r>
          </w:p>
          <w:p w14:paraId="56CB59FD" w14:textId="77777777" w:rsidR="00000000" w:rsidRDefault="00BB1DB5">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tc>
        <w:tc>
          <w:tcPr>
            <w:tcW w:w="1182" w:type="dxa"/>
            <w:tcBorders>
              <w:top w:val="nil"/>
              <w:left w:val="nil"/>
              <w:bottom w:val="single" w:sz="8" w:space="0" w:color="auto"/>
              <w:right w:val="single" w:sz="8" w:space="0" w:color="auto"/>
            </w:tcBorders>
            <w:tcMar>
              <w:top w:w="15" w:type="dxa"/>
              <w:left w:w="108" w:type="dxa"/>
              <w:bottom w:w="0" w:type="dxa"/>
              <w:right w:w="108" w:type="dxa"/>
            </w:tcMar>
            <w:vAlign w:val="center"/>
          </w:tcPr>
          <w:p w14:paraId="52481860"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系统根据存货入库日期</w:t>
            </w:r>
            <w:r>
              <w:rPr>
                <w:rFonts w:cs="Calibri" w:hint="eastAsia"/>
                <w:b/>
                <w:bCs/>
                <w:color w:val="FF0000"/>
                <w:sz w:val="21"/>
                <w:szCs w:val="21"/>
              </w:rPr>
              <w:t>自动统计货龄</w:t>
            </w:r>
            <w:r>
              <w:rPr>
                <w:rFonts w:cs="Calibri" w:hint="eastAsia"/>
                <w:color w:val="333333"/>
                <w:sz w:val="21"/>
                <w:szCs w:val="21"/>
              </w:rPr>
              <w:t>，每月末生成存货货龄分</w:t>
            </w:r>
            <w:r>
              <w:rPr>
                <w:rFonts w:cs="Calibri" w:hint="eastAsia"/>
                <w:color w:val="333333"/>
                <w:sz w:val="21"/>
                <w:szCs w:val="21"/>
              </w:rPr>
              <w:t>析表</w:t>
            </w:r>
          </w:p>
        </w:tc>
        <w:tc>
          <w:tcPr>
            <w:tcW w:w="234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2DBF012"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财务部根据系统生成的存货货龄分析表，结合生产和仓储部门上报的存货损毁情况及存货盘点中对存货状况的检查结果，计提存货减值准备，经管理层审核批准后入账</w:t>
            </w:r>
          </w:p>
        </w:tc>
        <w:tc>
          <w:tcPr>
            <w:tcW w:w="2241" w:type="dxa"/>
            <w:tcBorders>
              <w:top w:val="nil"/>
              <w:left w:val="nil"/>
              <w:bottom w:val="single" w:sz="8" w:space="0" w:color="auto"/>
              <w:right w:val="single" w:sz="8" w:space="0" w:color="auto"/>
            </w:tcBorders>
            <w:tcMar>
              <w:top w:w="15" w:type="dxa"/>
              <w:left w:w="108" w:type="dxa"/>
              <w:bottom w:w="0" w:type="dxa"/>
              <w:right w:w="108" w:type="dxa"/>
            </w:tcMar>
            <w:vAlign w:val="center"/>
          </w:tcPr>
          <w:p w14:paraId="3A95AA2C" w14:textId="77777777" w:rsidR="00000000" w:rsidRDefault="00BB1DB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询问财务经理识别减值风险并确定减值准备的过程，检查管理层的复核批准记录</w:t>
            </w:r>
          </w:p>
        </w:tc>
      </w:tr>
    </w:tbl>
    <w:p w14:paraId="26018E9B" w14:textId="77777777" w:rsidR="00000000" w:rsidRDefault="00BB1DB5">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4C89039" w14:textId="77777777" w:rsidR="00000000" w:rsidRDefault="00BB1DB5">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"http://webupload.admin.dongao.com/biz/handout/img/2019/20190508/20190508183904504003.png"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213.7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3D51B239" w14:textId="77777777" w:rsidR="00000000" w:rsidRDefault="00BB1DB5">
      <w:pPr>
        <w:rPr>
          <w:rFonts w:ascii="微软雅黑" w:eastAsia="微软雅黑" w:hAnsi="微软雅黑" w:cs="宋体"/>
          <w:color w:val="3F3F3F"/>
          <w:szCs w:val="21"/>
        </w:rPr>
      </w:pPr>
    </w:p>
    <w:p w14:paraId="022F148B" w14:textId="77777777" w:rsidR="00000000" w:rsidRDefault="00BB1DB5">
      <w:pPr>
        <w:rPr>
          <w:rFonts w:hint="eastAsia"/>
        </w:rPr>
      </w:pPr>
    </w:p>
    <w:sectPr w:rsidR="00000000">
      <w:headerReference w:type="default" r:id="rId13"/>
      <w:footerReference w:type="default" r:id="rId14"/>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F1692" w14:textId="77777777" w:rsidR="00000000" w:rsidRDefault="00BB1DB5">
      <w:r>
        <w:separator/>
      </w:r>
    </w:p>
  </w:endnote>
  <w:endnote w:type="continuationSeparator" w:id="0">
    <w:p w14:paraId="67B75637" w14:textId="77777777" w:rsidR="00000000" w:rsidRDefault="00BB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3E29374" w14:textId="77777777">
      <w:trPr>
        <w:trHeight w:val="274"/>
      </w:trPr>
      <w:tc>
        <w:tcPr>
          <w:tcW w:w="2050" w:type="dxa"/>
          <w:vAlign w:val="center"/>
        </w:tcPr>
        <w:p w14:paraId="6289D48E" w14:textId="77777777" w:rsidR="00000000" w:rsidRDefault="00BB1DB5">
          <w:pPr>
            <w:jc w:val="left"/>
            <w:rPr>
              <w:rFonts w:ascii="楷体" w:eastAsia="楷体" w:hAnsi="楷体"/>
              <w:b/>
              <w:sz w:val="28"/>
              <w:szCs w:val="28"/>
            </w:rPr>
          </w:pPr>
          <w:r>
            <w:rPr>
              <w:lang w:val="en-US" w:eastAsia="zh-CN"/>
            </w:rPr>
            <w:pict w14:anchorId="25B1A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5CAC37EE" w14:textId="77777777" w:rsidR="00000000" w:rsidRDefault="00BB1DB5">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55EA9853" w14:textId="77777777" w:rsidR="00000000" w:rsidRDefault="00BB1DB5">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63F80D0" w14:textId="77777777" w:rsidR="00000000" w:rsidRDefault="00BB1DB5">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F48D0" w14:textId="77777777" w:rsidR="00000000" w:rsidRDefault="00BB1DB5">
      <w:r>
        <w:separator/>
      </w:r>
    </w:p>
  </w:footnote>
  <w:footnote w:type="continuationSeparator" w:id="0">
    <w:p w14:paraId="27F96E86" w14:textId="77777777" w:rsidR="00000000" w:rsidRDefault="00BB1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CD72C18" w14:textId="77777777">
      <w:trPr>
        <w:trHeight w:val="501"/>
      </w:trPr>
      <w:tc>
        <w:tcPr>
          <w:tcW w:w="4272" w:type="dxa"/>
          <w:vAlign w:val="center"/>
        </w:tcPr>
        <w:p w14:paraId="0A6D5FE6" w14:textId="77777777" w:rsidR="00000000" w:rsidRDefault="00BB1DB5">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2104B66D" w14:textId="77777777" w:rsidR="00000000" w:rsidRDefault="00BB1DB5">
          <w:pPr>
            <w:wordWrap w:val="0"/>
            <w:jc w:val="right"/>
            <w:rPr>
              <w:rFonts w:ascii="微软雅黑" w:eastAsia="微软雅黑" w:hAnsi="微软雅黑"/>
              <w:sz w:val="24"/>
              <w:szCs w:val="24"/>
            </w:rPr>
          </w:pPr>
          <w:r>
            <w:rPr>
              <w:rFonts w:ascii="微软雅黑" w:eastAsia="微软雅黑" w:hAnsi="微软雅黑" w:hint="eastAsia"/>
              <w:sz w:val="24"/>
              <w:szCs w:val="24"/>
            </w:rPr>
            <w:t>第十一章</w:t>
          </w:r>
          <w:r>
            <w:rPr>
              <w:rFonts w:ascii="微软雅黑" w:eastAsia="微软雅黑" w:hAnsi="微软雅黑"/>
              <w:sz w:val="24"/>
              <w:szCs w:val="24"/>
            </w:rPr>
            <w:t>+</w:t>
          </w:r>
          <w:r>
            <w:rPr>
              <w:rFonts w:ascii="微软雅黑" w:eastAsia="微软雅黑" w:hAnsi="微软雅黑"/>
              <w:sz w:val="24"/>
              <w:szCs w:val="24"/>
            </w:rPr>
            <w:t>生产与存货循环的审计</w:t>
          </w:r>
        </w:p>
      </w:tc>
    </w:tr>
  </w:tbl>
  <w:p w14:paraId="75C36CE8" w14:textId="77777777" w:rsidR="00000000" w:rsidRDefault="00BB1DB5">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36D9C"/>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C264C"/>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B1DB5"/>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21C9745B"/>
    <w:rsid w:val="3AF43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D68FE0A"/>
  <w15:chartTrackingRefBased/>
  <w15:docId w15:val="{D5CA3F07-7B2D-4CB3-9FB6-9734001D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http://webupload.admin.dongao.com/biz/handout/img/2019/20190508/20190508183904240001.png" TargetMode="External"/><Relationship Id="rId12" Type="http://schemas.openxmlformats.org/officeDocument/2006/relationships/image" Target="http://webupload.admin.dongao.com/biz/handout/img/2019/20190508/20190508183904504003.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508/20190508183904593002.pn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