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B6942" w14:textId="77777777" w:rsidR="00AF6E9C" w:rsidRDefault="00AF6E9C" w:rsidP="00AF6E9C">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第三编</w:t>
      </w:r>
      <w:r>
        <w:rPr>
          <w:rFonts w:ascii="微软雅黑" w:eastAsia="微软雅黑" w:hAnsi="微软雅黑" w:cs="Calibri" w:hint="eastAsia"/>
          <w:b/>
          <w:bCs/>
          <w:color w:val="3F3F3F"/>
          <w:sz w:val="52"/>
          <w:szCs w:val="52"/>
        </w:rPr>
        <w:t>•</w:t>
      </w:r>
      <w:r>
        <w:rPr>
          <w:rFonts w:ascii="楷体" w:eastAsia="楷体" w:hAnsi="楷体" w:cs="Calibri" w:hint="eastAsia"/>
          <w:b/>
          <w:bCs/>
          <w:color w:val="3F3F3F"/>
          <w:sz w:val="52"/>
          <w:szCs w:val="52"/>
        </w:rPr>
        <w:t>第十二章</w:t>
      </w:r>
      <w:r>
        <w:rPr>
          <w:rFonts w:ascii="微软雅黑" w:eastAsia="微软雅黑" w:hAnsi="微软雅黑" w:cs="Calibri" w:hint="eastAsia"/>
          <w:b/>
          <w:bCs/>
          <w:color w:val="3F3F3F"/>
          <w:sz w:val="52"/>
          <w:szCs w:val="52"/>
        </w:rPr>
        <w:t>•</w:t>
      </w:r>
      <w:r>
        <w:rPr>
          <w:rFonts w:ascii="楷体" w:eastAsia="楷体" w:hAnsi="楷体" w:cs="Calibri" w:hint="eastAsia"/>
          <w:b/>
          <w:bCs/>
          <w:color w:val="3F3F3F"/>
          <w:sz w:val="52"/>
          <w:szCs w:val="52"/>
        </w:rPr>
        <w:t>货币资金的审计</w:t>
      </w:r>
    </w:p>
    <w:p w14:paraId="43B1F207" w14:textId="77777777" w:rsidR="00AF6E9C" w:rsidRDefault="00AF6E9C" w:rsidP="00AF6E9C">
      <w:pPr>
        <w:pStyle w:val="aa"/>
        <w:shd w:val="clear" w:color="auto" w:fill="FFFFFF"/>
        <w:spacing w:before="0" w:beforeAutospacing="0" w:after="0" w:afterAutospacing="0"/>
        <w:ind w:left="420" w:hanging="420"/>
        <w:jc w:val="center"/>
        <w:rPr>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考情和方法</w:t>
      </w:r>
    </w:p>
    <w:p w14:paraId="1C9EC359" w14:textId="77777777" w:rsidR="00AF6E9C" w:rsidRDefault="00AF6E9C" w:rsidP="00AF6E9C">
      <w:pPr>
        <w:pStyle w:val="aa"/>
        <w:shd w:val="clear" w:color="auto" w:fill="FFFFFF"/>
        <w:spacing w:before="0" w:beforeAutospacing="0" w:after="0" w:afterAutospacing="0"/>
        <w:ind w:left="420" w:hanging="420"/>
        <w:jc w:val="center"/>
        <w:rPr>
          <w:rFonts w:hint="eastAsia"/>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考点和典题</w:t>
      </w:r>
    </w:p>
    <w:p w14:paraId="11B8E7C7" w14:textId="77777777" w:rsidR="00AF6E9C" w:rsidRDefault="00AF6E9C" w:rsidP="00AF6E9C">
      <w:pPr>
        <w:pStyle w:val="aa"/>
        <w:shd w:val="clear" w:color="auto" w:fill="FFFFFF"/>
        <w:spacing w:before="0" w:beforeAutospacing="0" w:after="0" w:afterAutospacing="0"/>
        <w:ind w:left="420" w:hanging="420"/>
        <w:jc w:val="center"/>
        <w:rPr>
          <w:rFonts w:hint="eastAsia"/>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脉络和复习</w:t>
      </w:r>
    </w:p>
    <w:p w14:paraId="7DA08AD7" w14:textId="77777777" w:rsidR="00AF6E9C" w:rsidRDefault="00AF6E9C" w:rsidP="00AF6E9C">
      <w:pPr>
        <w:pStyle w:val="aa"/>
        <w:shd w:val="clear" w:color="auto" w:fill="FFFFFF"/>
        <w:spacing w:before="312" w:beforeAutospacing="0" w:after="312" w:afterAutospacing="0"/>
        <w:jc w:val="center"/>
        <w:rPr>
          <w:rFonts w:ascii="Calibri" w:eastAsia="微软雅黑" w:hAnsi="Calibri" w:cs="Calibri" w:hint="eastAsia"/>
          <w:color w:val="3F3F3F"/>
          <w:sz w:val="21"/>
          <w:szCs w:val="21"/>
        </w:rPr>
      </w:pPr>
      <w:r>
        <w:rPr>
          <w:rFonts w:cs="Calibri" w:hint="eastAsia"/>
          <w:b/>
          <w:bCs/>
          <w:color w:val="3F3F3F"/>
          <w:sz w:val="28"/>
          <w:szCs w:val="28"/>
        </w:rPr>
        <w:t>考情和方法</w:t>
      </w:r>
    </w:p>
    <w:tbl>
      <w:tblPr>
        <w:tblW w:w="8505" w:type="dxa"/>
        <w:jc w:val="center"/>
        <w:tblCellMar>
          <w:left w:w="0" w:type="dxa"/>
          <w:right w:w="0" w:type="dxa"/>
        </w:tblCellMar>
        <w:tblLook w:val="04A0" w:firstRow="1" w:lastRow="0" w:firstColumn="1" w:lastColumn="0" w:noHBand="0" w:noVBand="1"/>
      </w:tblPr>
      <w:tblGrid>
        <w:gridCol w:w="1814"/>
        <w:gridCol w:w="6691"/>
      </w:tblGrid>
      <w:tr w:rsidR="00AF6E9C" w14:paraId="4C8B1DC0" w14:textId="77777777" w:rsidTr="00AF6E9C">
        <w:trPr>
          <w:trHeight w:val="413"/>
          <w:jc w:val="center"/>
        </w:trPr>
        <w:tc>
          <w:tcPr>
            <w:tcW w:w="181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2FB5A3C" w14:textId="77777777" w:rsidR="00AF6E9C" w:rsidRDefault="00AF6E9C" w:rsidP="00AF6E9C">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平均考分</w:t>
            </w:r>
          </w:p>
        </w:tc>
        <w:tc>
          <w:tcPr>
            <w:tcW w:w="669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FC17AA6" w14:textId="77777777" w:rsidR="00AF6E9C" w:rsidRDefault="00AF6E9C" w:rsidP="00AF6E9C">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3分/卷</w:t>
            </w:r>
          </w:p>
        </w:tc>
      </w:tr>
      <w:tr w:rsidR="00AF6E9C" w14:paraId="3BEDFFF9" w14:textId="77777777" w:rsidTr="00AF6E9C">
        <w:trPr>
          <w:trHeight w:val="418"/>
          <w:jc w:val="center"/>
        </w:trPr>
        <w:tc>
          <w:tcPr>
            <w:tcW w:w="181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0013ABA" w14:textId="77777777" w:rsidR="00AF6E9C" w:rsidRDefault="00AF6E9C" w:rsidP="00AF6E9C">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考题预测</w:t>
            </w:r>
          </w:p>
        </w:tc>
        <w:tc>
          <w:tcPr>
            <w:tcW w:w="66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A369B3C" w14:textId="77777777" w:rsidR="00AF6E9C" w:rsidRDefault="00AF6E9C" w:rsidP="00AF6E9C">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单选题、简答题</w:t>
            </w:r>
          </w:p>
        </w:tc>
      </w:tr>
      <w:tr w:rsidR="00AF6E9C" w14:paraId="668AAC27" w14:textId="77777777" w:rsidTr="00AF6E9C">
        <w:trPr>
          <w:trHeight w:val="411"/>
          <w:jc w:val="center"/>
        </w:trPr>
        <w:tc>
          <w:tcPr>
            <w:tcW w:w="181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481CF9F" w14:textId="77777777" w:rsidR="00AF6E9C" w:rsidRDefault="00AF6E9C" w:rsidP="00AF6E9C">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实务强度</w:t>
            </w:r>
          </w:p>
        </w:tc>
        <w:tc>
          <w:tcPr>
            <w:tcW w:w="66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306CA45" w14:textId="77777777" w:rsidR="00AF6E9C" w:rsidRDefault="00AF6E9C" w:rsidP="00AF6E9C">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实务性强</w:t>
            </w:r>
          </w:p>
        </w:tc>
      </w:tr>
      <w:tr w:rsidR="00AF6E9C" w14:paraId="6352D945" w14:textId="77777777" w:rsidTr="00AF6E9C">
        <w:trPr>
          <w:trHeight w:val="2543"/>
          <w:jc w:val="center"/>
        </w:trPr>
        <w:tc>
          <w:tcPr>
            <w:tcW w:w="181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0FB545E" w14:textId="77777777" w:rsidR="00AF6E9C" w:rsidRDefault="00AF6E9C" w:rsidP="00AF6E9C">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复习方法</w:t>
            </w:r>
          </w:p>
        </w:tc>
        <w:tc>
          <w:tcPr>
            <w:tcW w:w="66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4E0922E" w14:textId="77777777" w:rsidR="00AF6E9C" w:rsidRDefault="00AF6E9C" w:rsidP="00AF6E9C">
            <w:pPr>
              <w:pStyle w:val="aa"/>
              <w:spacing w:before="0" w:beforeAutospacing="0" w:after="0" w:afterAutospacing="0"/>
              <w:ind w:left="420" w:hanging="420"/>
              <w:rPr>
                <w:color w:val="333333"/>
              </w:rPr>
            </w:pPr>
            <w:r>
              <w:rPr>
                <w:rFonts w:ascii="Arial" w:hAnsi="Arial" w:cs="Arial"/>
                <w:color w:val="333333"/>
                <w:sz w:val="21"/>
                <w:szCs w:val="21"/>
              </w:rPr>
              <w:t>•</w:t>
            </w:r>
            <w:r>
              <w:rPr>
                <w:rFonts w:ascii="Times New Roman" w:hAnsi="Times New Roman" w:cs="Times New Roman"/>
                <w:color w:val="333333"/>
                <w:sz w:val="14"/>
                <w:szCs w:val="14"/>
              </w:rPr>
              <w:t xml:space="preserve">        </w:t>
            </w:r>
            <w:r>
              <w:rPr>
                <w:rFonts w:hint="eastAsia"/>
                <w:color w:val="333333"/>
                <w:sz w:val="21"/>
                <w:szCs w:val="21"/>
              </w:rPr>
              <w:t>与销售与收款、采购与付款、生产与存货循环的审计不同，货币资金与多个循环相关，是财务报表审计实务中较为特殊的部分；相比在综合题中考查风险评估，本章节更适合考查选择题或简答题</w:t>
            </w:r>
          </w:p>
          <w:p w14:paraId="6654EE9D" w14:textId="77777777" w:rsidR="00AF6E9C" w:rsidRDefault="00AF6E9C" w:rsidP="00AF6E9C">
            <w:pPr>
              <w:pStyle w:val="aa"/>
              <w:spacing w:before="0" w:beforeAutospacing="0" w:after="0" w:afterAutospacing="0"/>
              <w:ind w:left="420" w:hanging="420"/>
              <w:rPr>
                <w:rFonts w:hint="eastAsia"/>
                <w:color w:val="333333"/>
              </w:rPr>
            </w:pPr>
            <w:r>
              <w:rPr>
                <w:rFonts w:ascii="Arial" w:hAnsi="Arial" w:cs="Arial"/>
                <w:color w:val="333333"/>
                <w:sz w:val="21"/>
                <w:szCs w:val="21"/>
              </w:rPr>
              <w:t>•</w:t>
            </w:r>
            <w:r>
              <w:rPr>
                <w:rFonts w:ascii="Times New Roman" w:hAnsi="Times New Roman" w:cs="Times New Roman"/>
                <w:color w:val="333333"/>
                <w:sz w:val="14"/>
                <w:szCs w:val="14"/>
              </w:rPr>
              <w:t xml:space="preserve">        </w:t>
            </w:r>
            <w:r>
              <w:rPr>
                <w:rFonts w:hint="eastAsia"/>
                <w:color w:val="333333"/>
                <w:sz w:val="21"/>
                <w:szCs w:val="21"/>
              </w:rPr>
              <w:t>本章侧重考查银行函证、银行存款余额调节表测试、库存现金监盘、其他货币资金的审计程序等，实务性中等，灵活性较低，考生重点掌握教材涉及的审计程序要点</w:t>
            </w:r>
          </w:p>
        </w:tc>
      </w:tr>
    </w:tbl>
    <w:p w14:paraId="7C661CE8" w14:textId="77777777" w:rsidR="00AF6E9C" w:rsidRDefault="00AF6E9C" w:rsidP="00AF6E9C">
      <w:pPr>
        <w:pStyle w:val="aa"/>
        <w:shd w:val="clear" w:color="auto" w:fill="FFFFFF"/>
        <w:spacing w:before="312" w:beforeAutospacing="0" w:after="312" w:afterAutospacing="0"/>
        <w:jc w:val="center"/>
        <w:rPr>
          <w:rFonts w:ascii="Calibri" w:eastAsia="微软雅黑" w:hAnsi="Calibri" w:cs="Calibri" w:hint="eastAsia"/>
          <w:color w:val="3F3F3F"/>
          <w:sz w:val="21"/>
          <w:szCs w:val="21"/>
        </w:rPr>
      </w:pPr>
      <w:r>
        <w:rPr>
          <w:rFonts w:cs="Calibri" w:hint="eastAsia"/>
          <w:b/>
          <w:bCs/>
          <w:color w:val="3F3F3F"/>
          <w:sz w:val="28"/>
          <w:szCs w:val="28"/>
        </w:rPr>
        <w:t>考点和典题</w:t>
      </w:r>
    </w:p>
    <w:p w14:paraId="746FDF3F" w14:textId="77777777" w:rsidR="00AF6E9C" w:rsidRDefault="00AF6E9C" w:rsidP="00AF6E9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一、货币资金与业务循环</w:t>
      </w:r>
    </w:p>
    <w:p w14:paraId="02D4748B" w14:textId="77777777" w:rsidR="00AF6E9C" w:rsidRDefault="00AF6E9C" w:rsidP="00AF6E9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二、货币资金的内部控制</w:t>
      </w:r>
      <w:r>
        <w:rPr>
          <w:rFonts w:cs="Calibri" w:hint="eastAsia"/>
          <w:b/>
          <w:bCs/>
          <w:color w:val="FF0000"/>
          <w:sz w:val="21"/>
          <w:szCs w:val="21"/>
        </w:rPr>
        <w:t>（※）</w:t>
      </w:r>
    </w:p>
    <w:p w14:paraId="2B87A754" w14:textId="77777777" w:rsidR="00AF6E9C" w:rsidRDefault="00AF6E9C" w:rsidP="00AF6E9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三、货币资金审计中需要关注的事项或情形</w:t>
      </w:r>
    </w:p>
    <w:p w14:paraId="0E2B0927" w14:textId="77777777" w:rsidR="00AF6E9C" w:rsidRDefault="00AF6E9C" w:rsidP="00AF6E9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四、测试货币资金的内部控制</w:t>
      </w:r>
    </w:p>
    <w:p w14:paraId="240ADA29" w14:textId="77777777" w:rsidR="00AF6E9C" w:rsidRDefault="00AF6E9C" w:rsidP="00AF6E9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五、库存现金的实质性程序——监盘库存现金</w:t>
      </w:r>
      <w:r>
        <w:rPr>
          <w:rFonts w:cs="Calibri" w:hint="eastAsia"/>
          <w:b/>
          <w:bCs/>
          <w:color w:val="FF0000"/>
          <w:sz w:val="21"/>
          <w:szCs w:val="21"/>
        </w:rPr>
        <w:t>（※※）</w:t>
      </w:r>
    </w:p>
    <w:p w14:paraId="4F602B30" w14:textId="77777777" w:rsidR="00AF6E9C" w:rsidRDefault="00AF6E9C" w:rsidP="00AF6E9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六、银行存款的实质性程序</w:t>
      </w:r>
      <w:r>
        <w:rPr>
          <w:rFonts w:cs="Calibri" w:hint="eastAsia"/>
          <w:b/>
          <w:bCs/>
          <w:color w:val="FF0000"/>
          <w:sz w:val="21"/>
          <w:szCs w:val="21"/>
        </w:rPr>
        <w:t>（※※※）</w:t>
      </w:r>
    </w:p>
    <w:p w14:paraId="3765B78A" w14:textId="77777777" w:rsidR="00AF6E9C" w:rsidRDefault="00AF6E9C" w:rsidP="00AF6E9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七、其他货币资金的实质性程序</w:t>
      </w:r>
    </w:p>
    <w:p w14:paraId="543F0093" w14:textId="77777777" w:rsidR="00AF6E9C" w:rsidRDefault="00AF6E9C" w:rsidP="00AF6E9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一、货币资金与业务循环</w:t>
      </w:r>
    </w:p>
    <w:p w14:paraId="1005E045" w14:textId="77777777" w:rsidR="00AF6E9C" w:rsidRDefault="00AF6E9C" w:rsidP="00AF6E9C">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lastRenderedPageBreak/>
        <w:fldChar w:fldCharType="begin"/>
      </w:r>
      <w:r>
        <w:rPr>
          <w:rFonts w:ascii="Calibri" w:eastAsia="微软雅黑" w:hAnsi="Calibri" w:cs="Calibri"/>
          <w:color w:val="3F3F3F"/>
          <w:sz w:val="21"/>
          <w:szCs w:val="21"/>
        </w:rPr>
        <w:instrText xml:space="preserve"> INCLUDEPICTURE "http://webupload.admin.dongao.com/biz/handout/img/2019/20190509/20190509161158154001.png"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5pt;height:193.5pt">
            <v:imagedata r:id="rId7" r:href="rId8"/>
          </v:shape>
        </w:pict>
      </w:r>
      <w:r>
        <w:rPr>
          <w:rFonts w:ascii="Calibri" w:eastAsia="微软雅黑" w:hAnsi="Calibri" w:cs="Calibri"/>
          <w:color w:val="3F3F3F"/>
          <w:sz w:val="21"/>
          <w:szCs w:val="21"/>
        </w:rPr>
        <w:fldChar w:fldCharType="end"/>
      </w:r>
    </w:p>
    <w:p w14:paraId="4C797AE0" w14:textId="77777777" w:rsidR="00AF6E9C" w:rsidRDefault="00AF6E9C" w:rsidP="00AF6E9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二、货币资金的内部控制</w:t>
      </w:r>
    </w:p>
    <w:p w14:paraId="6B6BCBF9" w14:textId="77777777" w:rsidR="00AF6E9C" w:rsidRDefault="00AF6E9C" w:rsidP="00AF6E9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1.岗位分工及授权批准</w:t>
      </w:r>
    </w:p>
    <w:tbl>
      <w:tblPr>
        <w:tblW w:w="8505" w:type="dxa"/>
        <w:jc w:val="center"/>
        <w:tblCellMar>
          <w:left w:w="0" w:type="dxa"/>
          <w:right w:w="0" w:type="dxa"/>
        </w:tblCellMar>
        <w:tblLook w:val="04A0" w:firstRow="1" w:lastRow="0" w:firstColumn="1" w:lastColumn="0" w:noHBand="0" w:noVBand="1"/>
      </w:tblPr>
      <w:tblGrid>
        <w:gridCol w:w="2126"/>
        <w:gridCol w:w="6379"/>
      </w:tblGrid>
      <w:tr w:rsidR="00AF6E9C" w14:paraId="2D2C7D7E" w14:textId="77777777" w:rsidTr="00AF6E9C">
        <w:trPr>
          <w:trHeight w:val="445"/>
          <w:jc w:val="center"/>
        </w:trPr>
        <w:tc>
          <w:tcPr>
            <w:tcW w:w="21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7CFF2D" w14:textId="77777777" w:rsidR="00AF6E9C" w:rsidRDefault="00AF6E9C" w:rsidP="00AF6E9C">
            <w:pPr>
              <w:rPr>
                <w:rFonts w:eastAsia="微软雅黑" w:cs="Calibri"/>
                <w:color w:val="3F3F3F"/>
                <w:szCs w:val="21"/>
              </w:rPr>
            </w:pPr>
          </w:p>
        </w:tc>
        <w:tc>
          <w:tcPr>
            <w:tcW w:w="637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3563498" w14:textId="77777777" w:rsidR="00AF6E9C" w:rsidRDefault="00AF6E9C" w:rsidP="00AF6E9C">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AF6E9C" w14:paraId="1CF77F68" w14:textId="77777777" w:rsidTr="00AF6E9C">
        <w:trPr>
          <w:trHeight w:val="1699"/>
          <w:jc w:val="center"/>
        </w:trPr>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ED70F2F" w14:textId="77777777" w:rsidR="00AF6E9C" w:rsidRDefault="00AF6E9C" w:rsidP="00AF6E9C">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（1）职责分离</w:t>
            </w:r>
          </w:p>
        </w:tc>
        <w:tc>
          <w:tcPr>
            <w:tcW w:w="63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6E51B2" w14:textId="77777777" w:rsidR="00AF6E9C" w:rsidRDefault="00AF6E9C" w:rsidP="00AF6E9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a)不得由一人办理货币资金业务的全过程</w:t>
            </w:r>
          </w:p>
          <w:p w14:paraId="1240E86B" w14:textId="77777777" w:rsidR="00AF6E9C" w:rsidRDefault="00AF6E9C" w:rsidP="00AF6E9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b)出纳员不得兼任</w:t>
            </w:r>
            <w:r>
              <w:rPr>
                <w:rFonts w:cs="Calibri" w:hint="eastAsia"/>
                <w:b/>
                <w:bCs/>
                <w:color w:val="FF0000"/>
                <w:sz w:val="21"/>
                <w:szCs w:val="21"/>
              </w:rPr>
              <w:t>【单选题/简答题高频考点】</w:t>
            </w:r>
          </w:p>
          <w:p w14:paraId="5F2100AC" w14:textId="77777777" w:rsidR="00AF6E9C" w:rsidRDefault="00AF6E9C" w:rsidP="00AF6E9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i)编制</w:t>
            </w:r>
            <w:r>
              <w:rPr>
                <w:rFonts w:cs="Calibri" w:hint="eastAsia"/>
                <w:b/>
                <w:bCs/>
                <w:color w:val="FF0000"/>
                <w:sz w:val="21"/>
                <w:szCs w:val="21"/>
              </w:rPr>
              <w:t>银行存款余额调节表</w:t>
            </w:r>
            <w:r>
              <w:rPr>
                <w:rFonts w:cs="Calibri" w:hint="eastAsia"/>
                <w:color w:val="333333"/>
                <w:sz w:val="21"/>
                <w:szCs w:val="21"/>
              </w:rPr>
              <w:t>等稽核工作</w:t>
            </w:r>
          </w:p>
          <w:p w14:paraId="1023C258" w14:textId="77777777" w:rsidR="00AF6E9C" w:rsidRDefault="00AF6E9C" w:rsidP="00AF6E9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ii)会计档案保管工作</w:t>
            </w:r>
          </w:p>
          <w:p w14:paraId="46E3671C" w14:textId="77777777" w:rsidR="00AF6E9C" w:rsidRDefault="00AF6E9C" w:rsidP="00AF6E9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iii)收入、支出、费用、债权债务的</w:t>
            </w:r>
            <w:r>
              <w:rPr>
                <w:rFonts w:cs="Calibri" w:hint="eastAsia"/>
                <w:b/>
                <w:bCs/>
                <w:color w:val="FF0000"/>
                <w:sz w:val="21"/>
                <w:szCs w:val="21"/>
              </w:rPr>
              <w:t>账目登记</w:t>
            </w:r>
            <w:r>
              <w:rPr>
                <w:rFonts w:cs="Calibri" w:hint="eastAsia"/>
                <w:color w:val="333333"/>
                <w:sz w:val="21"/>
                <w:szCs w:val="21"/>
              </w:rPr>
              <w:t>工作</w:t>
            </w:r>
          </w:p>
        </w:tc>
      </w:tr>
      <w:tr w:rsidR="00AF6E9C" w14:paraId="225328D7" w14:textId="77777777" w:rsidTr="00AF6E9C">
        <w:trPr>
          <w:trHeight w:val="1975"/>
          <w:jc w:val="center"/>
        </w:trPr>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DF7147" w14:textId="77777777" w:rsidR="00AF6E9C" w:rsidRDefault="00AF6E9C" w:rsidP="00AF6E9C">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（2）流程办理</w:t>
            </w:r>
          </w:p>
        </w:tc>
        <w:tc>
          <w:tcPr>
            <w:tcW w:w="63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0988FB" w14:textId="77777777" w:rsidR="00AF6E9C" w:rsidRDefault="00AF6E9C" w:rsidP="00AF6E9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a)支付</w:t>
            </w:r>
            <w:r>
              <w:rPr>
                <w:rFonts w:cs="Calibri" w:hint="eastAsia"/>
                <w:b/>
                <w:bCs/>
                <w:color w:val="FF0000"/>
                <w:sz w:val="21"/>
                <w:szCs w:val="21"/>
              </w:rPr>
              <w:t>申请</w:t>
            </w:r>
            <w:r>
              <w:rPr>
                <w:rFonts w:cs="Calibri" w:hint="eastAsia"/>
                <w:color w:val="333333"/>
                <w:sz w:val="21"/>
                <w:szCs w:val="21"/>
              </w:rPr>
              <w:t>：向审批人提交货币资金支付申请，注明款项的用途、金额、预算、支付方式等内容</w:t>
            </w:r>
          </w:p>
          <w:p w14:paraId="68D8FD5E" w14:textId="77777777" w:rsidR="00AF6E9C" w:rsidRDefault="00AF6E9C" w:rsidP="00AF6E9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b)支付</w:t>
            </w:r>
            <w:r>
              <w:rPr>
                <w:rFonts w:cs="Calibri" w:hint="eastAsia"/>
                <w:b/>
                <w:bCs/>
                <w:color w:val="FF0000"/>
                <w:sz w:val="21"/>
                <w:szCs w:val="21"/>
              </w:rPr>
              <w:t>审批</w:t>
            </w:r>
            <w:r>
              <w:rPr>
                <w:rFonts w:cs="Calibri" w:hint="eastAsia"/>
                <w:color w:val="333333"/>
                <w:sz w:val="21"/>
                <w:szCs w:val="21"/>
              </w:rPr>
              <w:t>：根据职责和权限进行审批</w:t>
            </w:r>
          </w:p>
          <w:p w14:paraId="677CE679" w14:textId="77777777" w:rsidR="00AF6E9C" w:rsidRDefault="00AF6E9C" w:rsidP="00AF6E9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c)支付</w:t>
            </w:r>
            <w:r>
              <w:rPr>
                <w:rFonts w:cs="Calibri" w:hint="eastAsia"/>
                <w:b/>
                <w:bCs/>
                <w:color w:val="FF0000"/>
                <w:sz w:val="21"/>
                <w:szCs w:val="21"/>
              </w:rPr>
              <w:t>复核</w:t>
            </w:r>
            <w:r>
              <w:rPr>
                <w:rFonts w:cs="Calibri" w:hint="eastAsia"/>
                <w:color w:val="333333"/>
                <w:sz w:val="21"/>
                <w:szCs w:val="21"/>
              </w:rPr>
              <w:t>：复核无误后，交由出纳人员办理支付手续</w:t>
            </w:r>
          </w:p>
          <w:p w14:paraId="3DA29C4E" w14:textId="77777777" w:rsidR="00AF6E9C" w:rsidRDefault="00AF6E9C" w:rsidP="00AF6E9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d)办理</w:t>
            </w:r>
            <w:r>
              <w:rPr>
                <w:rFonts w:cs="Calibri" w:hint="eastAsia"/>
                <w:b/>
                <w:bCs/>
                <w:color w:val="FF0000"/>
                <w:sz w:val="21"/>
                <w:szCs w:val="21"/>
              </w:rPr>
              <w:t>支付</w:t>
            </w:r>
            <w:r>
              <w:rPr>
                <w:rFonts w:cs="Calibri" w:hint="eastAsia"/>
                <w:color w:val="333333"/>
                <w:sz w:val="21"/>
                <w:szCs w:val="21"/>
              </w:rPr>
              <w:t>：</w:t>
            </w:r>
            <w:r>
              <w:rPr>
                <w:rFonts w:cs="Calibri" w:hint="eastAsia"/>
                <w:b/>
                <w:bCs/>
                <w:color w:val="FF0000"/>
                <w:sz w:val="21"/>
                <w:szCs w:val="21"/>
              </w:rPr>
              <w:t>出纳人员</w:t>
            </w:r>
            <w:r>
              <w:rPr>
                <w:rFonts w:cs="Calibri" w:hint="eastAsia"/>
                <w:color w:val="333333"/>
                <w:sz w:val="21"/>
                <w:szCs w:val="21"/>
              </w:rPr>
              <w:t>办理支付并及时登记库存现金和银行存款日记账</w:t>
            </w:r>
          </w:p>
        </w:tc>
      </w:tr>
    </w:tbl>
    <w:p w14:paraId="6B52850A" w14:textId="77777777" w:rsidR="00AF6E9C" w:rsidRDefault="00AF6E9C" w:rsidP="00AF6E9C">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"http://webupload.admin.dongao.com/biz/handout/img/2019/20190509/20190509161158681002.png"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6" type="#_x0000_t75" style="width:327pt;height:154.5pt">
            <v:imagedata r:id="rId9" r:href="rId10"/>
          </v:shape>
        </w:pict>
      </w:r>
      <w:r>
        <w:rPr>
          <w:rFonts w:ascii="Calibri" w:eastAsia="微软雅黑" w:hAnsi="Calibri" w:cs="Calibri"/>
          <w:color w:val="3F3F3F"/>
          <w:sz w:val="21"/>
          <w:szCs w:val="21"/>
        </w:rPr>
        <w:fldChar w:fldCharType="end"/>
      </w:r>
    </w:p>
    <w:p w14:paraId="57C6AEAB" w14:textId="77777777" w:rsidR="00AF6E9C" w:rsidRDefault="00AF6E9C" w:rsidP="00AF6E9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2.现金和银行存款的管理</w:t>
      </w:r>
    </w:p>
    <w:tbl>
      <w:tblPr>
        <w:tblW w:w="8505" w:type="dxa"/>
        <w:jc w:val="center"/>
        <w:tblCellMar>
          <w:left w:w="0" w:type="dxa"/>
          <w:right w:w="0" w:type="dxa"/>
        </w:tblCellMar>
        <w:tblLook w:val="04A0" w:firstRow="1" w:lastRow="0" w:firstColumn="1" w:lastColumn="0" w:noHBand="0" w:noVBand="1"/>
      </w:tblPr>
      <w:tblGrid>
        <w:gridCol w:w="2126"/>
        <w:gridCol w:w="6379"/>
      </w:tblGrid>
      <w:tr w:rsidR="00AF6E9C" w14:paraId="16F00D5D" w14:textId="77777777" w:rsidTr="00AF6E9C">
        <w:trPr>
          <w:trHeight w:val="387"/>
          <w:jc w:val="center"/>
        </w:trPr>
        <w:tc>
          <w:tcPr>
            <w:tcW w:w="21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C27AE75" w14:textId="77777777" w:rsidR="00AF6E9C" w:rsidRDefault="00AF6E9C" w:rsidP="00AF6E9C">
            <w:pPr>
              <w:rPr>
                <w:rFonts w:eastAsia="微软雅黑" w:cs="Calibri"/>
                <w:color w:val="3F3F3F"/>
                <w:szCs w:val="21"/>
              </w:rPr>
            </w:pPr>
          </w:p>
        </w:tc>
        <w:tc>
          <w:tcPr>
            <w:tcW w:w="637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95CC4A1" w14:textId="77777777" w:rsidR="00AF6E9C" w:rsidRDefault="00AF6E9C" w:rsidP="00AF6E9C">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AF6E9C" w14:paraId="6D1BC2EA" w14:textId="77777777" w:rsidTr="00AF6E9C">
        <w:trPr>
          <w:trHeight w:val="1554"/>
          <w:jc w:val="center"/>
        </w:trPr>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23D5718" w14:textId="77777777" w:rsidR="00AF6E9C" w:rsidRDefault="00AF6E9C" w:rsidP="00AF6E9C">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（1）入账管理</w:t>
            </w:r>
          </w:p>
        </w:tc>
        <w:tc>
          <w:tcPr>
            <w:tcW w:w="63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642F0EF" w14:textId="77777777" w:rsidR="00AF6E9C" w:rsidRDefault="00AF6E9C" w:rsidP="00AF6E9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a)现金收入</w:t>
            </w:r>
            <w:r>
              <w:rPr>
                <w:rFonts w:cs="Calibri" w:hint="eastAsia"/>
                <w:b/>
                <w:bCs/>
                <w:color w:val="FF0000"/>
                <w:sz w:val="21"/>
                <w:szCs w:val="21"/>
              </w:rPr>
              <w:t>应及时存入银行</w:t>
            </w:r>
            <w:r>
              <w:rPr>
                <w:rFonts w:cs="Calibri" w:hint="eastAsia"/>
                <w:color w:val="333333"/>
                <w:sz w:val="21"/>
                <w:szCs w:val="21"/>
              </w:rPr>
              <w:t>，不得用于直接支付自身的支出。特殊情况需</w:t>
            </w:r>
            <w:r>
              <w:rPr>
                <w:rFonts w:cs="Calibri" w:hint="eastAsia"/>
                <w:b/>
                <w:bCs/>
                <w:color w:val="FF0000"/>
                <w:sz w:val="21"/>
                <w:szCs w:val="21"/>
              </w:rPr>
              <w:t>坐支现金</w:t>
            </w:r>
            <w:r>
              <w:rPr>
                <w:rFonts w:cs="Calibri" w:hint="eastAsia"/>
                <w:color w:val="333333"/>
                <w:sz w:val="21"/>
                <w:szCs w:val="21"/>
              </w:rPr>
              <w:t>的，应事先报经</w:t>
            </w:r>
            <w:r>
              <w:rPr>
                <w:rFonts w:cs="Calibri" w:hint="eastAsia"/>
                <w:b/>
                <w:bCs/>
                <w:color w:val="FF0000"/>
                <w:sz w:val="21"/>
                <w:szCs w:val="21"/>
              </w:rPr>
              <w:t>开户银行</w:t>
            </w:r>
            <w:r>
              <w:rPr>
                <w:rFonts w:cs="Calibri" w:hint="eastAsia"/>
                <w:color w:val="333333"/>
                <w:sz w:val="21"/>
                <w:szCs w:val="21"/>
              </w:rPr>
              <w:t>审查批准</w:t>
            </w:r>
          </w:p>
          <w:p w14:paraId="6121EA06" w14:textId="77777777" w:rsidR="00AF6E9C" w:rsidRDefault="00AF6E9C" w:rsidP="00AF6E9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b)货币资金收入必须及时入账，不得私设“小金库”，不得账外设账，严禁</w:t>
            </w:r>
            <w:r>
              <w:rPr>
                <w:rFonts w:cs="Calibri" w:hint="eastAsia"/>
                <w:b/>
                <w:bCs/>
                <w:color w:val="FF0000"/>
                <w:sz w:val="21"/>
                <w:szCs w:val="21"/>
              </w:rPr>
              <w:t>收款不入账</w:t>
            </w:r>
          </w:p>
        </w:tc>
      </w:tr>
      <w:tr w:rsidR="00AF6E9C" w14:paraId="4644A3FD" w14:textId="77777777" w:rsidTr="00AF6E9C">
        <w:trPr>
          <w:trHeight w:val="1534"/>
          <w:jc w:val="center"/>
        </w:trPr>
        <w:tc>
          <w:tcPr>
            <w:tcW w:w="21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1189EF" w14:textId="77777777" w:rsidR="00AF6E9C" w:rsidRDefault="00AF6E9C" w:rsidP="00AF6E9C">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lastRenderedPageBreak/>
              <w:t>（2）对账管理</w:t>
            </w:r>
          </w:p>
        </w:tc>
        <w:tc>
          <w:tcPr>
            <w:tcW w:w="63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4E58AA4" w14:textId="77777777" w:rsidR="00AF6E9C" w:rsidRDefault="00AF6E9C" w:rsidP="00AF6E9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a)指定</w:t>
            </w:r>
            <w:r>
              <w:rPr>
                <w:rFonts w:cs="Calibri" w:hint="eastAsia"/>
                <w:b/>
                <w:bCs/>
                <w:color w:val="FF0000"/>
                <w:sz w:val="21"/>
                <w:szCs w:val="21"/>
              </w:rPr>
              <w:t>专人</w:t>
            </w:r>
            <w:r>
              <w:rPr>
                <w:rFonts w:cs="Calibri" w:hint="eastAsia"/>
                <w:color w:val="333333"/>
                <w:sz w:val="21"/>
                <w:szCs w:val="21"/>
              </w:rPr>
              <w:t>定期核对银行账户，</w:t>
            </w:r>
            <w:r>
              <w:rPr>
                <w:rFonts w:cs="Calibri" w:hint="eastAsia"/>
                <w:b/>
                <w:bCs/>
                <w:color w:val="FF0000"/>
                <w:sz w:val="21"/>
                <w:szCs w:val="21"/>
              </w:rPr>
              <w:t>每月</w:t>
            </w:r>
            <w:r>
              <w:rPr>
                <w:rFonts w:cs="Calibri" w:hint="eastAsia"/>
                <w:color w:val="333333"/>
                <w:sz w:val="21"/>
                <w:szCs w:val="21"/>
              </w:rPr>
              <w:t>至少核对一次，编制银行存款余额调节表；</w:t>
            </w:r>
          </w:p>
          <w:p w14:paraId="75046FDF" w14:textId="77777777" w:rsidR="00AF6E9C" w:rsidRDefault="00AF6E9C" w:rsidP="00AF6E9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b)定期和不定期地进行现金</w:t>
            </w:r>
            <w:r>
              <w:rPr>
                <w:rFonts w:cs="Calibri" w:hint="eastAsia"/>
                <w:b/>
                <w:bCs/>
                <w:color w:val="FF0000"/>
                <w:sz w:val="21"/>
                <w:szCs w:val="21"/>
              </w:rPr>
              <w:t>盘点</w:t>
            </w:r>
            <w:r>
              <w:rPr>
                <w:rFonts w:cs="Calibri" w:hint="eastAsia"/>
                <w:color w:val="333333"/>
                <w:sz w:val="21"/>
                <w:szCs w:val="21"/>
              </w:rPr>
              <w:t>，确保现金账面余额与实际库存相符。发现不符，及时查明原因，作出处理。</w:t>
            </w:r>
          </w:p>
        </w:tc>
      </w:tr>
    </w:tbl>
    <w:p w14:paraId="525402FE" w14:textId="77777777" w:rsidR="00AF6E9C" w:rsidRDefault="00AF6E9C" w:rsidP="00AF6E9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3.票据及印章管理</w:t>
      </w:r>
    </w:p>
    <w:p w14:paraId="7C039B31" w14:textId="77777777" w:rsidR="00AF6E9C" w:rsidRDefault="00AF6E9C" w:rsidP="00AF6E9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企业应当加强银行预留印鉴的管理。财务专用章应由专人保管，个人名章必须由本人或其授权人员保管。严禁一人保管支付款项所需的全部印章。</w:t>
      </w:r>
    </w:p>
    <w:p w14:paraId="3165AD99" w14:textId="77777777" w:rsidR="00AF6E9C" w:rsidRDefault="00AF6E9C" w:rsidP="00AF6E9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4.报销管理</w:t>
      </w:r>
    </w:p>
    <w:p w14:paraId="24C197BB" w14:textId="77777777" w:rsidR="00AF6E9C" w:rsidRDefault="00AF6E9C" w:rsidP="00AF6E9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对于支票报销和现金报销，企业应建立报销制度。报销人员报销时应当有正常的报批手续、适当的付款凭据，有关采购支出还应具有验收手续。会计部门应对报销单据加以审核，出纳员见到加盖核准戳记的支出凭据后方可付款。</w:t>
      </w:r>
    </w:p>
    <w:p w14:paraId="31E6AFE9" w14:textId="77777777" w:rsidR="00AF6E9C" w:rsidRDefault="00AF6E9C" w:rsidP="00AF6E9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三、货币资金审计中需要关注的事项或情形</w:t>
      </w:r>
    </w:p>
    <w:p w14:paraId="79F7425A" w14:textId="77777777" w:rsidR="00AF6E9C" w:rsidRDefault="00AF6E9C" w:rsidP="00AF6E9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当被审计单位存在以下事项或情形时，可能表明存在</w:t>
      </w:r>
      <w:r>
        <w:rPr>
          <w:rFonts w:cs="Calibri" w:hint="eastAsia"/>
          <w:b/>
          <w:bCs/>
          <w:color w:val="FF0000"/>
          <w:sz w:val="21"/>
          <w:szCs w:val="21"/>
        </w:rPr>
        <w:t>舞弊风险</w:t>
      </w:r>
      <w:r>
        <w:rPr>
          <w:rFonts w:cs="Calibri" w:hint="eastAsia"/>
          <w:color w:val="3F3F3F"/>
          <w:sz w:val="21"/>
          <w:szCs w:val="21"/>
        </w:rPr>
        <w:t>，注册会计师需要保持警觉：</w:t>
      </w:r>
    </w:p>
    <w:p w14:paraId="1DB96631" w14:textId="77777777" w:rsidR="00AF6E9C" w:rsidRDefault="00AF6E9C" w:rsidP="00AF6E9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1.被审计单位的现金交易比例较高，并与其所在的行业常用的结算模式不同；</w:t>
      </w:r>
    </w:p>
    <w:p w14:paraId="6C922410" w14:textId="77777777" w:rsidR="00AF6E9C" w:rsidRDefault="00AF6E9C" w:rsidP="00AF6E9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2.银行账户开立数量与企业实际的业务规模不匹配；</w:t>
      </w:r>
    </w:p>
    <w:p w14:paraId="3D7E77D8" w14:textId="77777777" w:rsidR="00AF6E9C" w:rsidRDefault="00AF6E9C" w:rsidP="00AF6E9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3.在没有经营业务的地区开立银行账户；</w:t>
      </w:r>
    </w:p>
    <w:p w14:paraId="37C86107" w14:textId="77777777" w:rsidR="00AF6E9C" w:rsidRDefault="00AF6E9C" w:rsidP="00AF6E9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4.企业资金存放于管理层或员工个人账户；</w:t>
      </w:r>
    </w:p>
    <w:p w14:paraId="1D3F0EEE" w14:textId="77777777" w:rsidR="00AF6E9C" w:rsidRDefault="00AF6E9C" w:rsidP="00AF6E9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5.银行存款明细账存在非正常转账的“一借一贷”；</w:t>
      </w:r>
    </w:p>
    <w:p w14:paraId="172C7B95" w14:textId="77777777" w:rsidR="00AF6E9C" w:rsidRDefault="00AF6E9C" w:rsidP="00AF6E9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6.存在大额外币收付记录，而被审计单位并不涉足外贸业务；</w:t>
      </w:r>
    </w:p>
    <w:p w14:paraId="208DC2AC" w14:textId="77777777" w:rsidR="00AF6E9C" w:rsidRDefault="00AF6E9C" w:rsidP="00AF6E9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7.长期挂账的大额预付款项；</w:t>
      </w:r>
    </w:p>
    <w:p w14:paraId="7971F528" w14:textId="77777777" w:rsidR="00AF6E9C" w:rsidRDefault="00AF6E9C" w:rsidP="00AF6E9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8.付款方账户名称与销售客户名称不一致、收款方账户名称与供应商名称不一致；</w:t>
      </w:r>
    </w:p>
    <w:p w14:paraId="23D6F3F9" w14:textId="77777777" w:rsidR="00AF6E9C" w:rsidRDefault="00AF6E9C" w:rsidP="00AF6E9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9.存在没有具体业务支持或与交易不相匹配的大额资金往来。</w:t>
      </w:r>
    </w:p>
    <w:p w14:paraId="085A556D" w14:textId="77777777" w:rsidR="00AF6E9C" w:rsidRDefault="00AF6E9C" w:rsidP="00AF6E9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单项选择题【模拟题】</w:t>
      </w:r>
    </w:p>
    <w:p w14:paraId="0C8BF265" w14:textId="77777777" w:rsidR="00AF6E9C" w:rsidRDefault="00AF6E9C" w:rsidP="00AF6E9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注册会计师在对被审计单位实施风险评估程序时发现存在未经授权人员接触现金的情况，在评估重大错报风险时，首先应将货币资金的（　　）认定确定为重点审计领域。</w:t>
      </w:r>
    </w:p>
    <w:p w14:paraId="6FDEBE37" w14:textId="77777777" w:rsidR="00AF6E9C" w:rsidRDefault="00AF6E9C" w:rsidP="00AF6E9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A.存在</w:t>
      </w:r>
    </w:p>
    <w:p w14:paraId="4F3446A8" w14:textId="77777777" w:rsidR="00AF6E9C" w:rsidRDefault="00AF6E9C" w:rsidP="00AF6E9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B.完整性</w:t>
      </w:r>
    </w:p>
    <w:p w14:paraId="23876C7B" w14:textId="77777777" w:rsidR="00AF6E9C" w:rsidRDefault="00AF6E9C" w:rsidP="00AF6E9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C.准确性、计价和分摊</w:t>
      </w:r>
    </w:p>
    <w:p w14:paraId="1D596F2C" w14:textId="77777777" w:rsidR="00AF6E9C" w:rsidRDefault="00AF6E9C" w:rsidP="00AF6E9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D.权利和义务</w:t>
      </w:r>
    </w:p>
    <w:p w14:paraId="0B0A9F37" w14:textId="77777777" w:rsidR="00AF6E9C" w:rsidRDefault="00AF6E9C" w:rsidP="00AF6E9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【答案】A</w:t>
      </w:r>
    </w:p>
    <w:p w14:paraId="318AA53F" w14:textId="77777777" w:rsidR="00AF6E9C" w:rsidRDefault="00AF6E9C" w:rsidP="00AF6E9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【点评】选项A中，未经授权接触现金，可能导致货币资金的不当减少，从而导致账面金额被高估，由此违背存在认定。</w:t>
      </w:r>
    </w:p>
    <w:p w14:paraId="2EF2386E" w14:textId="77777777" w:rsidR="00AF6E9C" w:rsidRDefault="00AF6E9C" w:rsidP="00AF6E9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多项选择题【模拟题】</w:t>
      </w:r>
    </w:p>
    <w:p w14:paraId="1D6BA5EF" w14:textId="77777777" w:rsidR="00AF6E9C" w:rsidRDefault="00AF6E9C" w:rsidP="00AF6E9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被审计单位下列与货币资金相关的内部控制中，存在缺陷的包括（　　）。</w:t>
      </w:r>
    </w:p>
    <w:p w14:paraId="45C990B9" w14:textId="77777777" w:rsidR="00AF6E9C" w:rsidRDefault="00AF6E9C" w:rsidP="00AF6E9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A.对于审批人超越授权范围审批的货币资金业务，经办人员先行办理后，需要及时向审批人的上级授权部门报告</w:t>
      </w:r>
    </w:p>
    <w:p w14:paraId="60C1ED4F" w14:textId="77777777" w:rsidR="00AF6E9C" w:rsidRDefault="00AF6E9C" w:rsidP="00AF6E9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B.不签发、取得和转让没有真实交易和债权债务的票据</w:t>
      </w:r>
    </w:p>
    <w:p w14:paraId="0AB9E351" w14:textId="77777777" w:rsidR="00AF6E9C" w:rsidRDefault="00AF6E9C" w:rsidP="00AF6E9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C.出纳人员应当根据复核无误的支付申请，按规定办理货币资金支付手续，及时登记库存现金和银行存款日记账</w:t>
      </w:r>
    </w:p>
    <w:p w14:paraId="18525852" w14:textId="77777777" w:rsidR="00AF6E9C" w:rsidRDefault="00AF6E9C" w:rsidP="00AF6E9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D.出纳人员支付货币资金后，应及时登记应付账款明细账</w:t>
      </w:r>
    </w:p>
    <w:p w14:paraId="2A12F69D" w14:textId="77777777" w:rsidR="00AF6E9C" w:rsidRDefault="00AF6E9C" w:rsidP="00AF6E9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【答案】AD</w:t>
      </w:r>
    </w:p>
    <w:p w14:paraId="348BC10C" w14:textId="77777777" w:rsidR="00AF6E9C" w:rsidRDefault="00AF6E9C" w:rsidP="00AF6E9C">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【点评】选项A中，对于审批人超越授权范围审批的货币资金业务，经办人员应当拒绝办理并向审批人的上级授权部门报告；选项D中，出纳人员不得兼任登记应付账款明细账的工作。对于</w:t>
      </w:r>
      <w:r>
        <w:rPr>
          <w:rFonts w:cs="Calibri" w:hint="eastAsia"/>
          <w:b/>
          <w:bCs/>
          <w:color w:val="FF0000"/>
          <w:sz w:val="21"/>
          <w:szCs w:val="21"/>
        </w:rPr>
        <w:t>出纳人员的职责范围</w:t>
      </w:r>
      <w:r>
        <w:rPr>
          <w:rFonts w:cs="Calibri" w:hint="eastAsia"/>
          <w:color w:val="3F3F3F"/>
          <w:sz w:val="21"/>
          <w:szCs w:val="21"/>
        </w:rPr>
        <w:t>，是高频考点。</w:t>
      </w:r>
    </w:p>
    <w:p w14:paraId="7079C54B" w14:textId="77777777" w:rsidR="00AF6E9C" w:rsidRDefault="00AF6E9C" w:rsidP="00AF6E9C">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四、测试货币资金的内部控制</w:t>
      </w:r>
    </w:p>
    <w:p w14:paraId="0A92C995" w14:textId="77777777" w:rsidR="00AF6E9C" w:rsidRDefault="00AF6E9C" w:rsidP="00AF6E9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1.库存现金的控制测试</w:t>
      </w:r>
    </w:p>
    <w:tbl>
      <w:tblPr>
        <w:tblW w:w="8505" w:type="dxa"/>
        <w:jc w:val="center"/>
        <w:tblCellMar>
          <w:left w:w="0" w:type="dxa"/>
          <w:right w:w="0" w:type="dxa"/>
        </w:tblCellMar>
        <w:tblLook w:val="04A0" w:firstRow="1" w:lastRow="0" w:firstColumn="1" w:lastColumn="0" w:noHBand="0" w:noVBand="1"/>
      </w:tblPr>
      <w:tblGrid>
        <w:gridCol w:w="1129"/>
        <w:gridCol w:w="3402"/>
        <w:gridCol w:w="3974"/>
      </w:tblGrid>
      <w:tr w:rsidR="00AF6E9C" w14:paraId="7AE11101" w14:textId="77777777" w:rsidTr="00AF6E9C">
        <w:trPr>
          <w:trHeight w:val="369"/>
          <w:jc w:val="center"/>
        </w:trPr>
        <w:tc>
          <w:tcPr>
            <w:tcW w:w="112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4C0C01" w14:textId="77777777" w:rsidR="00AF6E9C" w:rsidRDefault="00AF6E9C" w:rsidP="00AF6E9C">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环节</w:t>
            </w:r>
          </w:p>
        </w:tc>
        <w:tc>
          <w:tcPr>
            <w:tcW w:w="340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C756904" w14:textId="77777777" w:rsidR="00AF6E9C" w:rsidRDefault="00AF6E9C" w:rsidP="00AF6E9C">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关键内部控制</w:t>
            </w:r>
          </w:p>
        </w:tc>
        <w:tc>
          <w:tcPr>
            <w:tcW w:w="397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F4A9272" w14:textId="77777777" w:rsidR="00AF6E9C" w:rsidRDefault="00AF6E9C" w:rsidP="00AF6E9C">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内部控制测试程序</w:t>
            </w:r>
          </w:p>
        </w:tc>
      </w:tr>
      <w:tr w:rsidR="00AF6E9C" w14:paraId="1F9F1258" w14:textId="77777777" w:rsidTr="00AF6E9C">
        <w:trPr>
          <w:trHeight w:val="2590"/>
          <w:jc w:val="center"/>
        </w:trPr>
        <w:tc>
          <w:tcPr>
            <w:tcW w:w="1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7563B4A" w14:textId="77777777" w:rsidR="00AF6E9C" w:rsidRDefault="00AF6E9C" w:rsidP="00AF6E9C">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现金付款的审批和复核</w:t>
            </w:r>
          </w:p>
        </w:tc>
        <w:tc>
          <w:tcPr>
            <w:tcW w:w="340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22D5D53" w14:textId="77777777" w:rsidR="00AF6E9C" w:rsidRDefault="00AF6E9C" w:rsidP="00AF6E9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（1）部门经理审批本部门的付款申请，在复核无误后签字认可</w:t>
            </w:r>
          </w:p>
          <w:p w14:paraId="11621205" w14:textId="77777777" w:rsidR="00AF6E9C" w:rsidRDefault="00AF6E9C" w:rsidP="00AF6E9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（2）财务经理再次复核经审批的付款申请及后附相关凭据或证明，如核对一致，进行签字认可并安排付款</w:t>
            </w:r>
          </w:p>
        </w:tc>
        <w:tc>
          <w:tcPr>
            <w:tcW w:w="39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A5A0DA0" w14:textId="77777777" w:rsidR="00AF6E9C" w:rsidRDefault="00AF6E9C" w:rsidP="00AF6E9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（1）询问部门经理和财务经理其在日常现金付款业务中执行的内部控制</w:t>
            </w:r>
          </w:p>
          <w:p w14:paraId="6BC99BB9" w14:textId="77777777" w:rsidR="00AF6E9C" w:rsidRDefault="00AF6E9C" w:rsidP="00AF6E9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（2）观察财务经理复核付款申请的过程，是否核对了付款申请的用途、金额及后附相关凭据，以及在核对无误后是否进行了签字确认</w:t>
            </w:r>
          </w:p>
          <w:p w14:paraId="3067F7ED" w14:textId="77777777" w:rsidR="00AF6E9C" w:rsidRDefault="00AF6E9C" w:rsidP="00AF6E9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（3）重新核对经审批及复核的付款申请及其相关凭据，并检查是否经签字确认</w:t>
            </w:r>
          </w:p>
        </w:tc>
      </w:tr>
      <w:tr w:rsidR="00AF6E9C" w14:paraId="63BCD44B" w14:textId="77777777" w:rsidTr="00AF6E9C">
        <w:trPr>
          <w:trHeight w:val="2810"/>
          <w:jc w:val="center"/>
        </w:trPr>
        <w:tc>
          <w:tcPr>
            <w:tcW w:w="112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48F8C3E" w14:textId="77777777" w:rsidR="00AF6E9C" w:rsidRDefault="00AF6E9C" w:rsidP="00AF6E9C">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现金盘点</w:t>
            </w:r>
          </w:p>
        </w:tc>
        <w:tc>
          <w:tcPr>
            <w:tcW w:w="340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03EAF0" w14:textId="77777777" w:rsidR="00AF6E9C" w:rsidRDefault="00AF6E9C" w:rsidP="00AF6E9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（1）会计主管指定应付账款会计每月末对库存现金进行盘点，编制库存现金盘点表，将盘点余额与现金日记账余额进行核对，并对差异调节项进行说明</w:t>
            </w:r>
          </w:p>
          <w:p w14:paraId="6B58A671" w14:textId="77777777" w:rsidR="00AF6E9C" w:rsidRDefault="00AF6E9C" w:rsidP="00AF6E9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（2）会计主管复核库存现金盘点表，如差异金额超过2万元，需查明原因并报财务经理批准后进行财务处理</w:t>
            </w:r>
          </w:p>
        </w:tc>
        <w:tc>
          <w:tcPr>
            <w:tcW w:w="39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F6322B" w14:textId="77777777" w:rsidR="00AF6E9C" w:rsidRDefault="00AF6E9C" w:rsidP="00AF6E9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（1）观察现金盘点程序是否按照盘点计划的指令和程序执行</w:t>
            </w:r>
          </w:p>
          <w:p w14:paraId="79EF626D" w14:textId="77777777" w:rsidR="00AF6E9C" w:rsidRDefault="00AF6E9C" w:rsidP="00AF6E9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（2）检查是否编制了现金盘点表并根据内控要求经财务部相关人员签字复核</w:t>
            </w:r>
          </w:p>
          <w:p w14:paraId="6F9FE263" w14:textId="77777777" w:rsidR="00AF6E9C" w:rsidRDefault="00AF6E9C" w:rsidP="00AF6E9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（3）针对调节差异金额超过2万元的调节项，检查是否经财务经理批准后进行财务处理</w:t>
            </w:r>
          </w:p>
        </w:tc>
      </w:tr>
    </w:tbl>
    <w:p w14:paraId="5E29237A" w14:textId="77777777" w:rsidR="00AF6E9C" w:rsidRDefault="00AF6E9C" w:rsidP="00AF6E9C">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2.银行存款的控制测试</w:t>
      </w:r>
    </w:p>
    <w:tbl>
      <w:tblPr>
        <w:tblW w:w="8505" w:type="dxa"/>
        <w:jc w:val="center"/>
        <w:tblCellMar>
          <w:left w:w="0" w:type="dxa"/>
          <w:right w:w="0" w:type="dxa"/>
        </w:tblCellMar>
        <w:tblLook w:val="04A0" w:firstRow="1" w:lastRow="0" w:firstColumn="1" w:lastColumn="0" w:noHBand="0" w:noVBand="1"/>
      </w:tblPr>
      <w:tblGrid>
        <w:gridCol w:w="1668"/>
        <w:gridCol w:w="3064"/>
        <w:gridCol w:w="3773"/>
      </w:tblGrid>
      <w:tr w:rsidR="00AF6E9C" w14:paraId="6DEA5EEE" w14:textId="77777777" w:rsidTr="00AF6E9C">
        <w:trPr>
          <w:trHeight w:val="458"/>
          <w:jc w:val="center"/>
        </w:trPr>
        <w:tc>
          <w:tcPr>
            <w:tcW w:w="16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B42DE2D" w14:textId="77777777" w:rsidR="00AF6E9C" w:rsidRDefault="00AF6E9C" w:rsidP="00AF6E9C">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环节</w:t>
            </w:r>
          </w:p>
        </w:tc>
        <w:tc>
          <w:tcPr>
            <w:tcW w:w="306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F5262E6" w14:textId="77777777" w:rsidR="00AF6E9C" w:rsidRDefault="00AF6E9C" w:rsidP="00AF6E9C">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关键内部控制</w:t>
            </w:r>
          </w:p>
        </w:tc>
        <w:tc>
          <w:tcPr>
            <w:tcW w:w="377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6A909D1" w14:textId="77777777" w:rsidR="00AF6E9C" w:rsidRDefault="00AF6E9C" w:rsidP="00AF6E9C">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内部控制测试程序</w:t>
            </w:r>
          </w:p>
        </w:tc>
      </w:tr>
      <w:tr w:rsidR="00AF6E9C" w14:paraId="645C16B9" w14:textId="77777777" w:rsidTr="00AF6E9C">
        <w:trPr>
          <w:trHeight w:val="1587"/>
          <w:jc w:val="center"/>
        </w:trPr>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348BFA7" w14:textId="77777777" w:rsidR="00AF6E9C" w:rsidRDefault="00AF6E9C" w:rsidP="00AF6E9C">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银行账户的开立、变更和注销</w:t>
            </w:r>
          </w:p>
        </w:tc>
        <w:tc>
          <w:tcPr>
            <w:tcW w:w="30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ED58CA" w14:textId="77777777" w:rsidR="00AF6E9C" w:rsidRDefault="00AF6E9C" w:rsidP="00AF6E9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会计主管根据被审计单位的实际业务需要就银行账户的开立、变更和注销提出申请，经财务经理审核后报总经理审批</w:t>
            </w:r>
          </w:p>
        </w:tc>
        <w:tc>
          <w:tcPr>
            <w:tcW w:w="377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73FF2C" w14:textId="77777777" w:rsidR="00AF6E9C" w:rsidRDefault="00AF6E9C" w:rsidP="00AF6E9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（1）询问会计主管被审计单位本年开户、变更、撤销的整体情况</w:t>
            </w:r>
          </w:p>
          <w:p w14:paraId="611100E4" w14:textId="77777777" w:rsidR="00AF6E9C" w:rsidRDefault="00AF6E9C" w:rsidP="00AF6E9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（2）取得本年度账户开立、变更、撤销申请项目清单，检查是否已经财务经理和总经理审批</w:t>
            </w:r>
          </w:p>
        </w:tc>
      </w:tr>
      <w:tr w:rsidR="00AF6E9C" w14:paraId="5D2F1EE6" w14:textId="77777777" w:rsidTr="00AF6E9C">
        <w:trPr>
          <w:trHeight w:val="2967"/>
          <w:jc w:val="center"/>
        </w:trPr>
        <w:tc>
          <w:tcPr>
            <w:tcW w:w="16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BE0A6A0" w14:textId="77777777" w:rsidR="00AF6E9C" w:rsidRDefault="00AF6E9C" w:rsidP="00AF6E9C">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编制银行存款余额调节表</w:t>
            </w:r>
          </w:p>
        </w:tc>
        <w:tc>
          <w:tcPr>
            <w:tcW w:w="306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6525C9" w14:textId="77777777" w:rsidR="00AF6E9C" w:rsidRDefault="00AF6E9C" w:rsidP="00AF6E9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（1）会计主管指定应收账款会计核对银行存款日记账和银行对账单，编制银行存款余额调节表，如存在差异项，查明原因并进行差异调节说明</w:t>
            </w:r>
          </w:p>
          <w:p w14:paraId="27676BCF" w14:textId="77777777" w:rsidR="00AF6E9C" w:rsidRDefault="00AF6E9C" w:rsidP="00AF6E9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（2）会计主管复核银行存款余额调节表，对需要进行调整的调节项目及时进行处理，并签字确认</w:t>
            </w:r>
          </w:p>
        </w:tc>
        <w:tc>
          <w:tcPr>
            <w:tcW w:w="377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59FAB3B" w14:textId="77777777" w:rsidR="00AF6E9C" w:rsidRDefault="00AF6E9C" w:rsidP="00AF6E9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（1）询问应收账款会计和会计主管银行存款余额调节表的编制和复核过程</w:t>
            </w:r>
          </w:p>
          <w:p w14:paraId="1978D7C5" w14:textId="77777777" w:rsidR="00AF6E9C" w:rsidRDefault="00AF6E9C" w:rsidP="00AF6E9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（2）检查银行存款余额调节表</w:t>
            </w:r>
          </w:p>
          <w:p w14:paraId="4BFA522B" w14:textId="77777777" w:rsidR="00AF6E9C" w:rsidRDefault="00AF6E9C" w:rsidP="00AF6E9C">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（3）针对调节项目，检查是否经会计主管的签字复核</w:t>
            </w:r>
          </w:p>
        </w:tc>
      </w:tr>
    </w:tbl>
    <w:p w14:paraId="73C1513E" w14:textId="77777777" w:rsidR="00AF6E9C" w:rsidRDefault="00AF6E9C" w:rsidP="00AF6E9C">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5A56A2BF" w14:textId="77777777" w:rsidR="00AF6E9C" w:rsidRDefault="00AF6E9C" w:rsidP="00AF6E9C">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"http://webupload.admin.dongao.com/biz/handout/img/2019/20190509/20190509161158964003.png"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7" type="#_x0000_t75" style="width:353.25pt;height:181.5pt">
            <v:imagedata r:id="rId11" r:href="rId12"/>
          </v:shape>
        </w:pict>
      </w:r>
      <w:r>
        <w:rPr>
          <w:rFonts w:ascii="Calibri" w:eastAsia="微软雅黑" w:hAnsi="Calibri" w:cs="Calibri"/>
          <w:color w:val="3F3F3F"/>
          <w:sz w:val="21"/>
          <w:szCs w:val="21"/>
        </w:rPr>
        <w:fldChar w:fldCharType="end"/>
      </w:r>
    </w:p>
    <w:p w14:paraId="48AE5087" w14:textId="77777777" w:rsidR="00AF6E9C" w:rsidRDefault="00AF6E9C" w:rsidP="00AF6E9C">
      <w:pPr>
        <w:shd w:val="clear" w:color="auto" w:fill="FFFFFF"/>
        <w:rPr>
          <w:rFonts w:ascii="微软雅黑" w:eastAsia="微软雅黑" w:hAnsi="微软雅黑" w:cs="宋体"/>
          <w:color w:val="3F3F3F"/>
          <w:szCs w:val="21"/>
        </w:rPr>
      </w:pPr>
    </w:p>
    <w:p w14:paraId="62542E65" w14:textId="77777777" w:rsidR="00271D8C" w:rsidRPr="00AF6E9C" w:rsidRDefault="00271D8C" w:rsidP="00AF6E9C">
      <w:pPr>
        <w:rPr>
          <w:rFonts w:hint="eastAsia"/>
        </w:rPr>
      </w:pPr>
    </w:p>
    <w:sectPr w:rsidR="00271D8C" w:rsidRPr="00AF6E9C" w:rsidSect="001F62DD">
      <w:headerReference w:type="default" r:id="rId13"/>
      <w:footerReference w:type="default" r:id="rId14"/>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AF435A" w14:textId="77777777" w:rsidR="001E554A" w:rsidRDefault="001E554A" w:rsidP="00CD53C5">
      <w:r>
        <w:separator/>
      </w:r>
    </w:p>
  </w:endnote>
  <w:endnote w:type="continuationSeparator" w:id="0">
    <w:p w14:paraId="41FFBB2E" w14:textId="77777777" w:rsidR="001E554A" w:rsidRDefault="001E554A"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03724B94" w14:textId="77777777" w:rsidTr="007B0BFD">
      <w:trPr>
        <w:trHeight w:val="274"/>
      </w:trPr>
      <w:tc>
        <w:tcPr>
          <w:tcW w:w="2050" w:type="dxa"/>
          <w:shd w:val="clear" w:color="auto" w:fill="auto"/>
          <w:vAlign w:val="center"/>
        </w:tcPr>
        <w:p w14:paraId="7AD83998"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8" type="#_x0000_t75" style="width:90.75pt;height:26.25pt;visibility:visible">
                <v:imagedata r:id="rId1" o:title=""/>
              </v:shape>
            </w:pict>
          </w:r>
        </w:p>
      </w:tc>
      <w:tc>
        <w:tcPr>
          <w:tcW w:w="3742" w:type="dxa"/>
          <w:shd w:val="clear" w:color="auto" w:fill="auto"/>
          <w:vAlign w:val="center"/>
        </w:tcPr>
        <w:p w14:paraId="54267DC5"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63B3CAA7"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52CA1740"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84D359" w14:textId="77777777" w:rsidR="001E554A" w:rsidRDefault="001E554A" w:rsidP="00CD53C5">
      <w:r>
        <w:separator/>
      </w:r>
    </w:p>
  </w:footnote>
  <w:footnote w:type="continuationSeparator" w:id="0">
    <w:p w14:paraId="1FC44DC5" w14:textId="77777777" w:rsidR="001E554A" w:rsidRDefault="001E554A"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786E3583" w14:textId="77777777" w:rsidTr="007B0BFD">
      <w:trPr>
        <w:trHeight w:val="501"/>
      </w:trPr>
      <w:tc>
        <w:tcPr>
          <w:tcW w:w="4272" w:type="dxa"/>
          <w:shd w:val="clear" w:color="auto" w:fill="auto"/>
          <w:vAlign w:val="center"/>
        </w:tcPr>
        <w:p w14:paraId="025DD747" w14:textId="77777777" w:rsidR="001545C6" w:rsidRPr="001F62DD" w:rsidRDefault="00AF6E9C"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65188333" w14:textId="77777777" w:rsidR="001545C6" w:rsidRPr="004D61E7" w:rsidRDefault="00AF6E9C"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第十二章</w:t>
          </w:r>
          <w:r>
            <w:rPr>
              <w:rFonts w:ascii="微软雅黑" w:eastAsia="微软雅黑" w:hAnsi="微软雅黑"/>
              <w:sz w:val="24"/>
              <w:szCs w:val="24"/>
            </w:rPr>
            <w:t>+货币资金的审计</w:t>
          </w:r>
        </w:p>
      </w:tc>
    </w:tr>
  </w:tbl>
  <w:p w14:paraId="3707C858"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E554A"/>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34E76"/>
    <w:rsid w:val="00A42D54"/>
    <w:rsid w:val="00A8418D"/>
    <w:rsid w:val="00A84ABB"/>
    <w:rsid w:val="00AA2B40"/>
    <w:rsid w:val="00AA617F"/>
    <w:rsid w:val="00AD308A"/>
    <w:rsid w:val="00AF6E9C"/>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5AC9F09"/>
  <w15:docId w15:val="{66BE3412-6D1A-41E2-88A3-EF8A3059F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1979800284">
      <w:bodyDiv w:val="1"/>
      <w:marLeft w:val="0"/>
      <w:marRight w:val="0"/>
      <w:marTop w:val="0"/>
      <w:marBottom w:val="0"/>
      <w:divBdr>
        <w:top w:val="none" w:sz="0" w:space="0" w:color="auto"/>
        <w:left w:val="none" w:sz="0" w:space="0" w:color="auto"/>
        <w:bottom w:val="none" w:sz="0" w:space="0" w:color="auto"/>
        <w:right w:val="none" w:sz="0" w:space="0" w:color="auto"/>
      </w:divBdr>
      <w:divsChild>
        <w:div w:id="1330598540">
          <w:marLeft w:val="0"/>
          <w:marRight w:val="0"/>
          <w:marTop w:val="0"/>
          <w:marBottom w:val="0"/>
          <w:divBdr>
            <w:top w:val="none" w:sz="0" w:space="0" w:color="auto"/>
            <w:left w:val="none" w:sz="0" w:space="0" w:color="auto"/>
            <w:bottom w:val="none" w:sz="0" w:space="0" w:color="auto"/>
            <w:right w:val="none" w:sz="0" w:space="0" w:color="auto"/>
          </w:divBdr>
          <w:divsChild>
            <w:div w:id="206264438">
              <w:marLeft w:val="0"/>
              <w:marRight w:val="0"/>
              <w:marTop w:val="0"/>
              <w:marBottom w:val="0"/>
              <w:divBdr>
                <w:top w:val="none" w:sz="0" w:space="0" w:color="auto"/>
                <w:left w:val="none" w:sz="0" w:space="0" w:color="auto"/>
                <w:bottom w:val="none" w:sz="0" w:space="0" w:color="auto"/>
                <w:right w:val="none" w:sz="0" w:space="0" w:color="auto"/>
              </w:divBdr>
            </w:div>
            <w:div w:id="233511684">
              <w:marLeft w:val="0"/>
              <w:marRight w:val="0"/>
              <w:marTop w:val="0"/>
              <w:marBottom w:val="0"/>
              <w:divBdr>
                <w:top w:val="none" w:sz="0" w:space="0" w:color="auto"/>
                <w:left w:val="none" w:sz="0" w:space="0" w:color="auto"/>
                <w:bottom w:val="none" w:sz="0" w:space="0" w:color="auto"/>
                <w:right w:val="none" w:sz="0" w:space="0" w:color="auto"/>
              </w:divBdr>
            </w:div>
            <w:div w:id="407195802">
              <w:marLeft w:val="0"/>
              <w:marRight w:val="0"/>
              <w:marTop w:val="0"/>
              <w:marBottom w:val="0"/>
              <w:divBdr>
                <w:top w:val="none" w:sz="0" w:space="0" w:color="auto"/>
                <w:left w:val="none" w:sz="0" w:space="0" w:color="auto"/>
                <w:bottom w:val="none" w:sz="0" w:space="0" w:color="auto"/>
                <w:right w:val="none" w:sz="0" w:space="0" w:color="auto"/>
              </w:divBdr>
            </w:div>
            <w:div w:id="819155898">
              <w:marLeft w:val="0"/>
              <w:marRight w:val="0"/>
              <w:marTop w:val="0"/>
              <w:marBottom w:val="0"/>
              <w:divBdr>
                <w:top w:val="none" w:sz="0" w:space="0" w:color="auto"/>
                <w:left w:val="none" w:sz="0" w:space="0" w:color="auto"/>
                <w:bottom w:val="none" w:sz="0" w:space="0" w:color="auto"/>
                <w:right w:val="none" w:sz="0" w:space="0" w:color="auto"/>
              </w:divBdr>
            </w:div>
            <w:div w:id="960066154">
              <w:marLeft w:val="0"/>
              <w:marRight w:val="0"/>
              <w:marTop w:val="0"/>
              <w:marBottom w:val="0"/>
              <w:divBdr>
                <w:top w:val="none" w:sz="0" w:space="0" w:color="auto"/>
                <w:left w:val="none" w:sz="0" w:space="0" w:color="auto"/>
                <w:bottom w:val="none" w:sz="0" w:space="0" w:color="auto"/>
                <w:right w:val="none" w:sz="0" w:space="0" w:color="auto"/>
              </w:divBdr>
            </w:div>
            <w:div w:id="1030765988">
              <w:marLeft w:val="0"/>
              <w:marRight w:val="0"/>
              <w:marTop w:val="0"/>
              <w:marBottom w:val="0"/>
              <w:divBdr>
                <w:top w:val="none" w:sz="0" w:space="0" w:color="auto"/>
                <w:left w:val="none" w:sz="0" w:space="0" w:color="auto"/>
                <w:bottom w:val="none" w:sz="0" w:space="0" w:color="auto"/>
                <w:right w:val="none" w:sz="0" w:space="0" w:color="auto"/>
              </w:divBdr>
            </w:div>
            <w:div w:id="1155301230">
              <w:marLeft w:val="0"/>
              <w:marRight w:val="0"/>
              <w:marTop w:val="0"/>
              <w:marBottom w:val="0"/>
              <w:divBdr>
                <w:top w:val="none" w:sz="0" w:space="0" w:color="auto"/>
                <w:left w:val="none" w:sz="0" w:space="0" w:color="auto"/>
                <w:bottom w:val="none" w:sz="0" w:space="0" w:color="auto"/>
                <w:right w:val="none" w:sz="0" w:space="0" w:color="auto"/>
              </w:divBdr>
            </w:div>
            <w:div w:id="1162159371">
              <w:marLeft w:val="0"/>
              <w:marRight w:val="0"/>
              <w:marTop w:val="0"/>
              <w:marBottom w:val="0"/>
              <w:divBdr>
                <w:top w:val="none" w:sz="0" w:space="0" w:color="auto"/>
                <w:left w:val="none" w:sz="0" w:space="0" w:color="auto"/>
                <w:bottom w:val="none" w:sz="0" w:space="0" w:color="auto"/>
                <w:right w:val="none" w:sz="0" w:space="0" w:color="auto"/>
              </w:divBdr>
            </w:div>
            <w:div w:id="1347515118">
              <w:marLeft w:val="0"/>
              <w:marRight w:val="0"/>
              <w:marTop w:val="0"/>
              <w:marBottom w:val="0"/>
              <w:divBdr>
                <w:top w:val="none" w:sz="0" w:space="0" w:color="auto"/>
                <w:left w:val="none" w:sz="0" w:space="0" w:color="auto"/>
                <w:bottom w:val="none" w:sz="0" w:space="0" w:color="auto"/>
                <w:right w:val="none" w:sz="0" w:space="0" w:color="auto"/>
              </w:divBdr>
            </w:div>
            <w:div w:id="1523662511">
              <w:marLeft w:val="0"/>
              <w:marRight w:val="0"/>
              <w:marTop w:val="0"/>
              <w:marBottom w:val="0"/>
              <w:divBdr>
                <w:top w:val="none" w:sz="0" w:space="0" w:color="auto"/>
                <w:left w:val="none" w:sz="0" w:space="0" w:color="auto"/>
                <w:bottom w:val="none" w:sz="0" w:space="0" w:color="auto"/>
                <w:right w:val="none" w:sz="0" w:space="0" w:color="auto"/>
              </w:divBdr>
            </w:div>
            <w:div w:id="1779906116">
              <w:marLeft w:val="0"/>
              <w:marRight w:val="0"/>
              <w:marTop w:val="0"/>
              <w:marBottom w:val="0"/>
              <w:divBdr>
                <w:top w:val="none" w:sz="0" w:space="0" w:color="auto"/>
                <w:left w:val="none" w:sz="0" w:space="0" w:color="auto"/>
                <w:bottom w:val="none" w:sz="0" w:space="0" w:color="auto"/>
                <w:right w:val="none" w:sz="0" w:space="0" w:color="auto"/>
              </w:divBdr>
            </w:div>
            <w:div w:id="1907102776">
              <w:marLeft w:val="0"/>
              <w:marRight w:val="0"/>
              <w:marTop w:val="0"/>
              <w:marBottom w:val="0"/>
              <w:divBdr>
                <w:top w:val="none" w:sz="0" w:space="0" w:color="auto"/>
                <w:left w:val="none" w:sz="0" w:space="0" w:color="auto"/>
                <w:bottom w:val="none" w:sz="0" w:space="0" w:color="auto"/>
                <w:right w:val="none" w:sz="0" w:space="0" w:color="auto"/>
              </w:divBdr>
            </w:div>
            <w:div w:id="195055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509/20190509161158154001.pn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webupload.admin.dongao.com/biz/handout/img/2019/20190509/20190509161158964003.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http://webupload.admin.dongao.com/biz/handout/img/2019/20190509/20190509161158681002.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3C065-1C9C-4C8B-A40C-BE35741B4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468</Words>
  <Characters>2670</Characters>
  <Application>Microsoft Office Word</Application>
  <DocSecurity>0</DocSecurity>
  <Lines>22</Lines>
  <Paragraphs>6</Paragraphs>
  <ScaleCrop>false</ScaleCrop>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