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9DBF2" w14:textId="77777777" w:rsidR="00287F83" w:rsidRDefault="00287F83" w:rsidP="00287F83">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w:t>
      </w:r>
      <w:r>
        <w:rPr>
          <w:rFonts w:cs="Calibri" w:hint="eastAsia"/>
          <w:b/>
          <w:bCs/>
          <w:color w:val="3F3F3F"/>
          <w:sz w:val="52"/>
          <w:szCs w:val="52"/>
        </w:rPr>
        <w:t>•</w:t>
      </w:r>
      <w:r>
        <w:rPr>
          <w:rFonts w:ascii="楷体" w:eastAsia="楷体" w:hAnsi="楷体" w:cs="Calibri" w:hint="eastAsia"/>
          <w:b/>
          <w:bCs/>
          <w:color w:val="3F3F3F"/>
          <w:sz w:val="52"/>
          <w:szCs w:val="52"/>
        </w:rPr>
        <w:t>第十二章</w:t>
      </w:r>
      <w:r>
        <w:rPr>
          <w:rFonts w:cs="Calibri" w:hint="eastAsia"/>
          <w:b/>
          <w:bCs/>
          <w:color w:val="3F3F3F"/>
          <w:sz w:val="52"/>
          <w:szCs w:val="52"/>
        </w:rPr>
        <w:t>•</w:t>
      </w:r>
      <w:r>
        <w:rPr>
          <w:rFonts w:ascii="楷体" w:eastAsia="楷体" w:hAnsi="楷体" w:cs="Calibri" w:hint="eastAsia"/>
          <w:b/>
          <w:bCs/>
          <w:color w:val="3F3F3F"/>
          <w:sz w:val="52"/>
          <w:szCs w:val="52"/>
        </w:rPr>
        <w:t>货币资金的审计</w:t>
      </w:r>
    </w:p>
    <w:p w14:paraId="6EB7BDAF" w14:textId="77777777" w:rsidR="00287F83" w:rsidRDefault="00287F83" w:rsidP="00287F83">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9F4DC8F"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六、银行存款的实质性程序</w:t>
      </w:r>
    </w:p>
    <w:p w14:paraId="61BE28B2"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4.取得并检查银行对账单和银行存款余额调节表</w:t>
      </w:r>
    </w:p>
    <w:p w14:paraId="572C3132"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取得并检查银行对账单和银行存款余额调节表是证实资产负债表中所列银行存款</w:t>
      </w:r>
      <w:r>
        <w:rPr>
          <w:rFonts w:cs="Calibri" w:hint="eastAsia"/>
          <w:b/>
          <w:bCs/>
          <w:color w:val="FF0000"/>
          <w:sz w:val="21"/>
          <w:szCs w:val="21"/>
        </w:rPr>
        <w:t>是否存在</w:t>
      </w:r>
      <w:r>
        <w:rPr>
          <w:rFonts w:cs="Calibri" w:hint="eastAsia"/>
          <w:color w:val="3F3F3F"/>
          <w:sz w:val="21"/>
          <w:szCs w:val="21"/>
        </w:rPr>
        <w:t>的重要程序。</w:t>
      </w:r>
    </w:p>
    <w:p w14:paraId="556820A8"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（1）取得并检查银行对账单：</w:t>
      </w:r>
    </w:p>
    <w:p w14:paraId="16B9B08A"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a）将获取的银行对账单余额与银行日记账</w:t>
      </w:r>
      <w:r>
        <w:rPr>
          <w:rFonts w:cs="Calibri" w:hint="eastAsia"/>
          <w:b/>
          <w:bCs/>
          <w:color w:val="FF0000"/>
          <w:sz w:val="21"/>
          <w:szCs w:val="21"/>
        </w:rPr>
        <w:t>余额</w:t>
      </w:r>
      <w:r>
        <w:rPr>
          <w:rFonts w:cs="Calibri" w:hint="eastAsia"/>
          <w:color w:val="3F3F3F"/>
          <w:sz w:val="21"/>
          <w:szCs w:val="21"/>
        </w:rPr>
        <w:t>进行核对，如存在差异，获取银行存款余额调节表；</w:t>
      </w:r>
    </w:p>
    <w:p w14:paraId="6CB65A00"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b）将被审计单位资产负债表日的银行对账单与</w:t>
      </w:r>
      <w:r>
        <w:rPr>
          <w:rFonts w:cs="Calibri" w:hint="eastAsia"/>
          <w:b/>
          <w:bCs/>
          <w:color w:val="FF0000"/>
          <w:sz w:val="21"/>
          <w:szCs w:val="21"/>
        </w:rPr>
        <w:t>银行询证函回函</w:t>
      </w:r>
      <w:r>
        <w:rPr>
          <w:rFonts w:cs="Calibri" w:hint="eastAsia"/>
          <w:color w:val="3F3F3F"/>
          <w:sz w:val="21"/>
          <w:szCs w:val="21"/>
        </w:rPr>
        <w:t>核对，确认是否一致。</w:t>
      </w:r>
    </w:p>
    <w:p w14:paraId="2AA790DC"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案例</w:t>
      </w:r>
    </w:p>
    <w:p w14:paraId="796D2042"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甲公司2015年12月31日银行存款日记账的余额为5400000元，银行转来对账单的余额为8300000元。经逐笔核对，发现以下未达账项：</w:t>
      </w:r>
    </w:p>
    <w:p w14:paraId="6A7B8A19"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（1）企业送存转账支票6000000元，并已登记银行存款增加，但银行尚未记账。</w:t>
      </w:r>
    </w:p>
    <w:p w14:paraId="206DC051"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（2）企业开出转账支票4500000元，并已登记银行存款减少，但持票单位尚未到银行办理转账，银行尚未记账。</w:t>
      </w:r>
    </w:p>
    <w:p w14:paraId="2D77B819"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（3）企业委托银行代收某公司购货款4800000元，银行已收妥并登记入账，但企业尚未收到收款通知，尚未记账。</w:t>
      </w:r>
    </w:p>
    <w:p w14:paraId="64DE544C"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（4）银行代企业支付电话费400000元，银行已登记企业银行存款减少，但企业未收到银行付款通知，尚未记账。</w:t>
      </w:r>
    </w:p>
    <w:p w14:paraId="4054D0CF" w14:textId="77777777" w:rsidR="00287F83" w:rsidRDefault="00287F83" w:rsidP="00287F8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1"/>
          <w:szCs w:val="21"/>
        </w:rPr>
        <w:t>银行存款余额调节表</w:t>
      </w:r>
    </w:p>
    <w:p w14:paraId="10DB6FF1" w14:textId="77777777" w:rsidR="00287F83" w:rsidRDefault="00287F83" w:rsidP="00287F83">
      <w:pPr>
        <w:pStyle w:val="aa"/>
        <w:shd w:val="clear" w:color="auto" w:fill="FFFFFF"/>
        <w:spacing w:before="0" w:beforeAutospacing="0" w:after="0" w:afterAutospacing="0"/>
        <w:ind w:firstLine="420"/>
        <w:jc w:val="right"/>
        <w:rPr>
          <w:rFonts w:ascii="Calibri" w:eastAsia="微软雅黑" w:hAnsi="Calibri" w:cs="Calibri"/>
          <w:color w:val="3F3F3F"/>
          <w:sz w:val="21"/>
          <w:szCs w:val="21"/>
        </w:rPr>
      </w:pPr>
      <w:r>
        <w:rPr>
          <w:rFonts w:cs="Calibri" w:hint="eastAsia"/>
          <w:color w:val="3F3F3F"/>
          <w:sz w:val="21"/>
          <w:szCs w:val="21"/>
        </w:rPr>
        <w:t>单位：元</w:t>
      </w:r>
    </w:p>
    <w:tbl>
      <w:tblPr>
        <w:tblW w:w="8500" w:type="dxa"/>
        <w:jc w:val="center"/>
        <w:tblCellMar>
          <w:left w:w="0" w:type="dxa"/>
          <w:right w:w="0" w:type="dxa"/>
        </w:tblCellMar>
        <w:tblLook w:val="04A0" w:firstRow="1" w:lastRow="0" w:firstColumn="1" w:lastColumn="0" w:noHBand="0" w:noVBand="1"/>
      </w:tblPr>
      <w:tblGrid>
        <w:gridCol w:w="2518"/>
        <w:gridCol w:w="1682"/>
        <w:gridCol w:w="2571"/>
        <w:gridCol w:w="1729"/>
      </w:tblGrid>
      <w:tr w:rsidR="00287F83" w14:paraId="05A43C25" w14:textId="77777777" w:rsidTr="00287F83">
        <w:trPr>
          <w:trHeight w:val="374"/>
          <w:jc w:val="center"/>
        </w:trPr>
        <w:tc>
          <w:tcPr>
            <w:tcW w:w="2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6222C1"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项目</w:t>
            </w:r>
          </w:p>
        </w:tc>
        <w:tc>
          <w:tcPr>
            <w:tcW w:w="16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8DC146A"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金额</w:t>
            </w:r>
          </w:p>
        </w:tc>
        <w:tc>
          <w:tcPr>
            <w:tcW w:w="25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07F93B"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项目</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2F1144A"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金额</w:t>
            </w:r>
          </w:p>
        </w:tc>
      </w:tr>
      <w:tr w:rsidR="00287F83" w14:paraId="0CD5CD9B" w14:textId="77777777" w:rsidTr="00287F83">
        <w:trPr>
          <w:trHeight w:val="776"/>
          <w:jc w:val="center"/>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A40214" w14:textId="77777777" w:rsidR="00287F83" w:rsidRDefault="00287F83" w:rsidP="00287F83">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企业银行存款</w:t>
            </w:r>
          </w:p>
          <w:p w14:paraId="16F07A4E" w14:textId="77777777" w:rsidR="00287F83" w:rsidRDefault="00287F83" w:rsidP="00287F83">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日记账余额</w:t>
            </w:r>
          </w:p>
        </w:tc>
        <w:tc>
          <w:tcPr>
            <w:tcW w:w="16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90CF4A"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5400000</w:t>
            </w:r>
          </w:p>
        </w:tc>
        <w:tc>
          <w:tcPr>
            <w:tcW w:w="25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D1244"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银行对账单余额</w:t>
            </w:r>
          </w:p>
        </w:tc>
        <w:tc>
          <w:tcPr>
            <w:tcW w:w="17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628002"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8300000</w:t>
            </w:r>
          </w:p>
        </w:tc>
      </w:tr>
      <w:tr w:rsidR="00287F83" w14:paraId="1D63656B" w14:textId="77777777" w:rsidTr="00287F83">
        <w:trPr>
          <w:trHeight w:val="776"/>
          <w:jc w:val="center"/>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3D76F9"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加：银行已收</w:t>
            </w:r>
          </w:p>
          <w:p w14:paraId="2E09E2C2" w14:textId="77777777" w:rsidR="00287F83" w:rsidRDefault="00287F83" w:rsidP="00287F83">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企业未收</w:t>
            </w:r>
          </w:p>
        </w:tc>
        <w:tc>
          <w:tcPr>
            <w:tcW w:w="16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4CFE13"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4800000</w:t>
            </w:r>
          </w:p>
        </w:tc>
        <w:tc>
          <w:tcPr>
            <w:tcW w:w="25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BBFCD3"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加：企业已收</w:t>
            </w:r>
          </w:p>
          <w:p w14:paraId="06DF0B9D" w14:textId="77777777" w:rsidR="00287F83" w:rsidRDefault="00287F83" w:rsidP="00287F83">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银行未收</w:t>
            </w:r>
          </w:p>
        </w:tc>
        <w:tc>
          <w:tcPr>
            <w:tcW w:w="17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CD3B29"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6000000</w:t>
            </w:r>
          </w:p>
        </w:tc>
      </w:tr>
      <w:tr w:rsidR="00287F83" w14:paraId="602C173B" w14:textId="77777777" w:rsidTr="00287F83">
        <w:trPr>
          <w:trHeight w:val="776"/>
          <w:jc w:val="center"/>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368554"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减：银行已付</w:t>
            </w:r>
          </w:p>
          <w:p w14:paraId="0BA597A0" w14:textId="77777777" w:rsidR="00287F83" w:rsidRDefault="00287F83" w:rsidP="00287F83">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企业未付</w:t>
            </w:r>
          </w:p>
        </w:tc>
        <w:tc>
          <w:tcPr>
            <w:tcW w:w="16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B679C3"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400000</w:t>
            </w:r>
          </w:p>
        </w:tc>
        <w:tc>
          <w:tcPr>
            <w:tcW w:w="25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A2739"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减：企业已付</w:t>
            </w:r>
          </w:p>
          <w:p w14:paraId="046F9971" w14:textId="77777777" w:rsidR="00287F83" w:rsidRDefault="00287F83" w:rsidP="00287F83">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银行未付</w:t>
            </w:r>
          </w:p>
        </w:tc>
        <w:tc>
          <w:tcPr>
            <w:tcW w:w="17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E2E89"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4500000</w:t>
            </w:r>
          </w:p>
        </w:tc>
      </w:tr>
      <w:tr w:rsidR="00287F83" w14:paraId="058D11E6" w14:textId="77777777" w:rsidTr="00287F83">
        <w:trPr>
          <w:trHeight w:val="523"/>
          <w:jc w:val="center"/>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842DFE"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调节后的存款余额</w:t>
            </w:r>
          </w:p>
        </w:tc>
        <w:tc>
          <w:tcPr>
            <w:tcW w:w="16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E530E7"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9800000</w:t>
            </w:r>
          </w:p>
        </w:tc>
        <w:tc>
          <w:tcPr>
            <w:tcW w:w="25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9200A2"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调节后的存款余额</w:t>
            </w:r>
          </w:p>
        </w:tc>
        <w:tc>
          <w:tcPr>
            <w:tcW w:w="17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2F2437"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9800000</w:t>
            </w:r>
          </w:p>
        </w:tc>
      </w:tr>
    </w:tbl>
    <w:p w14:paraId="0FF455B6"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（2）取得并检查银行存款余额调节表：</w:t>
      </w:r>
    </w:p>
    <w:p w14:paraId="2B88E097"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a）检查调节后银行存款日记账余额与银行对账单余额是否一致。</w:t>
      </w:r>
    </w:p>
    <w:p w14:paraId="3D1CC08C"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b）检查调节事项。</w:t>
      </w:r>
    </w:p>
    <w:tbl>
      <w:tblPr>
        <w:tblW w:w="8406" w:type="dxa"/>
        <w:jc w:val="center"/>
        <w:tblCellMar>
          <w:left w:w="0" w:type="dxa"/>
          <w:right w:w="0" w:type="dxa"/>
        </w:tblCellMar>
        <w:tblLook w:val="04A0" w:firstRow="1" w:lastRow="0" w:firstColumn="1" w:lastColumn="0" w:noHBand="0" w:noVBand="1"/>
      </w:tblPr>
      <w:tblGrid>
        <w:gridCol w:w="1870"/>
        <w:gridCol w:w="6536"/>
      </w:tblGrid>
      <w:tr w:rsidR="00287F83" w14:paraId="2C453A50" w14:textId="77777777" w:rsidTr="00287F83">
        <w:trPr>
          <w:trHeight w:val="347"/>
          <w:jc w:val="center"/>
        </w:trPr>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137D79"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调节事项</w:t>
            </w:r>
          </w:p>
        </w:tc>
        <w:tc>
          <w:tcPr>
            <w:tcW w:w="653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DC150CA"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程序</w:t>
            </w:r>
          </w:p>
        </w:tc>
      </w:tr>
      <w:tr w:rsidR="00287F83" w14:paraId="4EBE5DCA" w14:textId="77777777" w:rsidTr="00287F83">
        <w:trPr>
          <w:trHeight w:val="719"/>
          <w:jc w:val="center"/>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DADC50"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企收银未收</w:t>
            </w:r>
          </w:p>
          <w:p w14:paraId="4542CD51"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企付银未付</w:t>
            </w:r>
          </w:p>
        </w:tc>
        <w:tc>
          <w:tcPr>
            <w:tcW w:w="65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CB77C4"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检查相关收付款凭证，并取得</w:t>
            </w:r>
            <w:r>
              <w:rPr>
                <w:rFonts w:cs="Calibri" w:hint="eastAsia"/>
                <w:b/>
                <w:bCs/>
                <w:color w:val="FF0000"/>
                <w:sz w:val="21"/>
                <w:szCs w:val="21"/>
              </w:rPr>
              <w:t>期后银行对账单</w:t>
            </w:r>
            <w:r>
              <w:rPr>
                <w:rFonts w:cs="Calibri" w:hint="eastAsia"/>
                <w:color w:val="333333"/>
                <w:sz w:val="21"/>
                <w:szCs w:val="21"/>
              </w:rPr>
              <w:t>，确认未达账项是否存在，银行是否已于期后入账</w:t>
            </w:r>
          </w:p>
        </w:tc>
      </w:tr>
      <w:tr w:rsidR="00287F83" w14:paraId="68C79C16" w14:textId="77777777" w:rsidTr="00287F83">
        <w:trPr>
          <w:trHeight w:val="719"/>
          <w:jc w:val="center"/>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20E213"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银收企未收</w:t>
            </w:r>
          </w:p>
          <w:p w14:paraId="208DEEFC"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银付企未付</w:t>
            </w:r>
          </w:p>
        </w:tc>
        <w:tc>
          <w:tcPr>
            <w:tcW w:w="65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160B99"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检查期后</w:t>
            </w:r>
            <w:r>
              <w:rPr>
                <w:rFonts w:cs="Calibri" w:hint="eastAsia"/>
                <w:b/>
                <w:bCs/>
                <w:color w:val="FF0000"/>
                <w:sz w:val="21"/>
                <w:szCs w:val="21"/>
              </w:rPr>
              <w:t>企业入账</w:t>
            </w:r>
            <w:r>
              <w:rPr>
                <w:rFonts w:cs="Calibri" w:hint="eastAsia"/>
                <w:color w:val="333333"/>
                <w:sz w:val="21"/>
                <w:szCs w:val="21"/>
              </w:rPr>
              <w:t>的收付款凭证，确认未达账项是否存在</w:t>
            </w:r>
          </w:p>
        </w:tc>
      </w:tr>
    </w:tbl>
    <w:p w14:paraId="4CBBD7FA"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c）关注长期未达账项，查看是否存在挪用资金等事项。</w:t>
      </w:r>
    </w:p>
    <w:p w14:paraId="5D596D15"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d）特别关注银付企未付、企付银未付中支付异常的领款事项，包括没有载明收款人、签字不全等支付事项，确认是否存在舞弊。</w:t>
      </w:r>
    </w:p>
    <w:p w14:paraId="4ABAA19C"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lastRenderedPageBreak/>
        <w:t>真题和模拟题精讲</w:t>
      </w:r>
    </w:p>
    <w:p w14:paraId="74D6B57C"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单项选择题【2008年真题】</w:t>
      </w:r>
    </w:p>
    <w:p w14:paraId="6BFD51C0"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如果被审计单位某银行账户的银行对账单余额与银行存款日记账余额不符，最有效的审计程序是（　　）。</w:t>
      </w:r>
    </w:p>
    <w:p w14:paraId="70362EC1"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A.检查该银行账户的银行存款余额调节表</w:t>
      </w:r>
    </w:p>
    <w:p w14:paraId="69AC93A1"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B.重新测试相关的内部控制</w:t>
      </w:r>
    </w:p>
    <w:p w14:paraId="1CA86886"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C.检查银行存款日记账中记录的资产负债表日前后的收付情况</w:t>
      </w:r>
    </w:p>
    <w:p w14:paraId="03BE98C7"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D.检查银行对账单中记录的资产负债表日前后的收付情况</w:t>
      </w:r>
    </w:p>
    <w:p w14:paraId="41F7B155"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565AD5B5"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取得银行存款余额调节表，检查调节表中加计数是否正确，调节后银行存款日记账余额与银行对账单余额是否一致；这一程序是注册会计师获取证实银行存款账户余额是否正确的审计证据的最有效审计程序。</w:t>
      </w:r>
    </w:p>
    <w:p w14:paraId="75C553B2" w14:textId="77777777" w:rsidR="00287F83" w:rsidRDefault="00287F83" w:rsidP="00287F8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单项选择题【2012年真题】</w:t>
      </w:r>
    </w:p>
    <w:p w14:paraId="2E28D6CA"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注册会计师在检查被审计单位2011年12月31日的银行存款余额调节表时，发现下列调节事项，其中有迹象表明性质或范围不合理的是（　　）。</w:t>
      </w:r>
    </w:p>
    <w:p w14:paraId="6FC4D86D"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A.“银行已收、企业未收”项目包含一项2011年12月31日到账的应收账款，被审计单位尚未收到银行的收款通知</w:t>
      </w:r>
    </w:p>
    <w:p w14:paraId="6DAFADA7"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B.“企业已付、银行未付”项目包含一项被审计单位于2011年12月31日提交的转账支付申请，用于支付被审计单位2011年12月的电费</w:t>
      </w:r>
    </w:p>
    <w:p w14:paraId="07A5DAC7"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C.“企业已收、银行未收”项目包含一项2011年12月30日收到的退货款，被审计单位已将供应商提供的支票提交银行</w:t>
      </w:r>
    </w:p>
    <w:p w14:paraId="00C6C88F"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D.“银行已付、企业未付”项目包含一项2011年11月支付的销售返利，该笔付款已经总经理授权，但由于经办人员未提供相关单据，会计部门尚未入账</w:t>
      </w:r>
    </w:p>
    <w:p w14:paraId="6508B544"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1A1EEF10"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[点评]选项D中，由于经办人员未提供相关单据，导致企业未及时入账，是内部工作流程问题所致，不属于“未达账项”。借助本题的四个选项，同学们需要再次深化对四种调节事项的</w:t>
      </w:r>
      <w:r>
        <w:rPr>
          <w:rFonts w:cs="Calibri" w:hint="eastAsia"/>
          <w:b/>
          <w:bCs/>
          <w:color w:val="FF0000"/>
          <w:sz w:val="21"/>
          <w:szCs w:val="21"/>
        </w:rPr>
        <w:t>理解</w:t>
      </w:r>
      <w:r>
        <w:rPr>
          <w:rFonts w:cs="Calibri" w:hint="eastAsia"/>
          <w:color w:val="3F3F3F"/>
          <w:sz w:val="21"/>
          <w:szCs w:val="21"/>
        </w:rPr>
        <w:t>。</w:t>
      </w:r>
    </w:p>
    <w:p w14:paraId="2FC5F355" w14:textId="77777777" w:rsidR="00287F83" w:rsidRDefault="00287F83" w:rsidP="00287F8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5814D866"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下列有关注册会计师对银行存款余额调节表实施的审计程序中，不恰当的是（　　）。</w:t>
      </w:r>
    </w:p>
    <w:p w14:paraId="32BE96B3"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A.了解并评价银行存款余额调节表的编制和复核过程</w:t>
      </w:r>
    </w:p>
    <w:p w14:paraId="54A81C1B"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B.核对被审计单位银行存款日记账与银行对账单余额是否调节一致</w:t>
      </w:r>
    </w:p>
    <w:p w14:paraId="504B11CC"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C.核对银行存款余额调节表中银行对账单余额是否与银行询证函回函一致</w:t>
      </w:r>
    </w:p>
    <w:p w14:paraId="6AF69EB7"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D.检查被审计单位已收而银行未收的大额款项在资产负债表日后银行存款日记账上的相关记录</w:t>
      </w:r>
    </w:p>
    <w:p w14:paraId="1233C9FF"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67D8E452"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[点评]选项D中，注册会计师对银行存款余额调节表实施的审计程序时，对于“企收银未收”的大额款项，应当检查在资产负债表日后银行对账单上的相关记录。</w:t>
      </w:r>
    </w:p>
    <w:p w14:paraId="06BC0FD5"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5.函证银行存款余额</w:t>
      </w:r>
      <w:r>
        <w:rPr>
          <w:rFonts w:cs="Calibri" w:hint="eastAsia"/>
          <w:b/>
          <w:bCs/>
          <w:color w:val="FF0000"/>
          <w:sz w:val="21"/>
          <w:szCs w:val="21"/>
        </w:rPr>
        <w:t>【简答题考点】[链接第三章]</w:t>
      </w:r>
    </w:p>
    <w:p w14:paraId="77B82363"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（1）通过向往来银行函证，注册会计师不仅可了解企业资产的存在，还可了解企业账面反映所欠银行债务的情况，并有助于发现企业未入账的银行借款和未披露的或有负债。</w:t>
      </w:r>
    </w:p>
    <w:p w14:paraId="6E3271F7"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（2）在实施银行函证时，注册会计师需要以</w:t>
      </w:r>
      <w:r>
        <w:rPr>
          <w:rFonts w:cs="Calibri" w:hint="eastAsia"/>
          <w:b/>
          <w:bCs/>
          <w:color w:val="FF0000"/>
          <w:sz w:val="21"/>
          <w:szCs w:val="21"/>
        </w:rPr>
        <w:t>被审计单位名义</w:t>
      </w:r>
      <w:r>
        <w:rPr>
          <w:rFonts w:cs="Calibri" w:hint="eastAsia"/>
          <w:color w:val="3F3F3F"/>
          <w:sz w:val="21"/>
          <w:szCs w:val="21"/>
        </w:rPr>
        <w:t>向银行发函询证，以验证被审计单位的银行存款是否真实、合法、完整。</w:t>
      </w:r>
    </w:p>
    <w:p w14:paraId="204B0B3E"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七、其他货币资金的实质性程序</w:t>
      </w:r>
    </w:p>
    <w:tbl>
      <w:tblPr>
        <w:tblW w:w="8505" w:type="dxa"/>
        <w:jc w:val="center"/>
        <w:tblCellMar>
          <w:left w:w="0" w:type="dxa"/>
          <w:right w:w="0" w:type="dxa"/>
        </w:tblCellMar>
        <w:tblLook w:val="04A0" w:firstRow="1" w:lastRow="0" w:firstColumn="1" w:lastColumn="0" w:noHBand="0" w:noVBand="1"/>
      </w:tblPr>
      <w:tblGrid>
        <w:gridCol w:w="1539"/>
        <w:gridCol w:w="6966"/>
      </w:tblGrid>
      <w:tr w:rsidR="00287F83" w14:paraId="397AE2E6" w14:textId="77777777" w:rsidTr="00287F83">
        <w:trPr>
          <w:trHeight w:val="237"/>
          <w:jc w:val="center"/>
        </w:trPr>
        <w:tc>
          <w:tcPr>
            <w:tcW w:w="15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FAFC66" w14:textId="77777777" w:rsidR="00287F83" w:rsidRDefault="00287F83" w:rsidP="00287F83">
            <w:pPr>
              <w:rPr>
                <w:rFonts w:eastAsia="微软雅黑" w:cs="Calibri"/>
                <w:color w:val="3F3F3F"/>
                <w:szCs w:val="21"/>
              </w:rPr>
            </w:pPr>
          </w:p>
        </w:tc>
        <w:tc>
          <w:tcPr>
            <w:tcW w:w="69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CB1BBB5"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程序</w:t>
            </w:r>
          </w:p>
        </w:tc>
      </w:tr>
      <w:tr w:rsidR="00287F83" w14:paraId="51DB1362" w14:textId="77777777" w:rsidTr="00287F83">
        <w:trPr>
          <w:trHeight w:val="1586"/>
          <w:jc w:val="center"/>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5F6AB8"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定期存款</w:t>
            </w:r>
          </w:p>
        </w:tc>
        <w:tc>
          <w:tcPr>
            <w:tcW w:w="6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DF486"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（1）获取定期存款明细表，检查是否与账面记录金额一致，以及定期存款是否被质押或限制使用</w:t>
            </w:r>
          </w:p>
          <w:p w14:paraId="55EAB728"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（2）在监盘库存现金的同时，</w:t>
            </w:r>
            <w:r>
              <w:rPr>
                <w:rFonts w:cs="Calibri" w:hint="eastAsia"/>
                <w:b/>
                <w:bCs/>
                <w:color w:val="FF0000"/>
                <w:sz w:val="21"/>
                <w:szCs w:val="21"/>
              </w:rPr>
              <w:t>监盘</w:t>
            </w:r>
            <w:r>
              <w:rPr>
                <w:rFonts w:cs="Calibri" w:hint="eastAsia"/>
                <w:color w:val="333333"/>
                <w:sz w:val="21"/>
                <w:szCs w:val="21"/>
              </w:rPr>
              <w:t>定期存款凭据</w:t>
            </w:r>
          </w:p>
          <w:p w14:paraId="28816AC0"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（3）对</w:t>
            </w:r>
            <w:r>
              <w:rPr>
                <w:rFonts w:cs="Calibri" w:hint="eastAsia"/>
                <w:b/>
                <w:bCs/>
                <w:color w:val="FF0000"/>
                <w:sz w:val="21"/>
                <w:szCs w:val="21"/>
              </w:rPr>
              <w:t>未质押</w:t>
            </w:r>
            <w:r>
              <w:rPr>
                <w:rFonts w:cs="Calibri" w:hint="eastAsia"/>
                <w:color w:val="333333"/>
                <w:sz w:val="21"/>
                <w:szCs w:val="21"/>
              </w:rPr>
              <w:t>的定期存款，检查开户证实书</w:t>
            </w:r>
            <w:r>
              <w:rPr>
                <w:rFonts w:cs="Calibri" w:hint="eastAsia"/>
                <w:b/>
                <w:bCs/>
                <w:color w:val="FF0000"/>
                <w:sz w:val="21"/>
                <w:szCs w:val="21"/>
              </w:rPr>
              <w:t>原件</w:t>
            </w:r>
            <w:r>
              <w:rPr>
                <w:rFonts w:cs="Calibri" w:hint="eastAsia"/>
                <w:color w:val="333333"/>
                <w:sz w:val="21"/>
                <w:szCs w:val="21"/>
              </w:rPr>
              <w:t>，以防止被审计单位提供的复印件是未质押（或未提现）前原件的复印件</w:t>
            </w:r>
          </w:p>
          <w:p w14:paraId="07E90CD6"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（4）对</w:t>
            </w:r>
            <w:r>
              <w:rPr>
                <w:rFonts w:cs="Calibri" w:hint="eastAsia"/>
                <w:b/>
                <w:bCs/>
                <w:color w:val="FF0000"/>
                <w:sz w:val="21"/>
                <w:szCs w:val="21"/>
              </w:rPr>
              <w:t>已质押</w:t>
            </w:r>
            <w:r>
              <w:rPr>
                <w:rFonts w:cs="Calibri" w:hint="eastAsia"/>
                <w:color w:val="333333"/>
                <w:sz w:val="21"/>
                <w:szCs w:val="21"/>
              </w:rPr>
              <w:t>的定期存款，检查定期存单复印件，并与相应的</w:t>
            </w:r>
            <w:r>
              <w:rPr>
                <w:rFonts w:cs="Calibri" w:hint="eastAsia"/>
                <w:b/>
                <w:bCs/>
                <w:color w:val="FF0000"/>
                <w:sz w:val="21"/>
                <w:szCs w:val="21"/>
              </w:rPr>
              <w:t>质押合同</w:t>
            </w:r>
            <w:r>
              <w:rPr>
                <w:rFonts w:cs="Calibri" w:hint="eastAsia"/>
                <w:color w:val="333333"/>
                <w:sz w:val="21"/>
                <w:szCs w:val="21"/>
              </w:rPr>
              <w:t>核对</w:t>
            </w:r>
          </w:p>
          <w:p w14:paraId="129E335B"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（5）函证定期存款相关信息</w:t>
            </w:r>
          </w:p>
          <w:p w14:paraId="5A24D3B8"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（6）在资产负债表日后已提取的定期存款，核对相应的兑付凭证等</w:t>
            </w:r>
          </w:p>
        </w:tc>
      </w:tr>
      <w:tr w:rsidR="00287F83" w14:paraId="76E11534" w14:textId="77777777" w:rsidTr="00287F83">
        <w:trPr>
          <w:trHeight w:val="373"/>
          <w:jc w:val="center"/>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8372C3"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保证金存款</w:t>
            </w:r>
          </w:p>
        </w:tc>
        <w:tc>
          <w:tcPr>
            <w:tcW w:w="6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D68CB7"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检查开立银行承兑汇票的协议或银行授信审批文件</w:t>
            </w:r>
          </w:p>
        </w:tc>
      </w:tr>
      <w:tr w:rsidR="00287F83" w14:paraId="6BD10396" w14:textId="77777777" w:rsidTr="00287F83">
        <w:trPr>
          <w:trHeight w:val="540"/>
          <w:jc w:val="center"/>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F76C18" w14:textId="77777777" w:rsidR="00287F83" w:rsidRDefault="00287F83" w:rsidP="00287F8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存出投资款</w:t>
            </w:r>
          </w:p>
        </w:tc>
        <w:tc>
          <w:tcPr>
            <w:tcW w:w="6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FAA677" w14:textId="77777777" w:rsidR="00287F83" w:rsidRDefault="00287F83" w:rsidP="00287F8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跟踪资金流向，并获取董事会决议等批准文件、开户资料、授权操作资料等</w:t>
            </w:r>
          </w:p>
        </w:tc>
      </w:tr>
    </w:tbl>
    <w:p w14:paraId="4C8381F6"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C1D8691"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单项选择题【2016年真题】</w:t>
      </w:r>
    </w:p>
    <w:p w14:paraId="43C05E77"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下列审计程序中，通常不能为定期存款的存在认定提供可靠的审计证据的是（　　）。</w:t>
      </w:r>
    </w:p>
    <w:p w14:paraId="45F4C363"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A.函证定期存款的相关信息</w:t>
      </w:r>
    </w:p>
    <w:p w14:paraId="59F883BB"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B.对于未质押的定期存款，检查开户证实书原件</w:t>
      </w:r>
    </w:p>
    <w:p w14:paraId="2DE283D0"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C.对于已质押的定期存款，检查定期存单复印件</w:t>
      </w:r>
    </w:p>
    <w:p w14:paraId="65E78519"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D.对于在资产负债表日后已到期的定期存款，核对兑付凭证</w:t>
      </w:r>
    </w:p>
    <w:p w14:paraId="7DE9F54F"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1374C0C0"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[点评]对于已质押的定期存款，检查定期存款复印件，并与相应的质押合同核对，选项C错误。</w:t>
      </w:r>
    </w:p>
    <w:p w14:paraId="011352B5"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简答题【改编自2015年真题】</w:t>
      </w:r>
    </w:p>
    <w:p w14:paraId="5D588BC5"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要求：针对下列第（1）至（6）项，逐项指出审计项目组的做法是否恰当。如不恰当，提出改进建议。</w:t>
      </w:r>
    </w:p>
    <w:p w14:paraId="28F6F03E"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ABC会计师事务所负责审计甲公司2014年度财务报表，审计项目组认为货币资金的存在和完整性认定存在舞弊导致的重大错报风险，审计工作底稿中与货币资金审计相关的部分内容摘录如下：</w:t>
      </w:r>
    </w:p>
    <w:p w14:paraId="246B3A24"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（1）2015年2月2日，审计项目组要求甲公司管理层于次日对库存现金进行盘点，2月3日，审计项目组在现场实施了监盘，并将结果与现金日记账进行了核对，未发现差异。</w:t>
      </w:r>
    </w:p>
    <w:p w14:paraId="40A232B9"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（2）因对甲公司管理层提供的银行账户清单的完整性存有疑虑，审计项目组前往当地中国人民银行查询并打印了甲公司已开立银行结算账户清单，结果满意。</w:t>
      </w:r>
    </w:p>
    <w:p w14:paraId="2980AD2A"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（3）因对甲公司提供的银行对账单的真实性存有疑虑，审计项目组要求甲公司管理层重新取得了所有银行账户的对账单，并现场观察了被审计单位打印对账单的过程，未发现异常。</w:t>
      </w:r>
    </w:p>
    <w:p w14:paraId="487FE273"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（4）审计项目组未对年末余额小于10万元的银行账户实施函证，这些账户年末余额合计小于实际执行的重要性，审计项目组检查了银行对账单原件和银行存款余额调节表，结果满意。</w:t>
      </w:r>
    </w:p>
    <w:p w14:paraId="6D1F2679"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（5）针对年末银行存款余额调节表中企业已开支票银行尚未扣款的调节项，审计项目组通过检查相关的支票存根和记账凭证予以确认。</w:t>
      </w:r>
    </w:p>
    <w:p w14:paraId="5F13E1D9"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（6）审计项目组发现X银行询证函回函上的印章与以前年度的不同，甲公司管理层解释X银行于2014年中变更了印章样式，并提供了X银行的收款回单，审计项目组通过比对印章样式，认可了甲公司管理层的解释。</w:t>
      </w:r>
    </w:p>
    <w:p w14:paraId="18CC1F45"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69D860F2"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（1）不恰当。改进建议：对库存现金的监盘最好实施突击性检查，时间最好选择在上午上班前或下午下班时。</w:t>
      </w:r>
    </w:p>
    <w:p w14:paraId="2D0C1DAD"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（2）恰当。</w:t>
      </w:r>
    </w:p>
    <w:p w14:paraId="44DB2FB1"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不恰当。改进建议：如果对甲公司提供的银行对账单的真实性存有疑虑，注册会计师可以在被审计单位的协助下亲自到银行获取银行对账单。在获取银行对账单时，注册会计师要全程关注银行对账单的打印过程。</w:t>
      </w:r>
    </w:p>
    <w:p w14:paraId="27C17BD5"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（4）不恰当。改进建议：审计项目组应当对银行存款账户（包括零余额账户和在本期内注销的账户）实施函证程序，除非有充分证据表明某一银行存款对财务报表不重要且与之相关的重大错报风险很低。</w:t>
      </w:r>
    </w:p>
    <w:p w14:paraId="44B86EC0"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不恰当。改进建议：针对年末银行存款余额调节表中企业已开支票银行尚未扣款的调节项，审计项目组不仅应通过检查相关的支票存根和记账凭证予以确认，还应取得期后银行对账单，确认未达账项是否存在，银行是否已于期后入账。</w:t>
      </w:r>
    </w:p>
    <w:p w14:paraId="727D8374"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（6）不恰当。改进建议：不能仅通过甲公司的解释，和提供的收款回单，而不实施其他审计程序，审计项目组应实施其他审计程序，比如亲自到银行进行核实等。</w:t>
      </w:r>
    </w:p>
    <w:p w14:paraId="5428F2D3"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简答题【2017年真题】</w:t>
      </w:r>
    </w:p>
    <w:p w14:paraId="41F861E4"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要求：针对下列第（1）至（6）项，逐项指出A注册会计师的做法是否恰当。如不恰当，简要说明理由。</w:t>
      </w:r>
    </w:p>
    <w:p w14:paraId="70D04E7A"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ABC会计师事务所的A注册会计师负责审计甲公司2016年度财务报表。与货币资金审计相关的部分事项如下：</w:t>
      </w:r>
    </w:p>
    <w:p w14:paraId="025F98AF"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（1）A注册会计师认为库存现金重大错报风险很低，因此，未测试甲公司财务主管每月末盘点库存现金的控制，于2016年12月31日实施了现金监盘，结果满意。</w:t>
      </w:r>
    </w:p>
    <w:p w14:paraId="28711684"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对于账面余额与银行对账单余额存在差异的银行账户，A注册会计师获取了银行存款余额调节表，检查了调节表中的加计数是否正确，并检查了调节后的银行存款日记账余额与银行对账单余额是否一致，据此认可了银行存款余额调节表。</w:t>
      </w:r>
    </w:p>
    <w:p w14:paraId="15798E7D"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（3）因对甲公司管理层提供的银行对账单的真实性存在有疑虑，A注册会计师在出纳陪同下前往银行获取银行对账单。在银行柜台人员打印对账单时，A注册会计师前往该银行其他部门实施了银行函证。</w:t>
      </w:r>
    </w:p>
    <w:p w14:paraId="735C154B"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（4）甲公司有一笔2015年10月存入的期限两年的大额定期存款。A注册会计师在2015年度财务报表审计中检查了开户证实书原件并实施了函证，结果满意，因此，未在2016年度审计中实施审计程序。</w:t>
      </w:r>
    </w:p>
    <w:p w14:paraId="2EA9CDD1"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（5）为测试银行账户交易入账的真实性，A注册会计师在验证银行对账单的真实性后，从银行存款日记账中选取样本与银行对账单进行核对，并检查了支持性文件，结果满意。</w:t>
      </w:r>
    </w:p>
    <w:p w14:paraId="4349903C"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（6）乙银行在银行询证函回函中注明：“接收人不能依赖函证中的信息。”A注册会计师认为该条款不影响回函的可靠性，认可了回函结果。</w:t>
      </w:r>
    </w:p>
    <w:p w14:paraId="782F284F"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442A48B9"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（1）恰当。</w:t>
      </w:r>
    </w:p>
    <w:p w14:paraId="2534BBF2"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（2）不恰当。还应检查调节事项/关注长期未达账项/关注未达账中异常的支付款项。</w:t>
      </w:r>
    </w:p>
    <w:p w14:paraId="731B0B7A"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（3）不恰当。应全程关注银行对账单的打印过程/未对银行对账单获取过程保持控制。</w:t>
      </w:r>
    </w:p>
    <w:p w14:paraId="6F943BFB"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（4）不恰当。应当对重大账户余额实施实质性程序。</w:t>
      </w:r>
    </w:p>
    <w:p w14:paraId="24CE0558"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（5）恰当。</w:t>
      </w:r>
    </w:p>
    <w:p w14:paraId="0EAFCFDF"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（6）不恰当。该条款影响回函可靠性。</w:t>
      </w:r>
    </w:p>
    <w:p w14:paraId="09C65BC2"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3F3F3F"/>
          <w:sz w:val="21"/>
          <w:szCs w:val="21"/>
        </w:rPr>
        <w:t>简答题【改编自2017年真题】</w:t>
      </w:r>
    </w:p>
    <w:p w14:paraId="19BAC85E"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要求：针对下列第（1）至（6）项，逐项指出A注册会计师的做法是否恰当。如不恰当，简要说明理由。</w:t>
      </w:r>
    </w:p>
    <w:p w14:paraId="2DA57C0A"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ABC会计师事务所的A注册会计师负责审计甲公司2016年度财务报表，与货币资金审计相关的部分事项如下：</w:t>
      </w:r>
    </w:p>
    <w:p w14:paraId="409466D2"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（1）2017年1月5日，A注册会计师对甲公司库存现金实施了监盘，并与当日现金日记账余额核对一致，据此认可了年末现金余额。</w:t>
      </w:r>
    </w:p>
    <w:p w14:paraId="1839624E"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（2）因对甲公司人民币结算账户的完整性存有疑虑，A注册会计师检查了管理层提供的《已开立银行结算账户清单》，结果满意。</w:t>
      </w:r>
    </w:p>
    <w:p w14:paraId="6C7CFFE8"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（3）A注册会计师对甲公司存放于乙银行的银行存款以及与该银行往来的其他重要信息寄发了询证函，收到乙银行寄回的银行存款证明，其金额与甲公司账面记录一致。A注册会计师认为函证结果满意。</w:t>
      </w:r>
    </w:p>
    <w:p w14:paraId="1272629E"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（4）甲公司利用销售经理个人银行账户结算贷款，指派出纳保管该账户交易密码。A注册会计师检查了该账户的交易记录和相关财务报表，获取了甲公司管理层的书面声明，结果满意。</w:t>
      </w:r>
    </w:p>
    <w:p w14:paraId="493DFA46"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（5）因甲公司年末余额为零的社保专户重大错报风险较低，A注册会计师核对了银行对账单，未对该账户实施函证，并在审计工作底稿中记录了不实施函证原由。</w:t>
      </w:r>
    </w:p>
    <w:p w14:paraId="69B73614"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（6）为测试银行账户交易入账的完整性，A注册会计师在验证银行对账单的真实性后，从中选取交易样本与银行存款日记账记录进行了核对。</w:t>
      </w:r>
    </w:p>
    <w:p w14:paraId="34A297A0"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5C9FA05A"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（1）不恰当。应将监盘金额调整至资产负债表日的金额，并对变动情况实施程序。</w:t>
      </w:r>
    </w:p>
    <w:p w14:paraId="72D7849E"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（2）不恰当。应亲自到中国人民银行或基本存款账户开户行查询并打印《已开立银行结算账户清单》。</w:t>
      </w:r>
    </w:p>
    <w:p w14:paraId="51079F21"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（3）不恰当。还应函证银行借款等信息/注册会计师应当要求乙银行对所函证的其他重要信息予以回复。</w:t>
      </w:r>
    </w:p>
    <w:p w14:paraId="2C708709"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（4）不恰当。企业资金存放于个人账户，还应考虑是否表明存在舞弊风险，书面声明并不提供充分、适当的审计证据。</w:t>
      </w:r>
    </w:p>
    <w:p w14:paraId="73F93A22"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（5）恰当。</w:t>
      </w:r>
    </w:p>
    <w:p w14:paraId="3B3830B3" w14:textId="77777777" w:rsidR="00287F83" w:rsidRDefault="00287F83" w:rsidP="00287F8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（6）恰当。</w:t>
      </w:r>
    </w:p>
    <w:p w14:paraId="75B110BA" w14:textId="77777777" w:rsidR="00287F83" w:rsidRDefault="00287F83" w:rsidP="00287F83">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4DB9746" w14:textId="77777777" w:rsidR="00287F83" w:rsidRDefault="00287F83" w:rsidP="00287F83">
      <w:pPr>
        <w:pStyle w:val="aa"/>
        <w:shd w:val="clear" w:color="auto" w:fill="FFFFFF"/>
        <w:spacing w:before="0" w:beforeAutospacing="0" w:after="0" w:afterAutospacing="0"/>
        <w:ind w:firstLine="315"/>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"http://webupload.admin.dongao.com/biz/handout/img/2019/20190510/20190510093151741001.png"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42.25pt">
            <v:imagedata r:id="rId7" r:href="rId8"/>
          </v:shape>
        </w:pict>
      </w:r>
      <w:r>
        <w:rPr>
          <w:rFonts w:ascii="Calibri" w:eastAsia="微软雅黑" w:hAnsi="Calibri" w:cs="Calibri"/>
          <w:color w:val="3F3F3F"/>
          <w:sz w:val="21"/>
          <w:szCs w:val="21"/>
        </w:rPr>
        <w:fldChar w:fldCharType="end"/>
      </w:r>
    </w:p>
    <w:p w14:paraId="17471AE5" w14:textId="77777777" w:rsidR="00287F83" w:rsidRDefault="00287F83" w:rsidP="00287F83">
      <w:pPr>
        <w:pStyle w:val="aa"/>
        <w:shd w:val="clear" w:color="auto" w:fill="FFFFFF"/>
        <w:spacing w:before="0" w:beforeAutospacing="0" w:after="0" w:afterAutospacing="0"/>
        <w:ind w:firstLine="413"/>
        <w:rPr>
          <w:rFonts w:ascii="Calibri" w:eastAsia="微软雅黑" w:hAnsi="Calibri" w:cs="Calibri"/>
          <w:color w:val="3F3F3F"/>
          <w:sz w:val="21"/>
          <w:szCs w:val="21"/>
        </w:rPr>
      </w:pPr>
      <w:r>
        <w:rPr>
          <w:rFonts w:cs="Calibri" w:hint="eastAsia"/>
          <w:b/>
          <w:bCs/>
          <w:color w:val="3F3F3F"/>
          <w:sz w:val="21"/>
          <w:szCs w:val="21"/>
        </w:rPr>
        <w:t>本章复习计划</w:t>
      </w:r>
    </w:p>
    <w:p w14:paraId="1DDF7B17"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b/>
          <w:bCs/>
          <w:color w:val="FF0000"/>
          <w:sz w:val="21"/>
          <w:szCs w:val="21"/>
        </w:rPr>
        <w:t>第一轮：</w:t>
      </w:r>
    </w:p>
    <w:p w14:paraId="2181E82A" w14:textId="77777777" w:rsidR="00287F83" w:rsidRDefault="00287F83" w:rsidP="00287F83">
      <w:pPr>
        <w:pStyle w:val="aa"/>
        <w:shd w:val="clear" w:color="auto" w:fill="FFFFFF"/>
        <w:spacing w:before="0" w:beforeAutospacing="0" w:after="0" w:afterAutospacing="0"/>
        <w:ind w:left="840" w:hanging="420"/>
        <w:rPr>
          <w:color w:val="3F3F3F"/>
        </w:rPr>
      </w:pPr>
      <w:r>
        <w:rPr>
          <w:rFonts w:ascii="Symbol" w:hAnsi="Symbol"/>
          <w:color w:val="3F3F3F"/>
        </w:rPr>
        <w:t></w:t>
      </w:r>
      <w:r>
        <w:rPr>
          <w:rFonts w:ascii="Times New Roman" w:hAnsi="Times New Roman" w:cs="Times New Roman"/>
          <w:color w:val="3F3F3F"/>
          <w:sz w:val="14"/>
          <w:szCs w:val="14"/>
        </w:rPr>
        <w:t xml:space="preserve">           </w:t>
      </w:r>
      <w:r>
        <w:rPr>
          <w:rFonts w:hint="eastAsia"/>
          <w:color w:val="3F3F3F"/>
        </w:rPr>
        <w:t>复习库存现金、银行存款的实质性程序。</w:t>
      </w:r>
    </w:p>
    <w:p w14:paraId="0FB45FB0"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hint="eastAsia"/>
          <w:color w:val="3F3F3F"/>
          <w:sz w:val="21"/>
          <w:szCs w:val="21"/>
        </w:rPr>
      </w:pPr>
      <w:r>
        <w:rPr>
          <w:rFonts w:cs="Calibri" w:hint="eastAsia"/>
          <w:b/>
          <w:bCs/>
          <w:color w:val="FF0000"/>
          <w:sz w:val="21"/>
          <w:szCs w:val="21"/>
        </w:rPr>
        <w:t>第二轮：</w:t>
      </w:r>
    </w:p>
    <w:p w14:paraId="15C7A0E8" w14:textId="77777777" w:rsidR="00287F83" w:rsidRDefault="00287F83" w:rsidP="00287F83">
      <w:pPr>
        <w:pStyle w:val="aa"/>
        <w:shd w:val="clear" w:color="auto" w:fill="FFFFFF"/>
        <w:spacing w:before="0" w:beforeAutospacing="0" w:after="0" w:afterAutospacing="0"/>
        <w:ind w:left="840" w:hanging="420"/>
        <w:rPr>
          <w:color w:val="3F3F3F"/>
        </w:rPr>
      </w:pPr>
      <w:r>
        <w:rPr>
          <w:rFonts w:ascii="Symbol" w:hAnsi="Symbol"/>
          <w:color w:val="3F3F3F"/>
        </w:rPr>
        <w:t></w:t>
      </w:r>
      <w:r>
        <w:rPr>
          <w:rFonts w:ascii="Times New Roman" w:hAnsi="Times New Roman" w:cs="Times New Roman"/>
          <w:color w:val="3F3F3F"/>
          <w:sz w:val="14"/>
          <w:szCs w:val="14"/>
        </w:rPr>
        <w:t xml:space="preserve">           </w:t>
      </w:r>
      <w:r>
        <w:rPr>
          <w:rFonts w:hint="eastAsia"/>
          <w:color w:val="3F3F3F"/>
        </w:rPr>
        <w:t>复习银行存款的实质性程序。</w:t>
      </w:r>
    </w:p>
    <w:p w14:paraId="2674A013" w14:textId="77777777" w:rsidR="00287F83" w:rsidRDefault="00287F83" w:rsidP="00287F83">
      <w:pPr>
        <w:pStyle w:val="aa"/>
        <w:shd w:val="clear" w:color="auto" w:fill="FFFFFF"/>
        <w:spacing w:before="0" w:beforeAutospacing="0" w:after="0" w:afterAutospacing="0"/>
        <w:ind w:firstLine="420"/>
        <w:jc w:val="both"/>
        <w:rPr>
          <w:rFonts w:ascii="Calibri" w:eastAsia="微软雅黑" w:hAnsi="Calibri" w:cs="Calibri" w:hint="eastAsia"/>
          <w:color w:val="3F3F3F"/>
          <w:sz w:val="21"/>
          <w:szCs w:val="21"/>
        </w:rPr>
      </w:pPr>
      <w:r>
        <w:rPr>
          <w:rFonts w:cs="Calibri" w:hint="eastAsia"/>
          <w:b/>
          <w:bCs/>
          <w:color w:val="FF0000"/>
          <w:sz w:val="21"/>
          <w:szCs w:val="21"/>
        </w:rPr>
        <w:t>提示：本章学习结束后，请各位同学学习第四章、第六章。</w:t>
      </w:r>
    </w:p>
    <w:p w14:paraId="632DD0CB" w14:textId="77777777" w:rsidR="00287F83" w:rsidRDefault="00287F83" w:rsidP="00287F83">
      <w:pPr>
        <w:shd w:val="clear" w:color="auto" w:fill="FFFFFF"/>
        <w:rPr>
          <w:rFonts w:ascii="微软雅黑" w:eastAsia="微软雅黑" w:hAnsi="微软雅黑" w:cs="宋体"/>
          <w:color w:val="3F3F3F"/>
          <w:szCs w:val="21"/>
        </w:rPr>
      </w:pPr>
    </w:p>
    <w:p w14:paraId="6FAFD80E" w14:textId="77777777" w:rsidR="00271D8C" w:rsidRPr="00287F83" w:rsidRDefault="00271D8C" w:rsidP="00287F83">
      <w:pPr>
        <w:rPr>
          <w:rFonts w:hint="eastAsia"/>
        </w:rPr>
      </w:pPr>
    </w:p>
    <w:sectPr w:rsidR="00271D8C" w:rsidRPr="00287F83" w:rsidSect="001F62DD">
      <w:headerReference w:type="default" r:id="rId9"/>
      <w:footerReference w:type="default" r:id="rId1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DC8FC" w14:textId="77777777" w:rsidR="007A279A" w:rsidRDefault="007A279A" w:rsidP="00CD53C5">
      <w:r>
        <w:separator/>
      </w:r>
    </w:p>
  </w:endnote>
  <w:endnote w:type="continuationSeparator" w:id="0">
    <w:p w14:paraId="0CB18A28" w14:textId="77777777" w:rsidR="007A279A" w:rsidRDefault="007A279A"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7C46CDE2" w14:textId="77777777" w:rsidTr="007B0BFD">
      <w:trPr>
        <w:trHeight w:val="274"/>
      </w:trPr>
      <w:tc>
        <w:tcPr>
          <w:tcW w:w="2050" w:type="dxa"/>
          <w:shd w:val="clear" w:color="auto" w:fill="auto"/>
          <w:vAlign w:val="center"/>
        </w:tcPr>
        <w:p w14:paraId="0223C3D5"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visibility:visible">
                <v:imagedata r:id="rId1" o:title=""/>
              </v:shape>
            </w:pict>
          </w:r>
        </w:p>
      </w:tc>
      <w:tc>
        <w:tcPr>
          <w:tcW w:w="3742" w:type="dxa"/>
          <w:shd w:val="clear" w:color="auto" w:fill="auto"/>
          <w:vAlign w:val="center"/>
        </w:tcPr>
        <w:p w14:paraId="311C6EF6"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2AD9B022"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43554685"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088E5" w14:textId="77777777" w:rsidR="007A279A" w:rsidRDefault="007A279A" w:rsidP="00CD53C5">
      <w:r>
        <w:separator/>
      </w:r>
    </w:p>
  </w:footnote>
  <w:footnote w:type="continuationSeparator" w:id="0">
    <w:p w14:paraId="62F4CE17" w14:textId="77777777" w:rsidR="007A279A" w:rsidRDefault="007A279A"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1CBDD359" w14:textId="77777777" w:rsidTr="007B0BFD">
      <w:trPr>
        <w:trHeight w:val="501"/>
      </w:trPr>
      <w:tc>
        <w:tcPr>
          <w:tcW w:w="4272" w:type="dxa"/>
          <w:shd w:val="clear" w:color="auto" w:fill="auto"/>
          <w:vAlign w:val="center"/>
        </w:tcPr>
        <w:p w14:paraId="3A68216C" w14:textId="77777777" w:rsidR="001545C6" w:rsidRPr="001F62DD" w:rsidRDefault="00287F83"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47D6F690" w14:textId="77777777" w:rsidR="001545C6" w:rsidRPr="004D61E7" w:rsidRDefault="00287F83"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第十二章</w:t>
          </w:r>
          <w:r>
            <w:rPr>
              <w:rFonts w:ascii="微软雅黑" w:eastAsia="微软雅黑" w:hAnsi="微软雅黑"/>
              <w:sz w:val="24"/>
              <w:szCs w:val="24"/>
            </w:rPr>
            <w:t>+货币资金的审计</w:t>
          </w:r>
        </w:p>
      </w:tc>
    </w:tr>
  </w:tbl>
  <w:p w14:paraId="3961B96D"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87F83"/>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279A"/>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33581"/>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670D4EE"/>
  <w15:docId w15:val="{5AFD4FD2-80F4-4EA0-9FBA-E005AB12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064594317">
      <w:bodyDiv w:val="1"/>
      <w:marLeft w:val="0"/>
      <w:marRight w:val="0"/>
      <w:marTop w:val="0"/>
      <w:marBottom w:val="0"/>
      <w:divBdr>
        <w:top w:val="none" w:sz="0" w:space="0" w:color="auto"/>
        <w:left w:val="none" w:sz="0" w:space="0" w:color="auto"/>
        <w:bottom w:val="none" w:sz="0" w:space="0" w:color="auto"/>
        <w:right w:val="none" w:sz="0" w:space="0" w:color="auto"/>
      </w:divBdr>
      <w:divsChild>
        <w:div w:id="1205944654">
          <w:marLeft w:val="0"/>
          <w:marRight w:val="0"/>
          <w:marTop w:val="0"/>
          <w:marBottom w:val="0"/>
          <w:divBdr>
            <w:top w:val="none" w:sz="0" w:space="0" w:color="auto"/>
            <w:left w:val="none" w:sz="0" w:space="0" w:color="auto"/>
            <w:bottom w:val="none" w:sz="0" w:space="0" w:color="auto"/>
            <w:right w:val="none" w:sz="0" w:space="0" w:color="auto"/>
          </w:divBdr>
          <w:divsChild>
            <w:div w:id="63380704">
              <w:marLeft w:val="0"/>
              <w:marRight w:val="0"/>
              <w:marTop w:val="0"/>
              <w:marBottom w:val="0"/>
              <w:divBdr>
                <w:top w:val="none" w:sz="0" w:space="0" w:color="auto"/>
                <w:left w:val="none" w:sz="0" w:space="0" w:color="auto"/>
                <w:bottom w:val="none" w:sz="0" w:space="0" w:color="auto"/>
                <w:right w:val="none" w:sz="0" w:space="0" w:color="auto"/>
              </w:divBdr>
            </w:div>
            <w:div w:id="81873610">
              <w:marLeft w:val="0"/>
              <w:marRight w:val="0"/>
              <w:marTop w:val="0"/>
              <w:marBottom w:val="0"/>
              <w:divBdr>
                <w:top w:val="none" w:sz="0" w:space="0" w:color="auto"/>
                <w:left w:val="none" w:sz="0" w:space="0" w:color="auto"/>
                <w:bottom w:val="none" w:sz="0" w:space="0" w:color="auto"/>
                <w:right w:val="none" w:sz="0" w:space="0" w:color="auto"/>
              </w:divBdr>
            </w:div>
            <w:div w:id="252052293">
              <w:marLeft w:val="0"/>
              <w:marRight w:val="0"/>
              <w:marTop w:val="0"/>
              <w:marBottom w:val="0"/>
              <w:divBdr>
                <w:top w:val="none" w:sz="0" w:space="0" w:color="auto"/>
                <w:left w:val="none" w:sz="0" w:space="0" w:color="auto"/>
                <w:bottom w:val="none" w:sz="0" w:space="0" w:color="auto"/>
                <w:right w:val="none" w:sz="0" w:space="0" w:color="auto"/>
              </w:divBdr>
            </w:div>
            <w:div w:id="287130942">
              <w:marLeft w:val="0"/>
              <w:marRight w:val="0"/>
              <w:marTop w:val="0"/>
              <w:marBottom w:val="0"/>
              <w:divBdr>
                <w:top w:val="none" w:sz="0" w:space="0" w:color="auto"/>
                <w:left w:val="none" w:sz="0" w:space="0" w:color="auto"/>
                <w:bottom w:val="none" w:sz="0" w:space="0" w:color="auto"/>
                <w:right w:val="none" w:sz="0" w:space="0" w:color="auto"/>
              </w:divBdr>
            </w:div>
            <w:div w:id="312295004">
              <w:marLeft w:val="0"/>
              <w:marRight w:val="0"/>
              <w:marTop w:val="0"/>
              <w:marBottom w:val="0"/>
              <w:divBdr>
                <w:top w:val="none" w:sz="0" w:space="0" w:color="auto"/>
                <w:left w:val="none" w:sz="0" w:space="0" w:color="auto"/>
                <w:bottom w:val="none" w:sz="0" w:space="0" w:color="auto"/>
                <w:right w:val="none" w:sz="0" w:space="0" w:color="auto"/>
              </w:divBdr>
            </w:div>
            <w:div w:id="676275321">
              <w:marLeft w:val="0"/>
              <w:marRight w:val="0"/>
              <w:marTop w:val="0"/>
              <w:marBottom w:val="0"/>
              <w:divBdr>
                <w:top w:val="none" w:sz="0" w:space="0" w:color="auto"/>
                <w:left w:val="none" w:sz="0" w:space="0" w:color="auto"/>
                <w:bottom w:val="none" w:sz="0" w:space="0" w:color="auto"/>
                <w:right w:val="none" w:sz="0" w:space="0" w:color="auto"/>
              </w:divBdr>
            </w:div>
            <w:div w:id="921372161">
              <w:marLeft w:val="0"/>
              <w:marRight w:val="0"/>
              <w:marTop w:val="0"/>
              <w:marBottom w:val="0"/>
              <w:divBdr>
                <w:top w:val="none" w:sz="0" w:space="0" w:color="auto"/>
                <w:left w:val="none" w:sz="0" w:space="0" w:color="auto"/>
                <w:bottom w:val="none" w:sz="0" w:space="0" w:color="auto"/>
                <w:right w:val="none" w:sz="0" w:space="0" w:color="auto"/>
              </w:divBdr>
            </w:div>
            <w:div w:id="1010333061">
              <w:marLeft w:val="0"/>
              <w:marRight w:val="0"/>
              <w:marTop w:val="0"/>
              <w:marBottom w:val="0"/>
              <w:divBdr>
                <w:top w:val="none" w:sz="0" w:space="0" w:color="auto"/>
                <w:left w:val="none" w:sz="0" w:space="0" w:color="auto"/>
                <w:bottom w:val="none" w:sz="0" w:space="0" w:color="auto"/>
                <w:right w:val="none" w:sz="0" w:space="0" w:color="auto"/>
              </w:divBdr>
            </w:div>
            <w:div w:id="1469779620">
              <w:marLeft w:val="0"/>
              <w:marRight w:val="0"/>
              <w:marTop w:val="0"/>
              <w:marBottom w:val="0"/>
              <w:divBdr>
                <w:top w:val="none" w:sz="0" w:space="0" w:color="auto"/>
                <w:left w:val="none" w:sz="0" w:space="0" w:color="auto"/>
                <w:bottom w:val="none" w:sz="0" w:space="0" w:color="auto"/>
                <w:right w:val="none" w:sz="0" w:space="0" w:color="auto"/>
              </w:divBdr>
            </w:div>
            <w:div w:id="1508137293">
              <w:marLeft w:val="0"/>
              <w:marRight w:val="0"/>
              <w:marTop w:val="0"/>
              <w:marBottom w:val="0"/>
              <w:divBdr>
                <w:top w:val="none" w:sz="0" w:space="0" w:color="auto"/>
                <w:left w:val="none" w:sz="0" w:space="0" w:color="auto"/>
                <w:bottom w:val="none" w:sz="0" w:space="0" w:color="auto"/>
                <w:right w:val="none" w:sz="0" w:space="0" w:color="auto"/>
              </w:divBdr>
            </w:div>
            <w:div w:id="1629041897">
              <w:marLeft w:val="0"/>
              <w:marRight w:val="0"/>
              <w:marTop w:val="0"/>
              <w:marBottom w:val="0"/>
              <w:divBdr>
                <w:top w:val="none" w:sz="0" w:space="0" w:color="auto"/>
                <w:left w:val="none" w:sz="0" w:space="0" w:color="auto"/>
                <w:bottom w:val="none" w:sz="0" w:space="0" w:color="auto"/>
                <w:right w:val="none" w:sz="0" w:space="0" w:color="auto"/>
              </w:divBdr>
            </w:div>
            <w:div w:id="1782533847">
              <w:marLeft w:val="0"/>
              <w:marRight w:val="0"/>
              <w:marTop w:val="0"/>
              <w:marBottom w:val="0"/>
              <w:divBdr>
                <w:top w:val="none" w:sz="0" w:space="0" w:color="auto"/>
                <w:left w:val="none" w:sz="0" w:space="0" w:color="auto"/>
                <w:bottom w:val="none" w:sz="0" w:space="0" w:color="auto"/>
                <w:right w:val="none" w:sz="0" w:space="0" w:color="auto"/>
              </w:divBdr>
            </w:div>
            <w:div w:id="1822885488">
              <w:marLeft w:val="0"/>
              <w:marRight w:val="0"/>
              <w:marTop w:val="0"/>
              <w:marBottom w:val="0"/>
              <w:divBdr>
                <w:top w:val="none" w:sz="0" w:space="0" w:color="auto"/>
                <w:left w:val="none" w:sz="0" w:space="0" w:color="auto"/>
                <w:bottom w:val="none" w:sz="0" w:space="0" w:color="auto"/>
                <w:right w:val="none" w:sz="0" w:space="0" w:color="auto"/>
              </w:divBdr>
            </w:div>
            <w:div w:id="18829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10/20190510093151741001.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DB16-D728-4499-8D45-8D990025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