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EE48D" w14:textId="77777777" w:rsidR="00FE75ED" w:rsidRDefault="00FE75ED" w:rsidP="00FE75ED">
      <w:pPr>
        <w:pStyle w:val="aa"/>
        <w:shd w:val="clear" w:color="auto" w:fill="FFFFFF"/>
        <w:spacing w:before="0" w:beforeAutospacing="0" w:after="0" w:afterAutospacing="0"/>
        <w:jc w:val="both"/>
        <w:rPr>
          <w:rFonts w:ascii="Calibri" w:eastAsia="微软雅黑" w:hAnsi="Calibri" w:cs="Calibri"/>
          <w:color w:val="3F3F3F"/>
          <w:sz w:val="21"/>
          <w:szCs w:val="21"/>
        </w:rPr>
      </w:pPr>
      <w:r>
        <w:rPr>
          <w:rFonts w:ascii="Calibri" w:eastAsia="微软雅黑" w:hAnsi="Calibri" w:cs="Calibri"/>
          <w:color w:val="3F3F3F"/>
          <w:sz w:val="21"/>
          <w:szCs w:val="21"/>
        </w:rPr>
        <w:t> </w:t>
      </w:r>
    </w:p>
    <w:p w14:paraId="27A29585" w14:textId="77777777" w:rsidR="00FE75ED" w:rsidRDefault="00FE75ED" w:rsidP="00FE75ED">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第一编</w:t>
      </w:r>
      <w:r>
        <w:rPr>
          <w:rFonts w:cs="Calibri" w:hint="eastAsia"/>
          <w:b/>
          <w:bCs/>
          <w:color w:val="3F3F3F"/>
          <w:sz w:val="52"/>
          <w:szCs w:val="52"/>
        </w:rPr>
        <w:t>•</w:t>
      </w:r>
      <w:r>
        <w:rPr>
          <w:rFonts w:ascii="楷体" w:eastAsia="楷体" w:hAnsi="楷体" w:cs="Calibri" w:hint="eastAsia"/>
          <w:b/>
          <w:bCs/>
          <w:color w:val="3F3F3F"/>
          <w:sz w:val="52"/>
          <w:szCs w:val="52"/>
        </w:rPr>
        <w:t>第四章</w:t>
      </w:r>
      <w:r>
        <w:rPr>
          <w:rFonts w:cs="Calibri" w:hint="eastAsia"/>
          <w:b/>
          <w:bCs/>
          <w:color w:val="3F3F3F"/>
          <w:sz w:val="52"/>
          <w:szCs w:val="52"/>
        </w:rPr>
        <w:t>•</w:t>
      </w:r>
      <w:r>
        <w:rPr>
          <w:rFonts w:ascii="楷体" w:eastAsia="楷体" w:hAnsi="楷体" w:cs="Calibri" w:hint="eastAsia"/>
          <w:b/>
          <w:bCs/>
          <w:color w:val="3F3F3F"/>
          <w:sz w:val="52"/>
          <w:szCs w:val="52"/>
        </w:rPr>
        <w:t>审计抽样方法</w:t>
      </w:r>
    </w:p>
    <w:p w14:paraId="234ECDD0" w14:textId="77777777" w:rsidR="00FE75ED" w:rsidRDefault="00FE75ED" w:rsidP="00FE75ED">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213A5B6A" w14:textId="77777777" w:rsidR="00FE75ED" w:rsidRDefault="00FE75ED" w:rsidP="00FE75ED">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第三节　审计抽样在细节测试中的运用</w:t>
      </w:r>
    </w:p>
    <w:p w14:paraId="56D1A37C" w14:textId="77777777" w:rsidR="00FE75ED" w:rsidRDefault="00FE75ED" w:rsidP="00FE75E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一、样本设计阶段</w:t>
      </w:r>
      <w:r>
        <w:rPr>
          <w:rFonts w:cs="Calibri" w:hint="eastAsia"/>
          <w:b/>
          <w:bCs/>
          <w:color w:val="FF0000"/>
          <w:sz w:val="21"/>
          <w:szCs w:val="21"/>
        </w:rPr>
        <w:t>（※）</w:t>
      </w:r>
    </w:p>
    <w:p w14:paraId="4379ABCE" w14:textId="77777777" w:rsidR="00FE75ED" w:rsidRDefault="00FE75ED" w:rsidP="00FE75E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二、选取样本阶段</w:t>
      </w:r>
      <w:r>
        <w:rPr>
          <w:rFonts w:cs="Calibri" w:hint="eastAsia"/>
          <w:b/>
          <w:bCs/>
          <w:color w:val="FF0000"/>
          <w:sz w:val="21"/>
          <w:szCs w:val="21"/>
        </w:rPr>
        <w:t>（※※※）</w:t>
      </w:r>
    </w:p>
    <w:p w14:paraId="2DC0DCEC" w14:textId="77777777" w:rsidR="00FE75ED" w:rsidRDefault="00FE75ED" w:rsidP="00FE75E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三、评价样本结果阶段</w:t>
      </w:r>
      <w:r>
        <w:rPr>
          <w:rFonts w:cs="Calibri" w:hint="eastAsia"/>
          <w:b/>
          <w:bCs/>
          <w:color w:val="FF0000"/>
          <w:sz w:val="21"/>
          <w:szCs w:val="21"/>
        </w:rPr>
        <w:t>（※※※）</w:t>
      </w:r>
    </w:p>
    <w:p w14:paraId="5AE81077" w14:textId="77777777" w:rsidR="00FE75ED" w:rsidRDefault="00FE75ED" w:rsidP="00FE75ED">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b/>
          <w:bCs/>
          <w:color w:val="FF0000"/>
          <w:sz w:val="21"/>
          <w:szCs w:val="21"/>
        </w:rPr>
        <w:fldChar w:fldCharType="begin"/>
      </w:r>
      <w:r>
        <w:rPr>
          <w:rFonts w:cs="Calibri"/>
          <w:b/>
          <w:bCs/>
          <w:color w:val="FF0000"/>
          <w:sz w:val="21"/>
          <w:szCs w:val="21"/>
        </w:rPr>
        <w:instrText xml:space="preserve"> INCLUDEPICTURE "http://webupload.admin.dongao.com/biz/handout/img/2019/20190513/20190513183037676001.png" \* MERGEFORMATINET </w:instrText>
      </w:r>
      <w:r>
        <w:rPr>
          <w:rFonts w:cs="Calibri"/>
          <w:b/>
          <w:bCs/>
          <w:color w:val="FF0000"/>
          <w:sz w:val="21"/>
          <w:szCs w:val="21"/>
        </w:rPr>
        <w:fldChar w:fldCharType="separate"/>
      </w:r>
      <w:r>
        <w:rPr>
          <w:rFonts w:cs="Calibri"/>
          <w:b/>
          <w:bCs/>
          <w:color w:val="FF0000"/>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54.75pt">
            <v:imagedata r:id="rId7" r:href="rId8"/>
          </v:shape>
        </w:pict>
      </w:r>
      <w:r>
        <w:rPr>
          <w:rFonts w:cs="Calibri"/>
          <w:b/>
          <w:bCs/>
          <w:color w:val="FF0000"/>
          <w:sz w:val="21"/>
          <w:szCs w:val="21"/>
        </w:rPr>
        <w:fldChar w:fldCharType="end"/>
      </w:r>
    </w:p>
    <w:p w14:paraId="13CC910E" w14:textId="77777777" w:rsidR="00FE75ED" w:rsidRDefault="00FE75ED" w:rsidP="00FE75ED">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一、样本设计阶段</w:t>
      </w:r>
    </w:p>
    <w:p w14:paraId="29E5882D" w14:textId="77777777" w:rsidR="00FE75ED" w:rsidRDefault="00FE75ED" w:rsidP="00FE75ED">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"http://webupload.admin.dongao.com/biz/handout/img/2019/20190513/20190513183037821002.png" \* MERGEFORMATINET </w:instrText>
      </w:r>
      <w:r>
        <w:rPr>
          <w:rFonts w:cs="Calibri"/>
          <w:color w:val="3F3F3F"/>
          <w:sz w:val="21"/>
          <w:szCs w:val="21"/>
        </w:rPr>
        <w:fldChar w:fldCharType="separate"/>
      </w:r>
      <w:r>
        <w:rPr>
          <w:rFonts w:cs="Calibri"/>
          <w:color w:val="3F3F3F"/>
          <w:sz w:val="21"/>
          <w:szCs w:val="21"/>
        </w:rPr>
        <w:pict>
          <v:shape id="_x0000_i1026" type="#_x0000_t75" style="width:420pt;height:50.25pt">
            <v:imagedata r:id="rId9" r:href="rId10"/>
          </v:shape>
        </w:pict>
      </w:r>
      <w:r>
        <w:rPr>
          <w:rFonts w:cs="Calibri"/>
          <w:color w:val="3F3F3F"/>
          <w:sz w:val="21"/>
          <w:szCs w:val="21"/>
        </w:rPr>
        <w:fldChar w:fldCharType="end"/>
      </w:r>
    </w:p>
    <w:p w14:paraId="65A5E1C4" w14:textId="77777777" w:rsidR="00FE75ED" w:rsidRDefault="00FE75ED" w:rsidP="00FE75E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1.确定测试目标</w:t>
      </w:r>
    </w:p>
    <w:p w14:paraId="27D2F79E" w14:textId="77777777" w:rsidR="00FE75ED" w:rsidRDefault="00FE75ED" w:rsidP="00FE75E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在细节测试中，审计抽样通常用来测试有关财务报表金额的一项或多项认定的合理性。</w:t>
      </w:r>
    </w:p>
    <w:p w14:paraId="637232F3" w14:textId="77777777" w:rsidR="00FE75ED" w:rsidRDefault="00FE75ED" w:rsidP="00FE75E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2.定义总体</w:t>
      </w:r>
    </w:p>
    <w:tbl>
      <w:tblPr>
        <w:tblW w:w="8505" w:type="dxa"/>
        <w:jc w:val="center"/>
        <w:tblCellMar>
          <w:left w:w="0" w:type="dxa"/>
          <w:right w:w="0" w:type="dxa"/>
        </w:tblCellMar>
        <w:tblLook w:val="04A0" w:firstRow="1" w:lastRow="0" w:firstColumn="1" w:lastColumn="0" w:noHBand="0" w:noVBand="1"/>
      </w:tblPr>
      <w:tblGrid>
        <w:gridCol w:w="1518"/>
        <w:gridCol w:w="6987"/>
      </w:tblGrid>
      <w:tr w:rsidR="00FE75ED" w14:paraId="5E9F456D" w14:textId="77777777" w:rsidTr="00FE75ED">
        <w:trPr>
          <w:trHeight w:val="60"/>
          <w:jc w:val="center"/>
        </w:trPr>
        <w:tc>
          <w:tcPr>
            <w:tcW w:w="15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F198A37" w14:textId="77777777" w:rsidR="00FE75ED" w:rsidRDefault="00FE75ED" w:rsidP="00FE75ED">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特性</w:t>
            </w:r>
          </w:p>
        </w:tc>
        <w:tc>
          <w:tcPr>
            <w:tcW w:w="698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1D83614" w14:textId="77777777" w:rsidR="00FE75ED" w:rsidRDefault="00FE75ED" w:rsidP="00FE75ED">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分析</w:t>
            </w:r>
          </w:p>
        </w:tc>
      </w:tr>
      <w:tr w:rsidR="00FE75ED" w14:paraId="557BF447" w14:textId="77777777" w:rsidTr="00FE75ED">
        <w:trPr>
          <w:trHeight w:val="516"/>
          <w:jc w:val="center"/>
        </w:trPr>
        <w:tc>
          <w:tcPr>
            <w:tcW w:w="15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F374E3A" w14:textId="77777777" w:rsidR="00FE75ED" w:rsidRDefault="00FE75ED" w:rsidP="00FE75ED">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适当性</w:t>
            </w:r>
          </w:p>
        </w:tc>
        <w:tc>
          <w:tcPr>
            <w:tcW w:w="698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7C0D991" w14:textId="77777777" w:rsidR="00FE75ED" w:rsidRDefault="00FE75ED" w:rsidP="00FE75ED">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（1）总体适合于特定的审计目标（通常</w:t>
            </w:r>
            <w:r>
              <w:rPr>
                <w:rFonts w:cs="Calibri" w:hint="eastAsia"/>
                <w:b/>
                <w:bCs/>
                <w:color w:val="FF0000"/>
                <w:sz w:val="21"/>
                <w:szCs w:val="21"/>
              </w:rPr>
              <w:t>与细节测试的方向</w:t>
            </w:r>
            <w:r>
              <w:rPr>
                <w:rFonts w:cs="Calibri" w:hint="eastAsia"/>
                <w:color w:val="333333"/>
                <w:sz w:val="21"/>
                <w:szCs w:val="21"/>
              </w:rPr>
              <w:t>相关）</w:t>
            </w:r>
          </w:p>
          <w:p w14:paraId="2C6768FE" w14:textId="77777777" w:rsidR="00FE75ED" w:rsidRDefault="00FE75ED" w:rsidP="00FE75ED">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（2）注册会计师可以对不同性质的交易导致的借方余额、贷方余额进行不同的考虑</w:t>
            </w:r>
          </w:p>
          <w:p w14:paraId="16339F88" w14:textId="77777777" w:rsidR="00FE75ED" w:rsidRDefault="00FE75ED" w:rsidP="00FE75ED">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（3）审计抽样时，销售收入和销售成本通常被视为两个独立的总体</w:t>
            </w:r>
          </w:p>
        </w:tc>
      </w:tr>
      <w:tr w:rsidR="00FE75ED" w14:paraId="2BAA550E" w14:textId="77777777" w:rsidTr="00FE75ED">
        <w:trPr>
          <w:trHeight w:val="60"/>
          <w:jc w:val="center"/>
        </w:trPr>
        <w:tc>
          <w:tcPr>
            <w:tcW w:w="15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F5739C3" w14:textId="77777777" w:rsidR="00FE75ED" w:rsidRDefault="00FE75ED" w:rsidP="00FE75ED">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完整性</w:t>
            </w:r>
          </w:p>
        </w:tc>
        <w:tc>
          <w:tcPr>
            <w:tcW w:w="698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4FABE2" w14:textId="77777777" w:rsidR="00FE75ED" w:rsidRDefault="00FE75ED" w:rsidP="00FE75ED">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（1）代表总体的实物包括整个总体</w:t>
            </w:r>
          </w:p>
          <w:p w14:paraId="2B81BFDD" w14:textId="77777777" w:rsidR="00FE75ED" w:rsidRDefault="00FE75ED" w:rsidP="00FE75ED">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（2）逐一进行检查的</w:t>
            </w:r>
            <w:r>
              <w:rPr>
                <w:rFonts w:cs="Calibri" w:hint="eastAsia"/>
                <w:b/>
                <w:bCs/>
                <w:color w:val="FF0000"/>
                <w:sz w:val="21"/>
                <w:szCs w:val="21"/>
              </w:rPr>
              <w:t>单个重大项目</w:t>
            </w:r>
            <w:r>
              <w:rPr>
                <w:rFonts w:cs="Calibri" w:hint="eastAsia"/>
                <w:color w:val="333333"/>
                <w:sz w:val="21"/>
                <w:szCs w:val="21"/>
              </w:rPr>
              <w:t>不构成抽样总体</w:t>
            </w:r>
          </w:p>
        </w:tc>
      </w:tr>
    </w:tbl>
    <w:p w14:paraId="408DD6C6" w14:textId="77777777" w:rsidR="00FE75ED" w:rsidRDefault="00FE75ED" w:rsidP="00FE75ED">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"http://webupload.admin.dongao.com/biz/handout/img/2019/20190513/20190513183037373003.png"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7" type="#_x0000_t75" style="width:420pt;height:200.25pt">
            <v:imagedata r:id="rId11" r:href="rId12"/>
          </v:shape>
        </w:pict>
      </w:r>
      <w:r>
        <w:rPr>
          <w:rFonts w:ascii="Calibri" w:eastAsia="微软雅黑" w:hAnsi="Calibri" w:cs="Calibri"/>
          <w:color w:val="3F3F3F"/>
          <w:sz w:val="21"/>
          <w:szCs w:val="21"/>
        </w:rPr>
        <w:fldChar w:fldCharType="end"/>
      </w:r>
      <w:r>
        <w:rPr>
          <w:rFonts w:ascii="Calibri" w:eastAsia="微软雅黑" w:hAnsi="Calibri" w:cs="Calibri"/>
          <w:color w:val="3F3F3F"/>
          <w:sz w:val="21"/>
          <w:szCs w:val="21"/>
        </w:rPr>
        <w:t> </w:t>
      </w:r>
    </w:p>
    <w:p w14:paraId="1C7537DC" w14:textId="77777777" w:rsidR="00FE75ED" w:rsidRDefault="00FE75ED" w:rsidP="00FE75E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lastRenderedPageBreak/>
        <w:t>3.定义抽样单元</w:t>
      </w:r>
    </w:p>
    <w:p w14:paraId="57ECA2CD" w14:textId="77777777" w:rsidR="00FE75ED" w:rsidRDefault="00FE75ED" w:rsidP="00FE75ED">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（1）抽样单元可能是一个账户余额、一笔交易或交易中的一个记录，甚至是每个货币单元；</w:t>
      </w:r>
    </w:p>
    <w:p w14:paraId="2C2E6EF0" w14:textId="77777777" w:rsidR="00FE75ED" w:rsidRDefault="00FE75ED" w:rsidP="00FE75ED">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（2）注册会计师定义抽样单元时</w:t>
      </w:r>
      <w:r>
        <w:rPr>
          <w:rFonts w:cs="Calibri" w:hint="eastAsia"/>
          <w:b/>
          <w:bCs/>
          <w:color w:val="FF0000"/>
          <w:sz w:val="21"/>
          <w:szCs w:val="21"/>
        </w:rPr>
        <w:t>应考虑</w:t>
      </w:r>
      <w:r>
        <w:rPr>
          <w:rFonts w:cs="Calibri" w:hint="eastAsia"/>
          <w:color w:val="3F3F3F"/>
          <w:sz w:val="21"/>
          <w:szCs w:val="21"/>
        </w:rPr>
        <w:t>实施计划的审计程序或替代程序的难易程度。</w:t>
      </w:r>
    </w:p>
    <w:p w14:paraId="0C62A636" w14:textId="77777777" w:rsidR="00FE75ED" w:rsidRDefault="00FE75ED" w:rsidP="00FE75ED">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"http://webupload.admin.dongao.com/biz/handout/img/2019/20190513/20190513183037308004.png"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8" type="#_x0000_t75" style="width:420pt;height:225pt">
            <v:imagedata r:id="rId13" r:href="rId14"/>
          </v:shape>
        </w:pict>
      </w:r>
      <w:r>
        <w:rPr>
          <w:rFonts w:ascii="Calibri" w:eastAsia="微软雅黑" w:hAnsi="Calibri" w:cs="Calibri"/>
          <w:color w:val="3F3F3F"/>
          <w:sz w:val="21"/>
          <w:szCs w:val="21"/>
        </w:rPr>
        <w:fldChar w:fldCharType="end"/>
      </w:r>
    </w:p>
    <w:p w14:paraId="3F8F21DC" w14:textId="77777777" w:rsidR="00FE75ED" w:rsidRDefault="00FE75ED" w:rsidP="00FE75E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4.界定错报</w:t>
      </w:r>
    </w:p>
    <w:p w14:paraId="7112D042" w14:textId="77777777" w:rsidR="00FE75ED" w:rsidRDefault="00FE75ED" w:rsidP="00FE75E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注册会计师应根据审计目标界定错报。</w:t>
      </w:r>
    </w:p>
    <w:p w14:paraId="79CC5DEC" w14:textId="77777777" w:rsidR="00FE75ED" w:rsidRDefault="00FE75ED" w:rsidP="00FE75ED">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二、选取样本阶段</w:t>
      </w:r>
    </w:p>
    <w:p w14:paraId="303C20F2" w14:textId="77777777" w:rsidR="00FE75ED" w:rsidRDefault="00FE75ED" w:rsidP="00FE75ED">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"http://webupload.admin.dongao.com/biz/handout/img/2019/20190513/20190513183037930005.png" \* MERGEFORMATINET </w:instrText>
      </w:r>
      <w:r>
        <w:rPr>
          <w:rFonts w:cs="Calibri"/>
          <w:color w:val="3F3F3F"/>
          <w:sz w:val="21"/>
          <w:szCs w:val="21"/>
        </w:rPr>
        <w:fldChar w:fldCharType="separate"/>
      </w:r>
      <w:r>
        <w:rPr>
          <w:rFonts w:cs="Calibri"/>
          <w:color w:val="3F3F3F"/>
          <w:sz w:val="21"/>
          <w:szCs w:val="21"/>
        </w:rPr>
        <w:pict>
          <v:shape id="_x0000_i1029" type="#_x0000_t75" style="width:420pt;height:50.25pt">
            <v:imagedata r:id="rId15" r:href="rId16"/>
          </v:shape>
        </w:pict>
      </w:r>
      <w:r>
        <w:rPr>
          <w:rFonts w:cs="Calibri"/>
          <w:color w:val="3F3F3F"/>
          <w:sz w:val="21"/>
          <w:szCs w:val="21"/>
        </w:rPr>
        <w:fldChar w:fldCharType="end"/>
      </w:r>
    </w:p>
    <w:p w14:paraId="0DC8A149" w14:textId="77777777" w:rsidR="00FE75ED" w:rsidRDefault="00FE75ED" w:rsidP="00FE75ED">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（一）确定抽样方法</w:t>
      </w:r>
    </w:p>
    <w:p w14:paraId="64E017ED" w14:textId="77777777" w:rsidR="00FE75ED" w:rsidRDefault="00FE75ED" w:rsidP="00FE75ED">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"http://webupload.admin.dongao.com/biz/handout/img/2019/20190513/20190513183037782006.png" \* MERGEFORMATINET </w:instrText>
      </w:r>
      <w:r>
        <w:rPr>
          <w:rFonts w:cs="Calibri"/>
          <w:color w:val="3F3F3F"/>
          <w:sz w:val="21"/>
          <w:szCs w:val="21"/>
        </w:rPr>
        <w:fldChar w:fldCharType="separate"/>
      </w:r>
      <w:r>
        <w:rPr>
          <w:rFonts w:cs="Calibri"/>
          <w:color w:val="3F3F3F"/>
          <w:sz w:val="21"/>
          <w:szCs w:val="21"/>
        </w:rPr>
        <w:pict>
          <v:shape id="_x0000_i1030" type="#_x0000_t75" style="width:420pt;height:129.75pt">
            <v:imagedata r:id="rId17" r:href="rId18"/>
          </v:shape>
        </w:pict>
      </w:r>
      <w:r>
        <w:rPr>
          <w:rFonts w:cs="Calibri"/>
          <w:color w:val="3F3F3F"/>
          <w:sz w:val="21"/>
          <w:szCs w:val="21"/>
        </w:rPr>
        <w:fldChar w:fldCharType="end"/>
      </w:r>
    </w:p>
    <w:p w14:paraId="0402D7F6" w14:textId="77777777" w:rsidR="00FE75ED" w:rsidRDefault="00FE75ED" w:rsidP="00FE75E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1.传统变量抽样</w:t>
      </w:r>
      <w:r>
        <w:rPr>
          <w:rFonts w:cs="Calibri" w:hint="eastAsia"/>
          <w:b/>
          <w:bCs/>
          <w:color w:val="FF0000"/>
          <w:sz w:val="21"/>
          <w:szCs w:val="21"/>
        </w:rPr>
        <w:t>【多选题考点】</w:t>
      </w:r>
    </w:p>
    <w:p w14:paraId="7C23AB51" w14:textId="77777777" w:rsidR="00FE75ED" w:rsidRDefault="00FE75ED" w:rsidP="00FE75ED">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（1）常用方法及其计算</w:t>
      </w:r>
    </w:p>
    <w:p w14:paraId="7F70300B" w14:textId="77777777" w:rsidR="00FE75ED" w:rsidRDefault="00FE75ED" w:rsidP="00FE75ED">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"http://webupload.admin.dongao.com/biz/handout/img/2019/20190513/20190513183037537007.png" \* MERGEFORMATINET </w:instrText>
      </w:r>
      <w:r>
        <w:rPr>
          <w:rFonts w:cs="Calibri"/>
          <w:color w:val="3F3F3F"/>
          <w:sz w:val="21"/>
          <w:szCs w:val="21"/>
        </w:rPr>
        <w:fldChar w:fldCharType="separate"/>
      </w:r>
      <w:r>
        <w:rPr>
          <w:rFonts w:cs="Calibri"/>
          <w:color w:val="3F3F3F"/>
          <w:sz w:val="21"/>
          <w:szCs w:val="21"/>
        </w:rPr>
        <w:pict>
          <v:shape id="_x0000_i1031" type="#_x0000_t75" style="width:313.5pt;height:177pt">
            <v:imagedata r:id="rId19" r:href="rId20"/>
          </v:shape>
        </w:pict>
      </w:r>
      <w:r>
        <w:rPr>
          <w:rFonts w:cs="Calibri"/>
          <w:color w:val="3F3F3F"/>
          <w:sz w:val="21"/>
          <w:szCs w:val="21"/>
        </w:rPr>
        <w:fldChar w:fldCharType="end"/>
      </w:r>
    </w:p>
    <w:p w14:paraId="0DF00C50" w14:textId="77777777" w:rsidR="00FE75ED" w:rsidRDefault="00FE75ED" w:rsidP="00FE75E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lastRenderedPageBreak/>
        <w:t>传统变量抽样运用正态分布理论，涉及较为复杂的数学计算，注册会计师通常借助计算机程序确定样本规模，一般无需懂得所用的数学公式。传统变量抽样常用方法包括均值法、差额法和比率法，运用中通常涉及以下</w:t>
      </w:r>
      <w:r>
        <w:rPr>
          <w:rFonts w:cs="Calibri" w:hint="eastAsia"/>
          <w:b/>
          <w:bCs/>
          <w:color w:val="FF0000"/>
          <w:sz w:val="21"/>
          <w:szCs w:val="21"/>
        </w:rPr>
        <w:t>六组基础数据</w:t>
      </w:r>
      <w:r>
        <w:rPr>
          <w:rFonts w:cs="Calibri" w:hint="eastAsia"/>
          <w:color w:val="3F3F3F"/>
          <w:sz w:val="21"/>
          <w:szCs w:val="21"/>
        </w:rPr>
        <w:t>：</w:t>
      </w:r>
    </w:p>
    <w:p w14:paraId="4D150558" w14:textId="77777777" w:rsidR="00FE75ED" w:rsidRDefault="00FE75ED" w:rsidP="00FE75ED">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"http://webupload.admin.dongao.com/biz/handout/img/2019/20190513/20190513183037354008.png" \* MERGEFORMATINET </w:instrText>
      </w:r>
      <w:r>
        <w:rPr>
          <w:rFonts w:cs="Calibri"/>
          <w:color w:val="3F3F3F"/>
          <w:sz w:val="21"/>
          <w:szCs w:val="21"/>
        </w:rPr>
        <w:fldChar w:fldCharType="separate"/>
      </w:r>
      <w:r>
        <w:rPr>
          <w:rFonts w:cs="Calibri"/>
          <w:color w:val="3F3F3F"/>
          <w:sz w:val="21"/>
          <w:szCs w:val="21"/>
        </w:rPr>
        <w:pict>
          <v:shape id="_x0000_i1032" type="#_x0000_t75" style="width:357pt;height:341.25pt">
            <v:imagedata r:id="rId21" r:href="rId22"/>
          </v:shape>
        </w:pict>
      </w:r>
      <w:r>
        <w:rPr>
          <w:rFonts w:cs="Calibri"/>
          <w:color w:val="3F3F3F"/>
          <w:sz w:val="21"/>
          <w:szCs w:val="21"/>
        </w:rPr>
        <w:fldChar w:fldCharType="end"/>
      </w:r>
    </w:p>
    <w:p w14:paraId="3A7AE838" w14:textId="77777777" w:rsidR="00FE75ED" w:rsidRDefault="00FE75ED" w:rsidP="00FE75E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a）均值法</w:t>
      </w:r>
    </w:p>
    <w:p w14:paraId="182B91B9" w14:textId="77777777" w:rsidR="00FE75ED" w:rsidRDefault="00FE75ED" w:rsidP="00FE75ED">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"http://webupload.admin.dongao.com/biz/handout/img/2019/20190513/20190513183037618009.png" \* MERGEFORMATINET </w:instrText>
      </w:r>
      <w:r>
        <w:rPr>
          <w:rFonts w:cs="Calibri"/>
          <w:color w:val="3F3F3F"/>
          <w:sz w:val="21"/>
          <w:szCs w:val="21"/>
        </w:rPr>
        <w:fldChar w:fldCharType="separate"/>
      </w:r>
      <w:r>
        <w:rPr>
          <w:rFonts w:cs="Calibri"/>
          <w:color w:val="3F3F3F"/>
          <w:sz w:val="21"/>
          <w:szCs w:val="21"/>
        </w:rPr>
        <w:pict>
          <v:shape id="_x0000_i1033" type="#_x0000_t75" style="width:420pt;height:171pt">
            <v:imagedata r:id="rId23" r:href="rId24"/>
          </v:shape>
        </w:pict>
      </w:r>
      <w:r>
        <w:rPr>
          <w:rFonts w:cs="Calibri"/>
          <w:color w:val="3F3F3F"/>
          <w:sz w:val="21"/>
          <w:szCs w:val="21"/>
        </w:rPr>
        <w:fldChar w:fldCharType="end"/>
      </w:r>
    </w:p>
    <w:p w14:paraId="5A8236D4" w14:textId="77777777" w:rsidR="00FE75ED" w:rsidRDefault="00FE75ED" w:rsidP="00FE75ED">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"http://webupload.admin.dongao.com/biz/handout/img/2019/20190513/20190513183037597010.png"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34" type="#_x0000_t75" style="width:420pt;height:202.5pt">
            <v:imagedata r:id="rId25" r:href="rId26"/>
          </v:shape>
        </w:pict>
      </w:r>
      <w:r>
        <w:rPr>
          <w:rFonts w:ascii="Calibri" w:eastAsia="微软雅黑" w:hAnsi="Calibri" w:cs="Calibri"/>
          <w:color w:val="3F3F3F"/>
          <w:sz w:val="21"/>
          <w:szCs w:val="21"/>
        </w:rPr>
        <w:fldChar w:fldCharType="end"/>
      </w:r>
    </w:p>
    <w:p w14:paraId="507E4DF0" w14:textId="77777777" w:rsidR="00FE75ED" w:rsidRDefault="00FE75ED" w:rsidP="00FE75E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b）差额法</w:t>
      </w:r>
    </w:p>
    <w:p w14:paraId="1880D1BF" w14:textId="77777777" w:rsidR="00FE75ED" w:rsidRDefault="00FE75ED" w:rsidP="00FE75ED">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"http://webupload.admin.dongao.com/biz/handout/img/2019/20190513/20190513183037652011.png" \* MERGEFORMATINET </w:instrText>
      </w:r>
      <w:r>
        <w:rPr>
          <w:rFonts w:cs="Calibri"/>
          <w:color w:val="3F3F3F"/>
          <w:sz w:val="21"/>
          <w:szCs w:val="21"/>
        </w:rPr>
        <w:fldChar w:fldCharType="separate"/>
      </w:r>
      <w:r>
        <w:rPr>
          <w:rFonts w:cs="Calibri"/>
          <w:color w:val="3F3F3F"/>
          <w:sz w:val="21"/>
          <w:szCs w:val="21"/>
        </w:rPr>
        <w:pict>
          <v:shape id="_x0000_i1035" type="#_x0000_t75" style="width:420pt;height:149.25pt">
            <v:imagedata r:id="rId27" r:href="rId28"/>
          </v:shape>
        </w:pict>
      </w:r>
      <w:r>
        <w:rPr>
          <w:rFonts w:cs="Calibri"/>
          <w:color w:val="3F3F3F"/>
          <w:sz w:val="21"/>
          <w:szCs w:val="21"/>
        </w:rPr>
        <w:fldChar w:fldCharType="end"/>
      </w:r>
    </w:p>
    <w:p w14:paraId="20FB52E5" w14:textId="77777777" w:rsidR="00FE75ED" w:rsidRDefault="00FE75ED" w:rsidP="00FE75ED">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"http://webupload.admin.dongao.com/biz/handout/img/2019/20190513/20190513183037127012.png"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36" type="#_x0000_t75" style="width:420pt;height:234.75pt">
            <v:imagedata r:id="rId29" r:href="rId30"/>
          </v:shape>
        </w:pict>
      </w:r>
      <w:r>
        <w:rPr>
          <w:rFonts w:ascii="Calibri" w:eastAsia="微软雅黑" w:hAnsi="Calibri" w:cs="Calibri"/>
          <w:color w:val="3F3F3F"/>
          <w:sz w:val="21"/>
          <w:szCs w:val="21"/>
        </w:rPr>
        <w:fldChar w:fldCharType="end"/>
      </w:r>
    </w:p>
    <w:p w14:paraId="64A7F21B" w14:textId="77777777" w:rsidR="00FE75ED" w:rsidRDefault="00FE75ED" w:rsidP="00FE75E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c）比率法</w:t>
      </w:r>
    </w:p>
    <w:p w14:paraId="19FFEAA0" w14:textId="77777777" w:rsidR="00FE75ED" w:rsidRDefault="00FE75ED" w:rsidP="00FE75ED">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"http://webupload.admin.dongao.com/biz/handout/img/2019/20190513/20190513183037605013.png" \* MERGEFORMATINET </w:instrText>
      </w:r>
      <w:r>
        <w:rPr>
          <w:rFonts w:cs="Calibri"/>
          <w:color w:val="3F3F3F"/>
          <w:sz w:val="21"/>
          <w:szCs w:val="21"/>
        </w:rPr>
        <w:fldChar w:fldCharType="separate"/>
      </w:r>
      <w:r>
        <w:rPr>
          <w:rFonts w:cs="Calibri"/>
          <w:color w:val="3F3F3F"/>
          <w:sz w:val="21"/>
          <w:szCs w:val="21"/>
        </w:rPr>
        <w:pict>
          <v:shape id="_x0000_i1037" type="#_x0000_t75" style="width:420pt;height:179.25pt">
            <v:imagedata r:id="rId31" r:href="rId32"/>
          </v:shape>
        </w:pict>
      </w:r>
      <w:r>
        <w:rPr>
          <w:rFonts w:cs="Calibri"/>
          <w:color w:val="3F3F3F"/>
          <w:sz w:val="21"/>
          <w:szCs w:val="21"/>
        </w:rPr>
        <w:fldChar w:fldCharType="end"/>
      </w:r>
    </w:p>
    <w:p w14:paraId="09D8B66C" w14:textId="77777777" w:rsidR="00FE75ED" w:rsidRDefault="00FE75ED" w:rsidP="00FE75ED">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"http://webupload.admin.dongao.com/biz/handout/img/2019/20190513/20190513183037932014.png"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38" type="#_x0000_t75" style="width:420pt;height:3in">
            <v:imagedata r:id="rId33" r:href="rId34"/>
          </v:shape>
        </w:pict>
      </w:r>
      <w:r>
        <w:rPr>
          <w:rFonts w:ascii="Calibri" w:eastAsia="微软雅黑" w:hAnsi="Calibri" w:cs="Calibri"/>
          <w:color w:val="3F3F3F"/>
          <w:sz w:val="21"/>
          <w:szCs w:val="21"/>
        </w:rPr>
        <w:fldChar w:fldCharType="end"/>
      </w:r>
    </w:p>
    <w:p w14:paraId="59DB0CD9" w14:textId="77777777" w:rsidR="00FE75ED" w:rsidRDefault="00FE75ED" w:rsidP="00FE75ED">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（2）均值法、差额法和比率法的适用条件</w:t>
      </w:r>
    </w:p>
    <w:tbl>
      <w:tblPr>
        <w:tblW w:w="8505" w:type="dxa"/>
        <w:jc w:val="center"/>
        <w:tblCellMar>
          <w:left w:w="0" w:type="dxa"/>
          <w:right w:w="0" w:type="dxa"/>
        </w:tblCellMar>
        <w:tblLook w:val="04A0" w:firstRow="1" w:lastRow="0" w:firstColumn="1" w:lastColumn="0" w:noHBand="0" w:noVBand="1"/>
      </w:tblPr>
      <w:tblGrid>
        <w:gridCol w:w="1397"/>
        <w:gridCol w:w="7108"/>
      </w:tblGrid>
      <w:tr w:rsidR="00FE75ED" w14:paraId="644F3000" w14:textId="77777777" w:rsidTr="00FE75ED">
        <w:trPr>
          <w:trHeight w:val="60"/>
          <w:jc w:val="center"/>
        </w:trPr>
        <w:tc>
          <w:tcPr>
            <w:tcW w:w="139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388C2D7" w14:textId="77777777" w:rsidR="00FE75ED" w:rsidRDefault="00FE75ED" w:rsidP="00FE75ED">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方法</w:t>
            </w:r>
          </w:p>
        </w:tc>
        <w:tc>
          <w:tcPr>
            <w:tcW w:w="710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0A77C0F" w14:textId="77777777" w:rsidR="00FE75ED" w:rsidRDefault="00FE75ED" w:rsidP="00FE75ED">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适用条件</w:t>
            </w:r>
          </w:p>
        </w:tc>
      </w:tr>
      <w:tr w:rsidR="00FE75ED" w14:paraId="55A37448" w14:textId="77777777" w:rsidTr="00FE75ED">
        <w:trPr>
          <w:trHeight w:val="286"/>
          <w:jc w:val="center"/>
        </w:trPr>
        <w:tc>
          <w:tcPr>
            <w:tcW w:w="139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CF16736" w14:textId="77777777" w:rsidR="00FE75ED" w:rsidRDefault="00FE75ED" w:rsidP="00FE75ED">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均值法</w:t>
            </w:r>
          </w:p>
        </w:tc>
        <w:tc>
          <w:tcPr>
            <w:tcW w:w="71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4115C14" w14:textId="77777777" w:rsidR="00FE75ED" w:rsidRDefault="00FE75ED" w:rsidP="00FE75ED">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a）如果未对总体进行</w:t>
            </w:r>
            <w:r>
              <w:rPr>
                <w:rFonts w:cs="Calibri" w:hint="eastAsia"/>
                <w:b/>
                <w:bCs/>
                <w:color w:val="FF0000"/>
                <w:sz w:val="21"/>
                <w:szCs w:val="21"/>
              </w:rPr>
              <w:t>分层</w:t>
            </w:r>
            <w:r>
              <w:rPr>
                <w:rFonts w:cs="Calibri" w:hint="eastAsia"/>
                <w:color w:val="333333"/>
                <w:sz w:val="21"/>
                <w:szCs w:val="21"/>
              </w:rPr>
              <w:t>，不适用均值法</w:t>
            </w:r>
          </w:p>
          <w:p w14:paraId="090666D3" w14:textId="77777777" w:rsidR="00FE75ED" w:rsidRDefault="00FE75ED" w:rsidP="00FE75ED">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b）注册会计师预计样本项目的审定金额和账面金额之间</w:t>
            </w:r>
            <w:r>
              <w:rPr>
                <w:rFonts w:cs="Calibri" w:hint="eastAsia"/>
                <w:b/>
                <w:bCs/>
                <w:color w:val="FF0000"/>
                <w:sz w:val="21"/>
                <w:szCs w:val="21"/>
              </w:rPr>
              <w:t>没有差异</w:t>
            </w:r>
            <w:r>
              <w:rPr>
                <w:rFonts w:cs="Calibri" w:hint="eastAsia"/>
                <w:color w:val="333333"/>
                <w:sz w:val="21"/>
                <w:szCs w:val="21"/>
              </w:rPr>
              <w:t>或只有</w:t>
            </w:r>
            <w:r>
              <w:rPr>
                <w:rFonts w:cs="Calibri" w:hint="eastAsia"/>
                <w:b/>
                <w:bCs/>
                <w:color w:val="FF0000"/>
                <w:sz w:val="21"/>
                <w:szCs w:val="21"/>
              </w:rPr>
              <w:t>少量差异</w:t>
            </w:r>
          </w:p>
        </w:tc>
      </w:tr>
      <w:tr w:rsidR="00FE75ED" w14:paraId="6A0B1EB7" w14:textId="77777777" w:rsidTr="00FE75ED">
        <w:trPr>
          <w:trHeight w:val="60"/>
          <w:jc w:val="center"/>
        </w:trPr>
        <w:tc>
          <w:tcPr>
            <w:tcW w:w="139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AB0E0DE" w14:textId="77777777" w:rsidR="00FE75ED" w:rsidRDefault="00FE75ED" w:rsidP="00FE75ED">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差额法</w:t>
            </w:r>
          </w:p>
        </w:tc>
        <w:tc>
          <w:tcPr>
            <w:tcW w:w="71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EAFA85F" w14:textId="77777777" w:rsidR="00FE75ED" w:rsidRDefault="00FE75ED" w:rsidP="00FE75ED">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a）样本项目存在</w:t>
            </w:r>
            <w:r>
              <w:rPr>
                <w:rFonts w:cs="Calibri" w:hint="eastAsia"/>
                <w:b/>
                <w:bCs/>
                <w:color w:val="FF0000"/>
                <w:sz w:val="21"/>
                <w:szCs w:val="21"/>
              </w:rPr>
              <w:t>错报</w:t>
            </w:r>
          </w:p>
          <w:p w14:paraId="63DB2AF0" w14:textId="77777777" w:rsidR="00FE75ED" w:rsidRDefault="00FE75ED" w:rsidP="00FE75ED">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b）错报金额与</w:t>
            </w:r>
            <w:r>
              <w:rPr>
                <w:rFonts w:cs="Calibri" w:hint="eastAsia"/>
                <w:b/>
                <w:bCs/>
                <w:color w:val="FF0000"/>
                <w:sz w:val="21"/>
                <w:szCs w:val="21"/>
              </w:rPr>
              <w:t>项目数量</w:t>
            </w:r>
            <w:r>
              <w:rPr>
                <w:rFonts w:cs="Calibri" w:hint="eastAsia"/>
                <w:color w:val="333333"/>
                <w:sz w:val="21"/>
                <w:szCs w:val="21"/>
              </w:rPr>
              <w:t>密切相关</w:t>
            </w:r>
          </w:p>
        </w:tc>
      </w:tr>
      <w:tr w:rsidR="00FE75ED" w14:paraId="3E69E5FA" w14:textId="77777777" w:rsidTr="00FE75ED">
        <w:trPr>
          <w:trHeight w:val="60"/>
          <w:jc w:val="center"/>
        </w:trPr>
        <w:tc>
          <w:tcPr>
            <w:tcW w:w="139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7A6310A" w14:textId="77777777" w:rsidR="00FE75ED" w:rsidRDefault="00FE75ED" w:rsidP="00FE75ED">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比率法</w:t>
            </w:r>
          </w:p>
        </w:tc>
        <w:tc>
          <w:tcPr>
            <w:tcW w:w="71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DB42F50" w14:textId="77777777" w:rsidR="00FE75ED" w:rsidRDefault="00FE75ED" w:rsidP="00FE75ED">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a）样本项目存在</w:t>
            </w:r>
            <w:r>
              <w:rPr>
                <w:rFonts w:cs="Calibri" w:hint="eastAsia"/>
                <w:b/>
                <w:bCs/>
                <w:color w:val="FF0000"/>
                <w:sz w:val="21"/>
                <w:szCs w:val="21"/>
              </w:rPr>
              <w:t>错报</w:t>
            </w:r>
          </w:p>
          <w:p w14:paraId="1487F25F" w14:textId="77777777" w:rsidR="00FE75ED" w:rsidRDefault="00FE75ED" w:rsidP="00FE75ED">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b）错报金额与</w:t>
            </w:r>
            <w:r>
              <w:rPr>
                <w:rFonts w:cs="Calibri" w:hint="eastAsia"/>
                <w:b/>
                <w:bCs/>
                <w:color w:val="FF0000"/>
                <w:sz w:val="21"/>
                <w:szCs w:val="21"/>
              </w:rPr>
              <w:t>项目金额</w:t>
            </w:r>
            <w:r>
              <w:rPr>
                <w:rFonts w:cs="Calibri" w:hint="eastAsia"/>
                <w:color w:val="333333"/>
                <w:sz w:val="21"/>
                <w:szCs w:val="21"/>
              </w:rPr>
              <w:t>密切相关</w:t>
            </w:r>
          </w:p>
        </w:tc>
      </w:tr>
    </w:tbl>
    <w:p w14:paraId="7FA87BE3" w14:textId="77777777" w:rsidR="00FE75ED" w:rsidRDefault="00FE75ED" w:rsidP="00FE75ED">
      <w:pPr>
        <w:shd w:val="clear" w:color="auto" w:fill="FFFFFF"/>
        <w:rPr>
          <w:rFonts w:ascii="微软雅黑" w:eastAsia="微软雅黑" w:hAnsi="微软雅黑" w:cs="宋体"/>
          <w:color w:val="3F3F3F"/>
          <w:szCs w:val="21"/>
        </w:rPr>
      </w:pPr>
    </w:p>
    <w:p w14:paraId="7DA5AC05" w14:textId="77777777" w:rsidR="00271D8C" w:rsidRPr="00FE75ED" w:rsidRDefault="00271D8C" w:rsidP="00FE75ED">
      <w:pPr>
        <w:rPr>
          <w:rFonts w:hint="eastAsia"/>
        </w:rPr>
      </w:pPr>
    </w:p>
    <w:sectPr w:rsidR="00271D8C" w:rsidRPr="00FE75ED" w:rsidSect="001F62DD">
      <w:headerReference w:type="default" r:id="rId35"/>
      <w:footerReference w:type="default" r:id="rId36"/>
      <w:pgSz w:w="11906" w:h="16838"/>
      <w:pgMar w:top="340" w:right="680" w:bottom="340" w:left="1134" w:header="113" w:footer="2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1D5D81" w14:textId="77777777" w:rsidR="00F17E98" w:rsidRDefault="00F17E98" w:rsidP="00CD53C5">
      <w:r>
        <w:separator/>
      </w:r>
    </w:p>
  </w:endnote>
  <w:endnote w:type="continuationSeparator" w:id="0">
    <w:p w14:paraId="4CFC4498" w14:textId="77777777" w:rsidR="00F17E98" w:rsidRDefault="00F17E98" w:rsidP="00CD5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90" w:type="dxa"/>
      <w:tblBorders>
        <w:top w:val="single" w:sz="4" w:space="0" w:color="auto"/>
      </w:tblBorders>
      <w:tblCellMar>
        <w:top w:w="113" w:type="dxa"/>
      </w:tblCellMar>
      <w:tblLook w:val="04A0" w:firstRow="1" w:lastRow="0" w:firstColumn="1" w:lastColumn="0" w:noHBand="0" w:noVBand="1"/>
    </w:tblPr>
    <w:tblGrid>
      <w:gridCol w:w="2050"/>
      <w:gridCol w:w="3742"/>
      <w:gridCol w:w="4398"/>
    </w:tblGrid>
    <w:tr w:rsidR="00BE7176" w:rsidRPr="004D61E7" w14:paraId="6F602800" w14:textId="77777777" w:rsidTr="007B0BFD">
      <w:trPr>
        <w:trHeight w:val="274"/>
      </w:trPr>
      <w:tc>
        <w:tcPr>
          <w:tcW w:w="2050" w:type="dxa"/>
          <w:shd w:val="clear" w:color="auto" w:fill="auto"/>
          <w:vAlign w:val="center"/>
        </w:tcPr>
        <w:p w14:paraId="0AC601BB" w14:textId="77777777" w:rsidR="00BE7176" w:rsidRPr="004D61E7" w:rsidRDefault="004D61E7" w:rsidP="004D61E7">
          <w:pPr>
            <w:jc w:val="left"/>
            <w:rPr>
              <w:rFonts w:ascii="楷体" w:eastAsia="楷体" w:hAnsi="楷体"/>
              <w:b/>
              <w:sz w:val="28"/>
              <w:szCs w:val="28"/>
            </w:rPr>
          </w:pPr>
          <w:r w:rsidRPr="00707A6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39" type="#_x0000_t75" style="width:90.75pt;height:26.25pt;visibility:visible">
                <v:imagedata r:id="rId1" o:title=""/>
              </v:shape>
            </w:pict>
          </w:r>
        </w:p>
      </w:tc>
      <w:tc>
        <w:tcPr>
          <w:tcW w:w="3742" w:type="dxa"/>
          <w:shd w:val="clear" w:color="auto" w:fill="auto"/>
          <w:vAlign w:val="center"/>
        </w:tcPr>
        <w:p w14:paraId="693D1283" w14:textId="77777777" w:rsidR="00BE7176" w:rsidRPr="004D61E7" w:rsidRDefault="00BE7176" w:rsidP="004D61E7">
          <w:pPr>
            <w:jc w:val="left"/>
            <w:rPr>
              <w:rFonts w:ascii="楷体" w:eastAsia="楷体" w:hAnsi="楷体"/>
              <w:b/>
              <w:sz w:val="28"/>
              <w:szCs w:val="28"/>
            </w:rPr>
          </w:pPr>
          <w:r w:rsidRPr="004D61E7">
            <w:rPr>
              <w:rFonts w:ascii="微软雅黑" w:eastAsia="微软雅黑" w:hAnsi="微软雅黑" w:hint="eastAsia"/>
              <w:szCs w:val="21"/>
            </w:rPr>
            <w:t>原创</w:t>
          </w:r>
          <w:r w:rsidRPr="004D61E7">
            <w:rPr>
              <w:rFonts w:ascii="微软雅黑" w:eastAsia="微软雅黑" w:hAnsi="微软雅黑"/>
              <w:szCs w:val="21"/>
            </w:rPr>
            <w:t>不易</w:t>
          </w:r>
          <w:r w:rsidRPr="004D61E7">
            <w:rPr>
              <w:rFonts w:ascii="微软雅黑" w:eastAsia="微软雅黑" w:hAnsi="微软雅黑" w:hint="eastAsia"/>
              <w:szCs w:val="21"/>
            </w:rPr>
            <w:t>，侵权</w:t>
          </w:r>
          <w:r w:rsidRPr="004D61E7">
            <w:rPr>
              <w:rFonts w:ascii="微软雅黑" w:eastAsia="微软雅黑" w:hAnsi="微软雅黑"/>
              <w:szCs w:val="21"/>
            </w:rPr>
            <w:t>必究</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p>
      </w:tc>
      <w:tc>
        <w:tcPr>
          <w:tcW w:w="4398" w:type="dxa"/>
          <w:shd w:val="clear" w:color="auto" w:fill="auto"/>
          <w:vAlign w:val="center"/>
        </w:tcPr>
        <w:p w14:paraId="66FC128A" w14:textId="77777777" w:rsidR="00BE7176" w:rsidRPr="004D61E7" w:rsidRDefault="004D61E7" w:rsidP="004D61E7">
          <w:pPr>
            <w:jc w:val="right"/>
            <w:rPr>
              <w:rFonts w:ascii="微软雅黑" w:eastAsia="微软雅黑" w:hAnsi="微软雅黑"/>
              <w:szCs w:val="21"/>
            </w:rPr>
          </w:pPr>
          <w:r w:rsidRPr="004D61E7">
            <w:rPr>
              <w:rFonts w:ascii="微软雅黑" w:eastAsia="微软雅黑" w:hAnsi="微软雅黑" w:hint="eastAsia"/>
              <w:szCs w:val="21"/>
              <w:lang w:val="zh-CN"/>
            </w:rPr>
            <w:t>第</w:t>
          </w:r>
          <w:r w:rsidRPr="004D61E7">
            <w:rPr>
              <w:rFonts w:ascii="微软雅黑" w:eastAsia="微软雅黑" w:hAnsi="微软雅黑"/>
              <w:szCs w:val="21"/>
            </w:rPr>
            <w:fldChar w:fldCharType="begin"/>
          </w:r>
          <w:r w:rsidRPr="004D61E7">
            <w:rPr>
              <w:rFonts w:ascii="微软雅黑" w:eastAsia="微软雅黑" w:hAnsi="微软雅黑"/>
              <w:szCs w:val="21"/>
            </w:rPr>
            <w:instrText>PAGE  \* Arabic  \* MERGEFORMAT</w:instrText>
          </w:r>
          <w:r w:rsidRPr="004D61E7">
            <w:rPr>
              <w:rFonts w:ascii="微软雅黑" w:eastAsia="微软雅黑" w:hAnsi="微软雅黑"/>
              <w:szCs w:val="21"/>
            </w:rPr>
            <w:fldChar w:fldCharType="separate"/>
          </w:r>
          <w:r w:rsidRPr="004D61E7">
            <w:rPr>
              <w:rFonts w:ascii="微软雅黑" w:eastAsia="微软雅黑" w:hAnsi="微软雅黑"/>
              <w:szCs w:val="21"/>
            </w:rPr>
            <w:t>1</w:t>
          </w:r>
          <w:r w:rsidRPr="004D61E7">
            <w:rPr>
              <w:rFonts w:ascii="微软雅黑" w:eastAsia="微软雅黑" w:hAnsi="微软雅黑"/>
              <w:szCs w:val="21"/>
            </w:rPr>
            <w:fldChar w:fldCharType="end"/>
          </w:r>
          <w:r w:rsidRPr="004D61E7">
            <w:rPr>
              <w:rFonts w:ascii="微软雅黑" w:eastAsia="微软雅黑" w:hAnsi="微软雅黑" w:hint="eastAsia"/>
              <w:szCs w:val="21"/>
            </w:rPr>
            <w:t>页</w:t>
          </w:r>
        </w:p>
      </w:tc>
    </w:tr>
  </w:tbl>
  <w:p w14:paraId="56EB691B" w14:textId="77777777" w:rsidR="00BE7176" w:rsidRPr="00397E03" w:rsidRDefault="00BE7176">
    <w:pPr>
      <w:pStyle w:val="a5"/>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C5460F" w14:textId="77777777" w:rsidR="00F17E98" w:rsidRDefault="00F17E98" w:rsidP="00CD53C5">
      <w:r>
        <w:separator/>
      </w:r>
    </w:p>
  </w:footnote>
  <w:footnote w:type="continuationSeparator" w:id="0">
    <w:p w14:paraId="7699AB04" w14:textId="77777777" w:rsidR="00F17E98" w:rsidRDefault="00F17E98" w:rsidP="00CD5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21" w:type="dxa"/>
      <w:tblBorders>
        <w:bottom w:val="single" w:sz="4" w:space="0" w:color="auto"/>
      </w:tblBorders>
      <w:tblCellMar>
        <w:bottom w:w="57" w:type="dxa"/>
      </w:tblCellMar>
      <w:tblLook w:val="04A0" w:firstRow="1" w:lastRow="0" w:firstColumn="1" w:lastColumn="0" w:noHBand="0" w:noVBand="1"/>
    </w:tblPr>
    <w:tblGrid>
      <w:gridCol w:w="4272"/>
      <w:gridCol w:w="5949"/>
    </w:tblGrid>
    <w:tr w:rsidR="001545C6" w:rsidRPr="004D61E7" w14:paraId="46173065" w14:textId="77777777" w:rsidTr="007B0BFD">
      <w:trPr>
        <w:trHeight w:val="501"/>
      </w:trPr>
      <w:tc>
        <w:tcPr>
          <w:tcW w:w="4272" w:type="dxa"/>
          <w:shd w:val="clear" w:color="auto" w:fill="auto"/>
          <w:vAlign w:val="center"/>
        </w:tcPr>
        <w:p w14:paraId="30061146" w14:textId="77777777" w:rsidR="001545C6" w:rsidRPr="001F62DD" w:rsidRDefault="00FE75ED" w:rsidP="004D61E7">
          <w:pPr>
            <w:jc w:val="left"/>
            <w:rPr>
              <w:rFonts w:ascii="微软雅黑" w:eastAsia="微软雅黑" w:hAnsi="微软雅黑"/>
              <w:sz w:val="22"/>
            </w:rPr>
          </w:pPr>
          <w:r>
            <w:rPr>
              <w:rFonts w:ascii="微软雅黑" w:eastAsia="微软雅黑" w:hAnsi="微软雅黑"/>
              <w:sz w:val="22"/>
            </w:rPr>
            <w:t>审计（2019）考试辅导</w:t>
          </w:r>
        </w:p>
      </w:tc>
      <w:tc>
        <w:tcPr>
          <w:tcW w:w="5949" w:type="dxa"/>
          <w:shd w:val="clear" w:color="auto" w:fill="auto"/>
          <w:vAlign w:val="center"/>
        </w:tcPr>
        <w:p w14:paraId="73D178E0" w14:textId="77777777" w:rsidR="001545C6" w:rsidRPr="004D61E7" w:rsidRDefault="00FE75ED" w:rsidP="00105A9A">
          <w:pPr>
            <w:wordWrap w:val="0"/>
            <w:jc w:val="right"/>
            <w:rPr>
              <w:rFonts w:ascii="微软雅黑" w:eastAsia="微软雅黑" w:hAnsi="微软雅黑"/>
              <w:sz w:val="24"/>
              <w:szCs w:val="24"/>
            </w:rPr>
          </w:pPr>
          <w:r>
            <w:rPr>
              <w:rFonts w:ascii="微软雅黑" w:eastAsia="微软雅黑" w:hAnsi="微软雅黑" w:hint="eastAsia"/>
              <w:sz w:val="24"/>
              <w:szCs w:val="24"/>
            </w:rPr>
            <w:t>第四章</w:t>
          </w:r>
          <w:r>
            <w:rPr>
              <w:rFonts w:ascii="微软雅黑" w:eastAsia="微软雅黑" w:hAnsi="微软雅黑"/>
              <w:sz w:val="24"/>
              <w:szCs w:val="24"/>
            </w:rPr>
            <w:t>+审计抽样方法</w:t>
          </w:r>
        </w:p>
      </w:tc>
    </w:tr>
  </w:tbl>
  <w:p w14:paraId="02A878D3" w14:textId="77777777" w:rsidR="00207831" w:rsidRPr="000F3412" w:rsidRDefault="00207831" w:rsidP="001545C6">
    <w:pPr>
      <w:pStyle w:val="a3"/>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1F62DD"/>
    <w:rsid w:val="00207831"/>
    <w:rsid w:val="0025687E"/>
    <w:rsid w:val="00257ECB"/>
    <w:rsid w:val="002608F5"/>
    <w:rsid w:val="00271D8C"/>
    <w:rsid w:val="002D5CFC"/>
    <w:rsid w:val="002F4B62"/>
    <w:rsid w:val="00354CB5"/>
    <w:rsid w:val="00361200"/>
    <w:rsid w:val="00396A53"/>
    <w:rsid w:val="00397E03"/>
    <w:rsid w:val="00484FE7"/>
    <w:rsid w:val="00494359"/>
    <w:rsid w:val="004D41D2"/>
    <w:rsid w:val="004D61E7"/>
    <w:rsid w:val="00522B52"/>
    <w:rsid w:val="00530F5E"/>
    <w:rsid w:val="00587FA0"/>
    <w:rsid w:val="005C437E"/>
    <w:rsid w:val="005F2973"/>
    <w:rsid w:val="005F76A7"/>
    <w:rsid w:val="00601F3F"/>
    <w:rsid w:val="0065531D"/>
    <w:rsid w:val="00680B91"/>
    <w:rsid w:val="00743946"/>
    <w:rsid w:val="00777971"/>
    <w:rsid w:val="007A0F56"/>
    <w:rsid w:val="007A684A"/>
    <w:rsid w:val="007B0BFD"/>
    <w:rsid w:val="007B5B2A"/>
    <w:rsid w:val="007E2E24"/>
    <w:rsid w:val="00831407"/>
    <w:rsid w:val="008C2E60"/>
    <w:rsid w:val="008D6C45"/>
    <w:rsid w:val="0093134D"/>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64789"/>
    <w:rsid w:val="00CA0928"/>
    <w:rsid w:val="00CD53C5"/>
    <w:rsid w:val="00CE33B2"/>
    <w:rsid w:val="00D14EEC"/>
    <w:rsid w:val="00D40C69"/>
    <w:rsid w:val="00DA0E67"/>
    <w:rsid w:val="00DC6EA5"/>
    <w:rsid w:val="00E27FEA"/>
    <w:rsid w:val="00E91A26"/>
    <w:rsid w:val="00EC2EA7"/>
    <w:rsid w:val="00ED764B"/>
    <w:rsid w:val="00F17E98"/>
    <w:rsid w:val="00F4489B"/>
    <w:rsid w:val="00F86EF2"/>
    <w:rsid w:val="00FE75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C2E4B05"/>
  <w15:docId w15:val="{D6661F62-03B5-4159-B6BE-70DEAA397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53C5"/>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CD53C5"/>
    <w:rPr>
      <w:sz w:val="18"/>
      <w:szCs w:val="18"/>
    </w:rPr>
  </w:style>
  <w:style w:type="paragraph" w:styleId="a5">
    <w:name w:val="footer"/>
    <w:basedOn w:val="a"/>
    <w:link w:val="a6"/>
    <w:uiPriority w:val="99"/>
    <w:unhideWhenUsed/>
    <w:rsid w:val="00CD53C5"/>
    <w:pPr>
      <w:tabs>
        <w:tab w:val="center" w:pos="4153"/>
        <w:tab w:val="right" w:pos="8306"/>
      </w:tabs>
      <w:snapToGrid w:val="0"/>
      <w:jc w:val="left"/>
    </w:pPr>
    <w:rPr>
      <w:sz w:val="18"/>
      <w:szCs w:val="18"/>
    </w:rPr>
  </w:style>
  <w:style w:type="character" w:customStyle="1" w:styleId="a6">
    <w:name w:val="页脚 字符"/>
    <w:link w:val="a5"/>
    <w:uiPriority w:val="99"/>
    <w:rsid w:val="00CD53C5"/>
    <w:rPr>
      <w:sz w:val="18"/>
      <w:szCs w:val="18"/>
    </w:rPr>
  </w:style>
  <w:style w:type="paragraph" w:styleId="a7">
    <w:name w:val="Balloon Text"/>
    <w:basedOn w:val="a"/>
    <w:link w:val="a8"/>
    <w:uiPriority w:val="99"/>
    <w:semiHidden/>
    <w:unhideWhenUsed/>
    <w:rsid w:val="001403A1"/>
    <w:rPr>
      <w:sz w:val="18"/>
      <w:szCs w:val="18"/>
    </w:rPr>
  </w:style>
  <w:style w:type="character" w:customStyle="1" w:styleId="a8">
    <w:name w:val="批注框文本 字符"/>
    <w:link w:val="a7"/>
    <w:uiPriority w:val="99"/>
    <w:semiHidden/>
    <w:rsid w:val="001403A1"/>
    <w:rPr>
      <w:sz w:val="18"/>
      <w:szCs w:val="18"/>
    </w:rPr>
  </w:style>
  <w:style w:type="table" w:styleId="a9">
    <w:name w:val="Table Grid"/>
    <w:basedOn w:val="a1"/>
    <w:uiPriority w:val="59"/>
    <w:rsid w:val="002078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025D51"/>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4179">
      <w:bodyDiv w:val="1"/>
      <w:marLeft w:val="0"/>
      <w:marRight w:val="0"/>
      <w:marTop w:val="0"/>
      <w:marBottom w:val="0"/>
      <w:divBdr>
        <w:top w:val="none" w:sz="0" w:space="0" w:color="auto"/>
        <w:left w:val="none" w:sz="0" w:space="0" w:color="auto"/>
        <w:bottom w:val="none" w:sz="0" w:space="0" w:color="auto"/>
        <w:right w:val="none" w:sz="0" w:space="0" w:color="auto"/>
      </w:divBdr>
    </w:div>
    <w:div w:id="217327381">
      <w:bodyDiv w:val="1"/>
      <w:marLeft w:val="0"/>
      <w:marRight w:val="0"/>
      <w:marTop w:val="0"/>
      <w:marBottom w:val="0"/>
      <w:divBdr>
        <w:top w:val="none" w:sz="0" w:space="0" w:color="auto"/>
        <w:left w:val="none" w:sz="0" w:space="0" w:color="auto"/>
        <w:bottom w:val="none" w:sz="0" w:space="0" w:color="auto"/>
        <w:right w:val="none" w:sz="0" w:space="0" w:color="auto"/>
      </w:divBdr>
    </w:div>
    <w:div w:id="276108250">
      <w:bodyDiv w:val="1"/>
      <w:marLeft w:val="0"/>
      <w:marRight w:val="0"/>
      <w:marTop w:val="0"/>
      <w:marBottom w:val="0"/>
      <w:divBdr>
        <w:top w:val="none" w:sz="0" w:space="0" w:color="auto"/>
        <w:left w:val="none" w:sz="0" w:space="0" w:color="auto"/>
        <w:bottom w:val="none" w:sz="0" w:space="0" w:color="auto"/>
        <w:right w:val="none" w:sz="0" w:space="0" w:color="auto"/>
      </w:divBdr>
    </w:div>
    <w:div w:id="599994789">
      <w:bodyDiv w:val="1"/>
      <w:marLeft w:val="0"/>
      <w:marRight w:val="0"/>
      <w:marTop w:val="0"/>
      <w:marBottom w:val="0"/>
      <w:divBdr>
        <w:top w:val="none" w:sz="0" w:space="0" w:color="auto"/>
        <w:left w:val="none" w:sz="0" w:space="0" w:color="auto"/>
        <w:bottom w:val="none" w:sz="0" w:space="0" w:color="auto"/>
        <w:right w:val="none" w:sz="0" w:space="0" w:color="auto"/>
      </w:divBdr>
      <w:divsChild>
        <w:div w:id="912736612">
          <w:marLeft w:val="0"/>
          <w:marRight w:val="0"/>
          <w:marTop w:val="0"/>
          <w:marBottom w:val="0"/>
          <w:divBdr>
            <w:top w:val="none" w:sz="0" w:space="0" w:color="auto"/>
            <w:left w:val="none" w:sz="0" w:space="0" w:color="auto"/>
            <w:bottom w:val="none" w:sz="0" w:space="0" w:color="auto"/>
            <w:right w:val="none" w:sz="0" w:space="0" w:color="auto"/>
          </w:divBdr>
          <w:divsChild>
            <w:div w:id="35199780">
              <w:marLeft w:val="0"/>
              <w:marRight w:val="0"/>
              <w:marTop w:val="0"/>
              <w:marBottom w:val="0"/>
              <w:divBdr>
                <w:top w:val="none" w:sz="0" w:space="0" w:color="auto"/>
                <w:left w:val="none" w:sz="0" w:space="0" w:color="auto"/>
                <w:bottom w:val="none" w:sz="0" w:space="0" w:color="auto"/>
                <w:right w:val="none" w:sz="0" w:space="0" w:color="auto"/>
              </w:divBdr>
            </w:div>
            <w:div w:id="185947127">
              <w:marLeft w:val="0"/>
              <w:marRight w:val="0"/>
              <w:marTop w:val="0"/>
              <w:marBottom w:val="0"/>
              <w:divBdr>
                <w:top w:val="none" w:sz="0" w:space="0" w:color="auto"/>
                <w:left w:val="none" w:sz="0" w:space="0" w:color="auto"/>
                <w:bottom w:val="none" w:sz="0" w:space="0" w:color="auto"/>
                <w:right w:val="none" w:sz="0" w:space="0" w:color="auto"/>
              </w:divBdr>
            </w:div>
            <w:div w:id="606929531">
              <w:marLeft w:val="0"/>
              <w:marRight w:val="0"/>
              <w:marTop w:val="0"/>
              <w:marBottom w:val="0"/>
              <w:divBdr>
                <w:top w:val="none" w:sz="0" w:space="0" w:color="auto"/>
                <w:left w:val="none" w:sz="0" w:space="0" w:color="auto"/>
                <w:bottom w:val="none" w:sz="0" w:space="0" w:color="auto"/>
                <w:right w:val="none" w:sz="0" w:space="0" w:color="auto"/>
              </w:divBdr>
            </w:div>
            <w:div w:id="653025484">
              <w:marLeft w:val="0"/>
              <w:marRight w:val="0"/>
              <w:marTop w:val="0"/>
              <w:marBottom w:val="0"/>
              <w:divBdr>
                <w:top w:val="none" w:sz="0" w:space="0" w:color="auto"/>
                <w:left w:val="none" w:sz="0" w:space="0" w:color="auto"/>
                <w:bottom w:val="none" w:sz="0" w:space="0" w:color="auto"/>
                <w:right w:val="none" w:sz="0" w:space="0" w:color="auto"/>
              </w:divBdr>
            </w:div>
            <w:div w:id="878904387">
              <w:marLeft w:val="0"/>
              <w:marRight w:val="0"/>
              <w:marTop w:val="0"/>
              <w:marBottom w:val="0"/>
              <w:divBdr>
                <w:top w:val="none" w:sz="0" w:space="0" w:color="auto"/>
                <w:left w:val="none" w:sz="0" w:space="0" w:color="auto"/>
                <w:bottom w:val="none" w:sz="0" w:space="0" w:color="auto"/>
                <w:right w:val="none" w:sz="0" w:space="0" w:color="auto"/>
              </w:divBdr>
            </w:div>
            <w:div w:id="1271012235">
              <w:marLeft w:val="0"/>
              <w:marRight w:val="0"/>
              <w:marTop w:val="0"/>
              <w:marBottom w:val="0"/>
              <w:divBdr>
                <w:top w:val="none" w:sz="0" w:space="0" w:color="auto"/>
                <w:left w:val="none" w:sz="0" w:space="0" w:color="auto"/>
                <w:bottom w:val="none" w:sz="0" w:space="0" w:color="auto"/>
                <w:right w:val="none" w:sz="0" w:space="0" w:color="auto"/>
              </w:divBdr>
            </w:div>
            <w:div w:id="1295913849">
              <w:marLeft w:val="0"/>
              <w:marRight w:val="0"/>
              <w:marTop w:val="0"/>
              <w:marBottom w:val="0"/>
              <w:divBdr>
                <w:top w:val="none" w:sz="0" w:space="0" w:color="auto"/>
                <w:left w:val="none" w:sz="0" w:space="0" w:color="auto"/>
                <w:bottom w:val="none" w:sz="0" w:space="0" w:color="auto"/>
                <w:right w:val="none" w:sz="0" w:space="0" w:color="auto"/>
              </w:divBdr>
            </w:div>
            <w:div w:id="204112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74370">
      <w:bodyDiv w:val="1"/>
      <w:marLeft w:val="0"/>
      <w:marRight w:val="0"/>
      <w:marTop w:val="0"/>
      <w:marBottom w:val="0"/>
      <w:divBdr>
        <w:top w:val="none" w:sz="0" w:space="0" w:color="auto"/>
        <w:left w:val="none" w:sz="0" w:space="0" w:color="auto"/>
        <w:bottom w:val="none" w:sz="0" w:space="0" w:color="auto"/>
        <w:right w:val="none" w:sz="0" w:space="0" w:color="auto"/>
      </w:divBdr>
    </w:div>
    <w:div w:id="990406626">
      <w:bodyDiv w:val="1"/>
      <w:marLeft w:val="0"/>
      <w:marRight w:val="0"/>
      <w:marTop w:val="0"/>
      <w:marBottom w:val="0"/>
      <w:divBdr>
        <w:top w:val="none" w:sz="0" w:space="0" w:color="auto"/>
        <w:left w:val="none" w:sz="0" w:space="0" w:color="auto"/>
        <w:bottom w:val="none" w:sz="0" w:space="0" w:color="auto"/>
        <w:right w:val="none" w:sz="0" w:space="0" w:color="auto"/>
      </w:divBdr>
    </w:div>
    <w:div w:id="1141921938">
      <w:bodyDiv w:val="1"/>
      <w:marLeft w:val="0"/>
      <w:marRight w:val="0"/>
      <w:marTop w:val="0"/>
      <w:marBottom w:val="0"/>
      <w:divBdr>
        <w:top w:val="none" w:sz="0" w:space="0" w:color="auto"/>
        <w:left w:val="none" w:sz="0" w:space="0" w:color="auto"/>
        <w:bottom w:val="none" w:sz="0" w:space="0" w:color="auto"/>
        <w:right w:val="none" w:sz="0" w:space="0" w:color="auto"/>
      </w:divBdr>
    </w:div>
    <w:div w:id="1596326475">
      <w:bodyDiv w:val="1"/>
      <w:marLeft w:val="0"/>
      <w:marRight w:val="0"/>
      <w:marTop w:val="0"/>
      <w:marBottom w:val="0"/>
      <w:divBdr>
        <w:top w:val="none" w:sz="0" w:space="0" w:color="auto"/>
        <w:left w:val="none" w:sz="0" w:space="0" w:color="auto"/>
        <w:bottom w:val="none" w:sz="0" w:space="0" w:color="auto"/>
        <w:right w:val="none" w:sz="0" w:space="0" w:color="auto"/>
      </w:divBdr>
    </w:div>
    <w:div w:id="1755931665">
      <w:bodyDiv w:val="1"/>
      <w:marLeft w:val="0"/>
      <w:marRight w:val="0"/>
      <w:marTop w:val="0"/>
      <w:marBottom w:val="0"/>
      <w:divBdr>
        <w:top w:val="none" w:sz="0" w:space="0" w:color="auto"/>
        <w:left w:val="none" w:sz="0" w:space="0" w:color="auto"/>
        <w:bottom w:val="none" w:sz="0" w:space="0" w:color="auto"/>
        <w:right w:val="none" w:sz="0" w:space="0" w:color="auto"/>
      </w:divBdr>
    </w:div>
    <w:div w:id="1812286898">
      <w:bodyDiv w:val="1"/>
      <w:marLeft w:val="0"/>
      <w:marRight w:val="0"/>
      <w:marTop w:val="0"/>
      <w:marBottom w:val="0"/>
      <w:divBdr>
        <w:top w:val="none" w:sz="0" w:space="0" w:color="auto"/>
        <w:left w:val="none" w:sz="0" w:space="0" w:color="auto"/>
        <w:bottom w:val="none" w:sz="0" w:space="0" w:color="auto"/>
        <w:right w:val="none" w:sz="0" w:space="0" w:color="auto"/>
      </w:divBdr>
      <w:divsChild>
        <w:div w:id="1404183701">
          <w:marLeft w:val="0"/>
          <w:marRight w:val="0"/>
          <w:marTop w:val="0"/>
          <w:marBottom w:val="0"/>
          <w:divBdr>
            <w:top w:val="none" w:sz="0" w:space="0" w:color="auto"/>
            <w:left w:val="none" w:sz="0" w:space="0" w:color="auto"/>
            <w:bottom w:val="none" w:sz="0" w:space="0" w:color="auto"/>
            <w:right w:val="none" w:sz="0" w:space="0" w:color="auto"/>
          </w:divBdr>
        </w:div>
      </w:divsChild>
    </w:div>
    <w:div w:id="211748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webupload.admin.dongao.com/biz/handout/img/2019/20190513/20190513183037782006.png" TargetMode="External"/><Relationship Id="rId26" Type="http://schemas.openxmlformats.org/officeDocument/2006/relationships/image" Target="http://webupload.admin.dongao.com/biz/handout/img/2019/20190513/20190513183037597010.png" TargetMode="External"/><Relationship Id="rId21" Type="http://schemas.openxmlformats.org/officeDocument/2006/relationships/image" Target="media/image8.png"/><Relationship Id="rId34" Type="http://schemas.openxmlformats.org/officeDocument/2006/relationships/image" Target="http://webupload.admin.dongao.com/biz/handout/img/2019/20190513/20190513183037932014.png" TargetMode="External"/><Relationship Id="rId7" Type="http://schemas.openxmlformats.org/officeDocument/2006/relationships/image" Target="media/image1.png"/><Relationship Id="rId12" Type="http://schemas.openxmlformats.org/officeDocument/2006/relationships/image" Target="http://webupload.admin.dongao.com/biz/handout/img/2019/20190513/20190513183037373003.png"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http://webupload.admin.dongao.com/biz/handout/img/2019/20190513/20190513183037930005.png" TargetMode="External"/><Relationship Id="rId20" Type="http://schemas.openxmlformats.org/officeDocument/2006/relationships/image" Target="http://webupload.admin.dongao.com/biz/handout/img/2019/20190513/20190513183037537007.png"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http://webupload.admin.dongao.com/biz/handout/img/2019/20190513/20190513183037618009.png" TargetMode="External"/><Relationship Id="rId32" Type="http://schemas.openxmlformats.org/officeDocument/2006/relationships/image" Target="http://webupload.admin.dongao.com/biz/handout/img/2019/20190513/20190513183037605013.png"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webupload.admin.dongao.com/biz/handout/img/2019/20190513/20190513183037652011.png" TargetMode="External"/><Relationship Id="rId36" Type="http://schemas.openxmlformats.org/officeDocument/2006/relationships/footer" Target="footer1.xml"/><Relationship Id="rId10" Type="http://schemas.openxmlformats.org/officeDocument/2006/relationships/image" Target="http://webupload.admin.dongao.com/biz/handout/img/2019/20190513/20190513183037821002.png" TargetMode="External"/><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webupload.admin.dongao.com/biz/handout/img/2019/20190513/20190513183037308004.png" TargetMode="External"/><Relationship Id="rId22" Type="http://schemas.openxmlformats.org/officeDocument/2006/relationships/image" Target="http://webupload.admin.dongao.com/biz/handout/img/2019/20190513/20190513183037354008.png" TargetMode="External"/><Relationship Id="rId27" Type="http://schemas.openxmlformats.org/officeDocument/2006/relationships/image" Target="media/image11.png"/><Relationship Id="rId30" Type="http://schemas.openxmlformats.org/officeDocument/2006/relationships/image" Target="http://webupload.admin.dongao.com/biz/handout/img/2019/20190513/20190513183037127012.png" TargetMode="External"/><Relationship Id="rId35" Type="http://schemas.openxmlformats.org/officeDocument/2006/relationships/header" Target="header1.xml"/><Relationship Id="rId8" Type="http://schemas.openxmlformats.org/officeDocument/2006/relationships/image" Target="http://webupload.admin.dongao.com/biz/handout/img/2019/20190513/20190513183037676001.png"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83A00-2B89-4EC4-8696-0FB3BA810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384</Words>
  <Characters>2195</Characters>
  <Application>Microsoft Office Word</Application>
  <DocSecurity>0</DocSecurity>
  <Lines>18</Lines>
  <Paragraphs>5</Paragraphs>
  <ScaleCrop>false</ScaleCrop>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